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366CC" w:sz="6" w:space="1"/>
        </w:pBdr>
        <w:spacing w:after="400"/>
        <w:jc w:val="center"/>
      </w:pPr>
      <w:r>
        <w:t xml:space="preserve">LVMH Competitor Analysis Report</w:t>
      </w:r>
    </w:p>
    <w:p>
      <w:pPr>
        <w:spacing w:after="200"/>
        <w:jc w:val="right"/>
      </w:pPr>
      <w:r>
        <w:rPr>
          <w:sz w:val="20"/>
          <w:szCs w:val="20"/>
        </w:rPr>
        <w:t xml:space="preserve">Generated on: 3/1/2025, 6:44:13 PM</w:t>
      </w:r>
    </w:p>
    <w:p>
      <w:pPr>
        <w:spacing w:after="400"/>
        <w:jc w:val="right"/>
      </w:pPr>
      <w:r>
        <w:rPr>
          <w:sz w:val="20"/>
          <w:szCs w:val="20"/>
        </w:rPr>
        <w:t xml:space="preserve">Number of images analyzed: 12</w:t>
      </w:r>
    </w:p>
    <w:p>
      <w:pPr>
        <w:pStyle w:val="Heading1"/>
        <w:spacing w:before="400" w:after="200"/>
      </w:pPr>
      <w:r>
        <w:t xml:space="preserve">Recommendations &amp; Analysis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Recommendations &amp; Analysis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**Top 3 Most Attractive Incentives**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**Acqua Di Parma’s $250.00 cash per bottle** for select high-end fragrances (e.g., ICOLONIAEDCSOML, ESSENZAEDC). This is exceptionally lucrative for staff.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**Diptyque’s $5.00 cash per item sold** across all SKUs, including diffusers, candles, and sets. Consistent and easy to earn.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**Hermès Fragrance T4’s $50.00 voucher for every 10 bottles sold** (85ml/100ml), capped at $10,000. High reward for bulk sales.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**Top 3 Strategies to Compete**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**Tiered cash incentives**: Offer escalating cash rewards (e.g., $300 for ultra-premium SKUs, $10–$50 for core products) to outpace Acqua Di Parma’s $250.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**Simplified bulk-sale bonuses**: Introduce “$10 cash per bottle” universally (like Cartier’s $5 but higher) to incentivize volume over competitors’ complex structures.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**Hybrid rewards**: Combine cash + exclusive product testers (e.g., “$15 cash + tester for every 3 bottles sold”) to counter Diptyque’s cash-only model.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**Ensuring Clarity for Sales Staff**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Use **flat-rate cash incentives** (e.g., “$10 per bottle, no caps”) to avoid confusion from tiered thresholds.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Highlight **immediate payouts** (cash over vouchers) to emphasize instant value.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Train staff with **product-specific cheat sheets** (e.g., “Sell Product X, earn $Y”) to simplify targeting.</w:t>
      </w:r>
    </w:p>
    <w:p>
      <w:pPr>
        <w:spacing w:before="120" w:after="120"/>
      </w:pPr>
    </w:p>
    <w:p>
      <w:pPr>
        <w:spacing w:before="120" w:after="120"/>
      </w:pPr>
      <w:r>
        <w:t xml:space="preserve">---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Competitor Incentive Analysis Table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t xml:space="preserve">Competitor Data Table</w:t>
      </w:r>
    </w:p>
    <w:tbl>
      <w:tblPr>
        <w:tblW w:type="pct" w:w="100%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AAAAA" w:sz="1"/>
          <w:insideV w:val="single" w:color="AAAAAA" w:sz="1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Brand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Location of Promotion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Eligible Staff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Type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Description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Relevant SKUs/Products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Acqua Di Parma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$2.50–$250.00 cash per bottle sold, varying by SKU.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ICOLONIAEDCSOML. (8028713000089), ICOLONIAESSENZAEDCSOML. (8028713220012), SIG.QUERCIAEDP20ml. (8028713810800), SIG.MAGNOLIAINFINITAEDP20ML (8028713813320), COLONIAEDC100ML (8028713000036), + 25 others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Burberry, Guccicos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$10.00 voucher for every 2 focus SKUs sold.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BURBERRYMAKEBVOLUMEMASCARA01BLACK, GUCCICOSMAKEEYEPLLE244FESTIGLOW, BURBERRYMAKEKMLS24NEWLENUDELE24, + 8 others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Cartier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$5.00 cash per bottle of any Cartier perfume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Cartier perfumes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Chloe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Wing, Arrival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$30.00 voucher for every $1,500.00 Chloe products sold.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Chloe-XM24-EDP50BL100 (3616305258502), Flora-Gentle Magnolia-XM24-EDP100 (3616305447654)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CK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Wing, Arrival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$30.00 voucher for every $1,200.00 CK products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CKOne-XM24-EDT200EDT50 (3616305433770), CKDefy-XM24-EDP50SG100 (3616305433671), + others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Diptyque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stores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$5.00 cash per item sold; applies to bags and all listed SKUs.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DIPTYQUEPFMDiffuserRoses (3700431432483), DIPTYQUEPFMNEWHOURGLASS2.0BAIES (3700431445988), DIPTYQUEBODYLEauPapierHairMist30ml (3700431496607), + 25 others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Drunk Elephant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1,2,3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Shiseido Group BAs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$10.00 voucher for every $600.00 sales or 5 sets of Lippe Balm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LIPPEBALMREFORM (42801673101)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Hermès (Beauty)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Voucher, Product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$30.00 voucher + 1 tester for every 6 Eye/Lip products sold (capped at $120.00).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Eye Pencils, Lip Liners, Eyeshadow Palettes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Hermès (Fragrance)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Terminals 1-4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Voucher, 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$15–$50.00 voucher + testers for bulk sales of Xmas sets/Twilly/Barenia fragrances.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Barenia 30ml/60ml/100ml, Twilly Collection 50ml/85ml, Xmas Sets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Kylie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Wing, Arrival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$10.00 voucher for every 3 Kylie Cosmic Fragrance bottles sold.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Kylie Cosmic Fragrance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Lancaster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stores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$10.00 voucher for every 4 SKUs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LANCASTESKINSRDAAGESPF30100ML21IV (088210000012), LANCASTESKINDMOIST30MLSPF5018IV (088210000013), + 11 others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Nars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Tiered vouchers: $10/$50/$80 for $1,000/$3,000/$5,000 sales.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Nars products</w:t>
            </w:r>
          </w:p>
        </w:tc>
      </w:tr>
    </w:tbl>
    <w:p>
      <w:pPr>
        <w:spacing w:before="120" w:after="120"/>
      </w:pPr>
      <w:r>
        <w:t xml:space="preserve"/>
      </w:r>
      <w:r>
        <w:rPr>
          <w:b/>
          <w:bCs/>
        </w:rPr>
        <w:t xml:space="preserve">Assumptions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“Terminal” and “Wing/Arrival” locations inferred from Shilla’s typical duty-free zoning.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“Shilla Payroll” eligibility assumed for brands without explicit staff criteria.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SKUs abbreviated for brevity; full EAN/REF codes available in raw data.</w:t>
      </w:r>
    </w:p>
    <w:p>
      <w:pPr>
        <w:pStyle w:val="Heading1"/>
        <w:pageBreakBefore/>
        <w:spacing w:before="400" w:after="200"/>
      </w:pPr>
      <w:r>
        <w:t xml:space="preserve">Appendix: Analyzed Images</w:t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6a6598842604786c7f6d582ce2f8056b7e44a04.png"/><Relationship Id="rId7" Type="http://schemas.openxmlformats.org/officeDocument/2006/relationships/image" Target="media/e4e3ce0abe9670eb62a26878695fa6f7db77453c.png"/><Relationship Id="rId8" Type="http://schemas.openxmlformats.org/officeDocument/2006/relationships/image" Target="media/0ca2a157ea6f2f08f15a8385f0be179cb37f459a.png"/><Relationship Id="rId9" Type="http://schemas.openxmlformats.org/officeDocument/2006/relationships/image" Target="media/42d42b213ff3cf197c209466fa8625d17245b4b5.png"/><Relationship Id="rId10" Type="http://schemas.openxmlformats.org/officeDocument/2006/relationships/image" Target="media/8158fbc7fb3dafca3c89a0854b44db75e8ff8a3c.png"/><Relationship Id="rId11" Type="http://schemas.openxmlformats.org/officeDocument/2006/relationships/image" Target="media/9fd2bfb0a851f80b49cea05f2ccf53411f388ac9.png"/><Relationship Id="rId12" Type="http://schemas.openxmlformats.org/officeDocument/2006/relationships/image" Target="media/f98b0eb544331f5036ead58aeeac78e05f203974.png"/><Relationship Id="rId13" Type="http://schemas.openxmlformats.org/officeDocument/2006/relationships/image" Target="media/a662586d41dfd94cec37ecff722164a78d5d478d.png"/><Relationship Id="rId14" Type="http://schemas.openxmlformats.org/officeDocument/2006/relationships/image" Target="media/b89ac921bfbeb84e2635634141fbd1643f785282.png"/><Relationship Id="rId15" Type="http://schemas.openxmlformats.org/officeDocument/2006/relationships/image" Target="media/942baabc43bb820dbdd0c22a88e82d86d7180678.png"/><Relationship Id="rId16" Type="http://schemas.openxmlformats.org/officeDocument/2006/relationships/image" Target="media/a580af21d7fd88b13f7964a0c33b47489a8cc42f.png"/><Relationship Id="rId17" Type="http://schemas.openxmlformats.org/officeDocument/2006/relationships/image" Target="media/a47453919d8cbe9350b7485ef17415ac0fa9ea12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2025-03-01T23:44:13.984Z</dcterms:created>
  <dcterms:modified xsi:type="dcterms:W3CDTF">2025-03-01T23:44:13.984Z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