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LVMH Competitor Analysis</w:t>
      </w:r>
    </w:p>
    <w:p>
      <w:pPr>
        <w:pBdr>
          <w:bottom w:val="single" w:color="auto" w:sz="6" w:space="1"/>
        </w:pBdr>
        <w:spacing w:before="100" w:after="400"/>
      </w:pPr>
      <w:r>
        <w:t xml:space="preserve">Generated on 3/1/2025 7:04:57 PM | 12 images analyzed</w:t>
      </w:r>
    </w:p>
    <w:p>
      <w:pPr>
        <w:pStyle w:val="Heading1"/>
        <w:pBdr>
          <w:bottom w:val="single" w:color="auto" w:sz="6" w:space="1"/>
        </w:pBdr>
        <w:spacing w:before="400" w:after="200"/>
      </w:pPr>
      <w:r>
        <w:t xml:space="preserve">Detailed Analysis Table</w:t>
      </w: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Receive $2.50–$10 cash per bottle sold (varies by SKU; e.g., $2.50 for 50ml EDCs, $10 for 180ml EDPs).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listed SKUs (e.g., COLONIAPURAEDC50ml, SIG.SANDALOEDP180ML, IBMARANCIADICAPRIEDT180ML).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Burberry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Fragrance counters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for every 2 focus SKUs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Makeup SKUs (e.g., BURBERRYMAKEBVOLUMEMASCARA01BLACK, BURBERRYMAKEKMLS24NEWLENUDELE24).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 only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 cash per bottle of perfume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Cartier perfumes.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Chloe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TWING &amp; 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$30 voucher for every $1,500 in sales.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Chloe products (inferred).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BAGs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 cash per item sold when 10 SKUs are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Diffusers, candles, sets (e.g., DIPTYQUEPFMDiffuserRoses, DIPTYQUEPFMNEWHOURGLASS2.0BAIES).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Terminals 1–3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Shiseido Group BAs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per $600 sales or per 5 sets of Lippe Balm Reform 3.7g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Lippe Balm Reform 3.7g sets.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Gucci Cosmetics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Fragrance counters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 voucher for every 2 focus SKUs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GUCCICOSMAKEEYEPLLE244FESTIGLOW, GUCCICOSMAKEMATTELS505JANETRUST.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Hermes (T1–T3)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Terminals 1–3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$15 voucher per 3 Xmas sets sold (capped at $120).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Xmas sets (unspecified).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 (T1–T3)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Terminals 1–3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1 tester per 10 Xmas sets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Xmas sets (unspecified).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Hermes (T4)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$50 voucher per 10pc of 85ml/100ml fragrances sold (capped at $100).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85ml/100ml fragrances (unspecified).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 Beauty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$30 voucher per 6 Eye/Lip products sold (capped at $120).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Eye pencils, lip pencils, eyeliners.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Kylie Cosmetics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TWING &amp; 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 voucher per 3 bottles sold.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Kylie Cosmic Fragrance (unspecified).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All stores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 voucher per 4 SKUs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Sun care products (e.g., LANCASTESKINSRDAAGESPF30100ML, LANCASTESKINSUNPROTESPF5030ML).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terminals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Tiered vouchers: $10 for $1,000 sales, $50 for $3,000, $80 for $5,000.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All Nars products (unspecified).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Multibrand Fragrance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Fragrance counters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$10 voucher per focus SKU sold.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CK One, Chloe Nomade, Davidoff Cool Water, Gucci Flora, Marc Jacobs Daisy.</w:t>
            </w:r>
          </w:p>
        </w:tc>
      </w:tr>
    </w:tbl>
    <w:p>
      <w:pPr>
        <w:spacing w:before="120" w:after="120"/>
      </w:pPr>
      <w:r>
        <w:t xml:space="preserve">---</w:t>
      </w:r>
    </w:p>
    <w:p>
      <w:pPr>
        <w:spacing w:before="120" w:after="120"/>
      </w:pPr>
      <w:r>
        <w:t xml:space="preserve">1. </w:t>
      </w:r>
      <w:r>
        <w:rPr>
          <w:b/>
          <w:bCs/>
        </w:rPr>
        <w:t xml:space="preserve">Top 3 most attractive incentives</w:t>
      </w:r>
      <w:r>
        <w:t xml:space="preserve">: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Acqua Di Parma’s cash incentives</w:t>
      </w:r>
      <w:r>
        <w:t xml:space="preserve"> (up to $10 per bottle) offer immediate, high-value rewards for volume sales.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Hermes Terminal 4’s $50 voucher per 10 high-margin fragrances</w:t>
      </w:r>
      <w:r>
        <w:t xml:space="preserve"> provides a lucrative payout with a reasonable cap.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Diptyque’s $5 cash per item</w:t>
      </w:r>
      <w:r>
        <w:t xml:space="preserve"> (when selling 10 SKUs) combines volume-driven earnings with straightforward targets.</w:t>
      </w:r>
    </w:p>
    <w:p>
      <w:pPr>
        <w:spacing w:before="120" w:after="120"/>
      </w:pPr>
      <w:r>
        <w:t xml:space="preserve">2. </w:t>
      </w:r>
      <w:r>
        <w:rPr>
          <w:b/>
          <w:bCs/>
        </w:rPr>
        <w:t xml:space="preserve">Top 3 strategies to compete</w:t>
      </w:r>
      <w:r>
        <w:t xml:space="preserve">: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Introduce tiered cash incentives</w:t>
      </w:r>
      <w:r>
        <w:t xml:space="preserve"> for LVMH hero products (e.g., $15 cash for every Louis Vuitton fragrance sold, scaling with units).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Bundle vouchers with exclusive product testers</w:t>
      </w:r>
      <w:r>
        <w:t xml:space="preserve"> (e.g., $20 voucher + a Dior tester for every $1,000 sold) to add perceived value.</w:t>
      </w:r>
    </w:p>
    <w:p>
      <w:pPr>
        <w:spacing w:before="120" w:after="120"/>
      </w:pPr>
      <w:r>
        <w:t xml:space="preserve">- </w:t>
      </w:r>
      <w:r>
        <w:rPr>
          <w:b/>
          <w:bCs/>
        </w:rPr>
        <w:t xml:space="preserve">Simplify incentive structures</w:t>
      </w:r>
      <w:r>
        <w:t xml:space="preserve"> (e.g., flat $8 cash per bottle across all SKUs) to eliminate confusion and drive focus on high-margin items.</w:t>
      </w:r>
    </w:p>
    <w:p>
      <w:pPr>
        <w:spacing w:before="120" w:after="120"/>
      </w:pPr>
      <w:r>
        <w:t xml:space="preserve">3. </w:t>
      </w:r>
      <w:r>
        <w:rPr>
          <w:b/>
          <w:bCs/>
        </w:rPr>
        <w:t xml:space="preserve">Ensuring staff adoption</w:t>
      </w:r>
      <w:r>
        <w:t xml:space="preserve">:</w:t>
      </w:r>
    </w:p>
    <w:p>
      <w:pPr>
        <w:spacing w:before="120" w:after="120"/>
      </w:pPr>
      <w:r>
        <w:t xml:space="preserve">- Use visual comparison charts to show LVMH incentives outperform competitors (e.g., higher per-unit payouts than Acqua Di Parma).</w:t>
      </w:r>
    </w:p>
    <w:p>
      <w:pPr>
        <w:spacing w:before="120" w:after="120"/>
      </w:pPr>
      <w:r>
        <w:t xml:space="preserve">- Provide real-time tracking tools for staff to monitor earnings, emphasizing instant payouts over vouchers with caps.</w:t>
      </w:r>
    </w:p>
    <w:p>
      <w:pPr>
        <w:spacing w:before="120" w:after="120"/>
      </w:pPr>
      <w:r>
        <w:t xml:space="preserve">- Train staff to position LVMH incentives as “guaranteed rewards” (cash vs. conditional vouchers) to build trust and motivation.</w:t>
      </w:r>
    </w:p>
    <w:p>
      <w:pPr>
        <w:pStyle w:val="Heading1"/>
        <w:pageBreakBefore/>
        <w:pBdr>
          <w:bottom w:val="single" w:color="auto" w:sz="6" w:space="1"/>
        </w:pBdr>
        <w:spacing w:before="400" w:after="200"/>
      </w:pPr>
      <w:r>
        <w:t xml:space="preserve">Image Appendix</w:t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300" w:after="100"/>
      </w:pPr>
      <w:r>
        <w:t xml:space="preserve"> Feb 2025.jpeg</w:t>
      </w:r>
    </w:p>
    <w:p>
      <w:pPr>
        <w:spacing w:before="100" w:after="300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4e3ce0abe9670eb62a26878695fa6f7db77453c.png"/><Relationship Id="rId7" Type="http://schemas.openxmlformats.org/officeDocument/2006/relationships/image" Target="media/942baabc43bb820dbdd0c22a88e82d86d7180678.png"/><Relationship Id="rId8" Type="http://schemas.openxmlformats.org/officeDocument/2006/relationships/image" Target="media/42d42b213ff3cf197c209466fa8625d17245b4b5.png"/><Relationship Id="rId9" Type="http://schemas.openxmlformats.org/officeDocument/2006/relationships/image" Target="media/f98b0eb544331f5036ead58aeeac78e05f203974.png"/><Relationship Id="rId10" Type="http://schemas.openxmlformats.org/officeDocument/2006/relationships/image" Target="media/0ca2a157ea6f2f08f15a8385f0be179cb37f459a.png"/><Relationship Id="rId11" Type="http://schemas.openxmlformats.org/officeDocument/2006/relationships/image" Target="media/a662586d41dfd94cec37ecff722164a78d5d478d.png"/><Relationship Id="rId12" Type="http://schemas.openxmlformats.org/officeDocument/2006/relationships/image" Target="media/a580af21d7fd88b13f7964a0c33b47489a8cc42f.png"/><Relationship Id="rId13" Type="http://schemas.openxmlformats.org/officeDocument/2006/relationships/image" Target="media/8158fbc7fb3dafca3c89a0854b44db75e8ff8a3c.png"/><Relationship Id="rId14" Type="http://schemas.openxmlformats.org/officeDocument/2006/relationships/image" Target="media/9fd2bfb0a851f80b49cea05f2ccf53411f388ac9.png"/><Relationship Id="rId15" Type="http://schemas.openxmlformats.org/officeDocument/2006/relationships/image" Target="media/a47453919d8cbe9350b7485ef17415ac0fa9ea12.png"/><Relationship Id="rId16" Type="http://schemas.openxmlformats.org/officeDocument/2006/relationships/image" Target="media/b89ac921bfbeb84e2635634141fbd1643f785282.png"/><Relationship Id="rId17" Type="http://schemas.openxmlformats.org/officeDocument/2006/relationships/image" Target="media/06a6598842604786c7f6d582ce2f8056b7e44a04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2025-03-02T00:04:57.657Z</dcterms:created>
  <dcterms:modified xsi:type="dcterms:W3CDTF">2025-03-02T00:04:57.657Z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