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7:02:45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120" w:after="120"/>
      </w:pPr>
      <w:r>
        <w:rPr>
          <w:b/>
          <w:bCs/>
        </w:rPr>
        <w:t xml:space="preserve">Structured Analysis of Competitive Promotions (February 2025)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**1. Summary Table of Promotions &amp; Incentives**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Retailer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Product Category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Details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Period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Source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 (EDC/EDP)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Push Money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$2.50–$250 SGD per bottle sold (varies by SKU).&lt;br&gt;- $4–$10 SGD for specific 100ml/180ml bottles (e.g., Bergamotto di Calabria, Colonia C.LU.B.).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Acqua Di Parma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$5 SGD cash per bottle sold (Shilla payroll staff only).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Cartier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CK, Chloe, 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Fragrances/Cosmetics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 Incentive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$30 voucher per $1,200 CK products sold.&lt;br&gt;- $30 voucher per $1,500 Chloe products sold.&lt;br&gt;- $10 voucher per 3 Kylie Cosmic Fragrance bottles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CK, Chloe, Kylie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Home Fragrances/Candles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Volume-Based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$5 SGD per item sold for every 10 SKUs sold (e.g., diffusers, candles, sets).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Diptyque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Skincare/Lip Care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Sales Achievement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$10 shopping voucher per $600 sales.&lt;br&gt;- $10 Taka voucher per 5 sets of Lippe Balm Reform (3.7g)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Drunk Elephant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Burberry/Guccicos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Makeup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Bundle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$10 voucher per 2 focus SKUs sold (e.g., Burberry mascara, Guccicos lipstick).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 Burberry, Guccicos...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Multibrand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Per-SKU Incentive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$10 voucher per focus SKU sold (e.g., CK One, Chloe Nomade, Gucci Bloom).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 Multibrand...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Hermès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Volume-Based Rewards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**T1-T3**: $15 voucher per 3 X’mas sets sold (capped at $120).&lt;br&gt;- Testers awarded for bulk sales (e.g., 10 X’mas sets = 1 tester).&lt;br&gt;- **T4**: $50 voucher per 10 fragrances sold (capped at $100).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2024*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Hermes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Hermès Beauty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Cosmetics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Volume-Based Rewards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$30 voucher + 1 tester per 6 eye/lip pencils or eyeshadow palettes sold (capped at $120).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2024*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Hermes Beauty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Sun Care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Volume-Based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$10 voucher per 4 SKUs sold (e.g., sunscreens, body mists).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Lancaster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Cosmetics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Tiered Sales Incentive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Tier 1 ($1,000 sales): $10 voucher.&lt;br&gt;- Tier 2 ($3,000 sales): $50 voucher.&lt;br&gt;- Tier 3 ($5,000 sales): $80 voucher.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Nars - Feb 2025.jpeg</w:t>
            </w:r>
          </w:p>
        </w:tc>
      </w:tr>
    </w:tbl>
    <w:p>
      <w:pPr>
        <w:spacing w:before="120" w:after="120"/>
      </w:pPr>
      <w:r>
        <w:rPr>
          <w:b/>
          <w:bCs/>
        </w:rPr>
        <w:t xml:space="preserve">Notes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*Hermès promotions list "February’24" in the source, which may be a typo.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Acqua Di Parma’s $250 incentive appears unusually high but is explicitly stated in the source.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**2. Recommendations for LVMH**</w:t>
      </w:r>
    </w:p>
    <w:p>
      <w:pPr>
        <w:spacing w:before="120" w:after="120"/>
      </w:pPr>
      <w:r>
        <w:rPr>
          <w:b/>
          <w:bCs/>
        </w:rPr>
        <w:t xml:space="preserve">Actionable Insights Based on Competitive Landscape</w:t>
      </w:r>
      <w:r>
        <w:rPr>
          <w:b w:val="false"/>
          <w:bCs w:val="false"/>
        </w:rPr>
        <w:t xml:space="preserve">: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**Adopt Tiered Incentives**: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NARS and Hermès use tiered rewards to motivate higher sales.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**Action**: Introduce tiered incentives (e.g., $50 voucher for $3,000 sales) for LVMH brands like Dior or Fenty Beauty.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**Bundle Promotions for Fragrances**: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Multibrand and Hermès incentivize bulk sales of fragrance sets.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**Action**: Offer vouchers for selling LVMH gift sets (e.g., Maison Francis Kurkdjian holiday collections).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**Staff Testers as Rewards**: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Hermès provides testers for bulk sales, enhancing staff engagement.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**Action**: Reward staff with exclusive testers for hitting sales targets (e.g., 10 bottles of Louis Vuitton fragrances = 1 tester).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4. </w:t>
      </w:r>
      <w:r>
        <w:rPr>
          <w:b/>
          <w:bCs/>
        </w:rPr>
        <w:t xml:space="preserve">Target High-Value SKUs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Acqua Di Parma pushes 100ml/180ml bottles with higher incentives.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**Action**: Prioritize incentives for larger-sized or premium LVMH products (e.g., Parfums Christian Dior 150ml).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5. </w:t>
      </w:r>
      <w:r>
        <w:rPr>
          <w:b/>
          <w:bCs/>
        </w:rPr>
        <w:t xml:space="preserve">Sun Care &amp; Skincare Focus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Lancaster and Drunk Elephant emphasize sun care and lip care.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**Action**: Launch promotions for summer skincare lines (e.g., Guerlain sunscreens) with volume-based rewards.</w:t>
      </w:r>
    </w:p>
    <w:p>
      <w:pPr>
        <w:spacing w:before="120" w:after="120"/>
      </w:pPr>
    </w:p>
    <w:p>
      <w:pPr>
        <w:spacing w:before="120" w:after="120"/>
      </w:pPr>
      <w:r>
        <w:rPr>
          <w:b/>
          <w:bCs/>
        </w:rPr>
        <w:t xml:space="preserve">Key Takeaway</w:t>
      </w:r>
      <w:r>
        <w:rPr>
          <w:b w:val="false"/>
          <w:bCs w:val="false"/>
        </w:rPr>
        <w:t xml:space="preserve">: Competitors heavily leverage vouchers, testers, and volume-based incentives. LVMH can differentiate by combining these with exclusive product access (e.g., limited editions) and tiered rewards.</w:t>
      </w:r>
    </w:p>
    <w:p>
      <w:pPr>
        <w:pStyle w:val="Heading1"/>
        <w:pageBreakBefore/>
        <w:spacing w:before="400" w:after="200"/>
      </w:pPr>
      <w:r>
        <w:t xml:space="preserve">Source Images</w:t>
      </w:r>
    </w:p>
    <w:p>
      <w:pPr>
        <w:spacing w:before="200" w:after="400"/>
      </w:pPr>
      <w:r>
        <w:t xml:space="preserve">The following source images were analyzed for this report and are directly embedded below.</w:t>
      </w:r>
    </w:p>
    <w:p>
      <w:pPr>
        <w:pStyle w:val="Heading3"/>
        <w:spacing w:before="300" w:after="200"/>
      </w:pPr>
      <w:r>
        <w:t xml:space="preserve">Image 1: 1957be23-62ec-405f-a602-b7df44a8390f-Drunk Elephant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2: 1dce3ecd-70cc-4513-b643-050373790b68-Fragrance Burberry, Guccicos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3: 2266b8e1-175e-469f-aa27-9826cec205fa-CK, Chloe, Kylie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4: 2eee8662-33cc-425f-abc5-f208c61fa915-Diptyque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5: 384be887-76c8-4194-80f5-88cb56836003-Cartier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6: 40876d07-3353-472c-8884-04ac9d25ad68-Hermes Beauty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7: 49ebb037-bf46-401b-afa3-a8eb1f666c65-Hermes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8: 5972fce7-cc20-40be-a14e-35f1d7fa8c66-Lancaster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9: 8b1d197c-06b8-461c-abc9-11d501d78571-Fragrance Multibrand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10: b08f0a98-4afa-4fd6-88a9-1e0446a0e039-Holiday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11: c8cbddf7-0a59-425c-b8fa-23496f42e929-Nars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12: da91b1e7-999e-4aab-8fc9-44a35ba22bf0-Acqua Di Parma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spacing w:before="400" w:after="200"/>
      </w:pPr>
      <w:r>
        <w:t xml:space="preserve">A file with all embedded source images has been created at: /Users/jovin/lvmh-competitor-analysis/uploads/0302fa96-a740-4a1c-ac99-d2729ec30a05/embedded_images.html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2025-03-22T23:02:45.779Z</dcterms:created>
  <dcterms:modified xsi:type="dcterms:W3CDTF">2025-03-22T23:02:45.779Z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