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7:13:23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Sales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$2.50–$250 per bottle sold (Needs verification for $250 SKUs).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SKUs: COLONIA EDC 50ml, COLONIA ESSENZA EDC 50ml, SIG. OSMANTHUS EDP 20ml, SIG. OUD EDP 20ml, IBM EDT 100ml/180ml, SIG. EDP 100ml/180ml.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bottle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Cartier Perfumes.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CK/Chloe/Kylie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and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$1,200 CK sales / $1,500 Chloe sales; $10 voucher per 3 Kylie bottles.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 products (unspecified), Chloe products (unspecified), Kylie Cosmic Fragrance.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cash per item sold when 10 SKUs are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Diffusers, candles, gift sets, hair mists, hand/body care (e.g., DIPTYQUE PFM Diffuser Roses, COFFRET MINI CANDLES, EAU ROSE EDP + HAIR MIST SET).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1, 2, 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$600 sales; $10 voucher per 5 Lippe Balm sets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Lippe Balm Reform 3.7g (SKU: 42801673101).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Burberry/Guccicos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2 focus SKUs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BURBERRY mascara, cushion, eyeshadow; GUCCICOS mascara, blush, lipstick.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focus SKU sold.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Gift sets (e.g., CK One, Daisy Wild, Atelier des Fleurs, Bloom, Bottled).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 + 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$15 voucher per 3 X’mas sets (capped at $120); 1 tester per 10 X’mas sets.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sets, Twilly Collection, Barénia.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 (Fragrance)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 + 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$50 voucher per 10 Hermès fragrances (85ml/100ml); testers for X’mas/Barénia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Hermès fragrances (85ml/100ml), X’mas sets.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Beauty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 + 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per 6 Eye/Lip Pencils or Eye Shadow Palettes; testers for same.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Eye Pencils, Lip Pencils, Eyeliner, Eye Shadow Palettes, Mascara.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Holiday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BAs and GS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Incentives not explicitly stated.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Hand creams, body collections, candles.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Not specified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4 SKUs sold.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Sunscreen, body care, gift sets (e.g., LANCASTE SKIN SRD AAGE SPF30, SUN CONTROL SEN STHSPF50).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Data incomplete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Tiered vouchers: $10/$50/$80 for $1k/$3k/$5k sales.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NARS products (unspecified).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1. </w:t>
      </w:r>
      <w:r>
        <w:rPr>
          <w:b/>
          <w:bCs/>
        </w:rPr>
        <w:t xml:space="preserve">Top 3 Most Attractive Incentives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$250 Cash per Bottle (Needs Verification):** Exceptionally high per-item incentives for specific SKUs (e.g., COLONIA EDC 50ml), which could drive aggressive upselling.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$5 Cash per Bottle:** Simple, immediate cash rewards for all perfume sales, applicable across all terminals.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**Diptyque’s $5 Cash per Item Sold (10+ Units):** High per-item payout for volume sales of luxury home fragrances.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2. </w:t>
      </w:r>
      <w:r>
        <w:rPr>
          <w:b/>
          <w:bCs/>
        </w:rPr>
        <w:t xml:space="preserve">Top 3 Strategies to Compete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Incentives with Verification:**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Match Acqua Di Parma’s high incentives for strategic LVMH SKUs (e.g., Louis Vuitton fragrances) but implement verification to avoid overspending.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Example: Offer $150–$200 cash for flagship products, with capped monthly payouts.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**Simplified Volume-Based Rewards:**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Counter Diptyque’s structure with a lower threshold (e.g., $5 cash per 5 units sold) for LVMH candles/beauty sets.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Bundle complementary products (e.g., perfume + mini candle) to boost basket size.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**Hybrid Incentives (Cash + Product Testers):**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Adopt Hermes’ dual voucher + tester model: $10 cash + 1 tester per 3 bottles sold.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Testers act as both staff rewards and customer engagement tools.</w:t>
      </w:r>
    </w:p>
    <w:p>
      <w:pPr>
        <w:spacing w:before="120" w:after="120"/>
      </w:pPr>
    </w:p>
    <w:p>
      <w:pPr>
        <w:spacing w:before="120" w:after="120"/>
      </w:pPr>
      <w:r>
        <w:rPr>
          <w:b w:val="false"/>
          <w:bCs w:val="false"/>
        </w:rPr>
        <w:t xml:space="preserve">#### 3. </w:t>
      </w:r>
      <w:r>
        <w:rPr>
          <w:b/>
          <w:bCs/>
        </w:rPr>
        <w:t xml:space="preserve">Ensuring Staff Adoption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**Clarity and Simplicity:**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 straightforward metrics (e.g., “$5 cash per bottle”) instead of complex tiered systems. Staff prioritize easy-to-understand rewards.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**Immediate Payouts:**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Emphasize instant cash rewards over vouchers (e.g., “Get $10 in your next paycheck for every Dior Sauvage sold”).</w:t>
      </w:r>
    </w:p>
    <w:p>
      <w:pPr>
        <w:spacing w:before="120" w:after="120"/>
      </w:pP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**Training with Real Examples:**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Role-play scenarios: “If you sell 3 Louis Vuitton perfumes today, you earn $15 cash + a tester. Competitors only offer $10 vouchers for 2 items.”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Highlight LVMH’s brand prestige as a selling advantage to justify higher prices and staff confidence.</w:t>
      </w:r>
    </w:p>
    <w:p>
      <w:pPr>
        <w:spacing w:before="120" w:after="120"/>
      </w:pPr>
    </w:p>
    <w:p>
      <w:pPr>
        <w:spacing w:before="120" w:after="120"/>
      </w:pPr>
      <w:r>
        <w:t xml:space="preserve">---</w:t>
      </w:r>
    </w:p>
    <w:p>
      <w:pPr>
        <w:spacing w:before="120" w:after="120"/>
      </w:pPr>
      <w:r>
        <w:rPr>
          <w:b/>
          <w:bCs/>
        </w:rPr>
        <w:t xml:space="preserve">Note:</w:t>
      </w:r>
      <w:r>
        <w:rPr>
          <w:b w:val="false"/>
          <w:bCs w:val="false"/>
        </w:rPr>
        <w:t xml:space="preserve"> Acqua Di Parma’s $250 incentive requires urgent verification. If accurate, LVMH must address it directly to retain staff focus.</w:t>
      </w:r>
    </w:p>
    <w:p>
      <w:pPr>
        <w:pStyle w:val="Heading1"/>
        <w:pageBreakBefore/>
        <w:spacing w:before="400" w:after="200"/>
      </w:pPr>
      <w:r>
        <w:t xml:space="preserve">Source Images for Reference</w:t>
      </w:r>
    </w:p>
    <w:p>
      <w:pPr>
        <w:spacing w:before="200" w:after="400"/>
      </w:pPr>
      <w:r>
        <w:t xml:space="preserve">The following images were used as source data for this analysis. An HTML file with all images is included in the download ZIP file for better viewing.</w:t>
      </w:r>
    </w:p>
    <w:p>
      <w:pPr>
        <w:pStyle w:val="Heading3"/>
        <w:spacing w:before="300" w:after="200"/>
      </w:pPr>
      <w:r>
        <w:t xml:space="preserve">Image 1: 3f3703ee-1890-4306-8adc-966d4ba2b6ff-Lancaster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2: 426e7227-3595-4d01-b3ed-c400dc223fb2-Holiday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3: 4c926b12-7fbf-4d32-8357-8728575b2613-Hermes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4: 5329afd8-3d24-4936-90b9-211cd4a353a2-Nars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5: 65fae419-ab98-4386-8b37-311ad13582e6-Drunk Elephant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6: 76b14391-2144-43d3-b764-5cbb8356c509-Hermes Beauty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7: 84d27791-24dc-4957-9460-81f1478fbbe3-Fragrance Burberry, Guccicos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8: 84f79bfd-3d5f-46b3-9fb3-edd60bee357c-Fragrance Multibrand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9: 8d0fb417-8fb7-416e-8506-641e03f5bd22-Diptyque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10: 93d5118f-4cc5-4bef-bae6-fc59811521cf-CK, Chloe, Kylie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11: df87f4f6-1024-4d1c-ad4d-e1bb89037f36-Acqua Di Parma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pStyle w:val="Heading3"/>
        <w:spacing w:before="300" w:after="200"/>
      </w:pPr>
      <w:r>
        <w:t xml:space="preserve">Image 12: f1b5992d-961a-4abf-a99e-8072a7d89600-Cartier - Feb 2025.jpeg</w:t>
      </w:r>
    </w:p>
    <w:p>
      <w:pPr>
        <w:spacing w:before="100" w:after="300"/>
      </w:pPr>
      <w:r>
        <w:t xml:space="preserve">This image is available in the Source_Images.html file included in the ZIP download.</w:t>
      </w:r>
    </w:p>
    <w:p>
      <w:pPr>
        <w:spacing w:before="200" w:after="200"/>
      </w:pPr>
      <w:r>
        <w:t xml:space="preserve">A complete HTML file with all source images is included in the download ZIP file.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2025-03-22T23:13:23.361Z</dcterms:created>
  <dcterms:modified xsi:type="dcterms:W3CDTF">2025-03-22T23:13:23.361Z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