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pBdr>
          <w:bottom w:val="single" w:color="3366CC" w:sz="6" w:space="1"/>
        </w:pBdr>
        <w:spacing w:after="400"/>
        <w:jc w:val="center"/>
      </w:pPr>
      <w:r>
        <w:t xml:space="preserve">LVMH Competitor Analysis Report</w:t>
      </w:r>
    </w:p>
    <w:p>
      <w:pPr>
        <w:spacing w:after="200"/>
        <w:jc w:val="right"/>
      </w:pPr>
      <w:r>
        <w:rPr>
          <w:sz w:val="20"/>
          <w:szCs w:val="20"/>
        </w:rPr>
        <w:t xml:space="preserve">Generated on: 3/22/2025, 6:35:39 PM</w:t>
      </w:r>
    </w:p>
    <w:p>
      <w:pPr>
        <w:spacing w:after="400"/>
        <w:jc w:val="right"/>
      </w:pPr>
      <w:r>
        <w:rPr>
          <w:sz w:val="20"/>
          <w:szCs w:val="20"/>
        </w:rPr>
        <w:t xml:space="preserve">Number of images analyzed: 12</w:t>
      </w:r>
    </w:p>
    <w:p>
      <w:pPr>
        <w:spacing w:before="200" w:after="100"/>
      </w:pPr>
      <w:r>
        <w:rPr>
          <w:b/>
          <w:bCs/>
          <w:sz w:val="24"/>
          <w:szCs w:val="24"/>
        </w:rPr>
        <w:t xml:space="preserve">Competitor Sales Incentive Analysis Table</w:t>
      </w:r>
    </w:p>
    <w:p>
      <w:pPr>
        <w:spacing w:before="120" w:after="120"/>
      </w:pPr>
    </w:p>
    <w:tbl>
      <w:tblPr>
        <w:tblW w:type="pct" w:w="100%"/>
        <w:tblBorders>
          <w:top w:val="single" w:color="888888" w:sz="1"/>
          <w:left w:val="single" w:color="888888" w:sz="1"/>
          <w:bottom w:val="single" w:color="888888" w:sz="1"/>
          <w:right w:val="single" w:color="888888" w:sz="1"/>
          <w:insideH w:val="single" w:color="AAAAAA" w:sz="1"/>
          <w:insideV w:val="single" w:color="AAAAAA" w:sz="1"/>
        </w:tblBorders>
        <w:tblCellMar>
          <w:top w:type="dxa" w:w="100"/>
          <w:left w:type="dxa" w:w="100"/>
          <w:bottom w:type="dxa" w:w="100"/>
          <w:right w:type="dxa" w:w="100"/>
        </w:tblCellMar>
      </w:tblPr>
      <w:tblGrid>
        <w:gridCol w:w="100"/>
        <w:gridCol w:w="100"/>
        <w:gridCol w:w="100"/>
        <w:gridCol w:w="100"/>
        <w:gridCol w:w="100"/>
        <w:gridCol w:w="100"/>
      </w:tblGrid>
      <w:tr>
        <w:trPr>
          <w:tblHeader/>
          <w:trHeight w:val="400" w:hRule="atLeast"/>
        </w:trPr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Brand</w:t>
            </w:r>
          </w:p>
        </w:tc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Location of Promotion</w:t>
            </w:r>
          </w:p>
        </w:tc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Eligible Staff</w:t>
            </w:r>
          </w:p>
        </w:tc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Incentive Type</w:t>
            </w:r>
          </w:p>
        </w:tc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Incentive Description</w:t>
            </w:r>
          </w:p>
        </w:tc>
        <w:tc>
          <w:tcPr>
            <w:shd w:fill="D0E0F5"/>
            <w:vAlign w:val="center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 xml:space="preserve">Relevant SKUs/Products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Acqua Di Parma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Shilla Payroll (likely)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Cash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$2.50–$250 per bottle sold (Needs verification for $250 SKUs)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SKUs listed (e.g., COLONIA EDC SO ML, SIG. OSMANTHUS EDP 20 ML, etc.)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Burberry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$10 voucher for every 2 focus SKUs sold (Festive Limited Edition makeup items)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BURBERRY MAKE B/VOLUME MASCARA 01 BLACK, GUCCICOS MAKE EYE PL LE24, etc.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Cartier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All terminals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Shilla Payroll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Cash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$5 cash per bottle of Cartier perfume sold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All Cartier perfumes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Chloe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GS BAAT Wing and Arrival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BA &amp; GS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$30 voucher for every $1,500 Chloe products sold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Not specified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CK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GS BAAT Wing and Arrival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BA &amp; GS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$30 voucher for every $1,200 CK products sold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Not specified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Diptyque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All stores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BA &amp; GS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Cash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$5 per item sold (credited to payroll) for every 10 SKUs sold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Diffusers, candles, sets (e.g., DIPTYQUE PFM Diffuser Roses, COFFRET MINI CANDLES)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Drunk Elephant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Terminals 1, 2, 3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Shiseido Group BAs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$10 voucher per $600 sales achievement; $10 voucher for every 5 Lippe Balm sets sold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LIPPE BALM REFORM 3.7g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Fragrance PM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$10 voucher per focus SKU sold (XM24 sets)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CK One, Chloe EDP sets, Daisy Wild, etc.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Hermes (Fragrance)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Terminals 1–3, T4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Voucher/Product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T1–T3: $15 voucher per 3 X’mas sets; T4: $50 voucher per 10 fragrances; testers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X’mas Sets, Twilly Collection, Barénia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Hermes (Beauty)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Voucher/Product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$30 voucher per 6 eye/lip pencils or palettes sold; testers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Eye Pencil, Lip Pencil, Eyeliner, Eye Shadow Palettes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Kylie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GS BAAT Wing and Arrival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BA &amp; GS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$10 voucher for every 3 Kylie Cosmic Fragrance bottles sold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Not specified</w:t>
            </w:r>
          </w:p>
        </w:tc>
      </w:tr>
      <w:tr>
        <w:tc>
          <w:tcPr>
            <w:shd w:fill="F5F5F5"/>
          </w:tcPr>
          <w:p>
            <w:pPr>
              <w:spacing w:before="50" w:after="50"/>
            </w:pPr>
            <w:r>
              <w:t xml:space="preserve">Lancaster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All stores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Data incomplete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$10 voucher for every 4 SKUs sold</w:t>
            </w:r>
          </w:p>
        </w:tc>
        <w:tc>
          <w:tcPr>
            <w:shd w:fill="F5F5F5"/>
          </w:tcPr>
          <w:p>
            <w:pPr>
              <w:spacing w:before="50" w:after="50"/>
            </w:pPr>
            <w:r>
              <w:t xml:space="preserve">SUN PROTECTION, BODY SPF, KID SPF, etc.</w:t>
            </w:r>
          </w:p>
        </w:tc>
      </w:tr>
      <w:tr>
        <w:tc>
          <w:tcPr>
            <w:shd w:fill="FFFFFF"/>
          </w:tcPr>
          <w:p>
            <w:pPr>
              <w:spacing w:before="50" w:after="50"/>
            </w:pPr>
            <w:r>
              <w:t xml:space="preserve">NARS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All locations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Shiseido Group BAs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Voucher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Tiered vouchers: $10 (T1), $50 (T2), $80 (T3) based on $1k/$3k/$5k sales</w:t>
            </w:r>
          </w:p>
        </w:tc>
        <w:tc>
          <w:tcPr>
            <w:shd w:fill="FFFFFF"/>
          </w:tcPr>
          <w:p>
            <w:pPr>
              <w:spacing w:before="50" w:after="50"/>
            </w:pPr>
            <w:r>
              <w:t xml:space="preserve">Not specified</w:t>
            </w:r>
          </w:p>
        </w:tc>
      </w:tr>
    </w:tbl>
    <w:p>
      <w:pPr>
        <w:spacing w:before="120" w:after="120"/>
      </w:pPr>
      <w:r>
        <w:t xml:space="preserve">---</w:t>
      </w:r>
    </w:p>
    <w:p>
      <w:pPr>
        <w:spacing w:before="120" w:after="120"/>
      </w:pPr>
    </w:p>
    <w:p>
      <w:pPr>
        <w:spacing w:before="200" w:after="100"/>
      </w:pPr>
      <w:r>
        <w:rPr>
          <w:b/>
          <w:bCs/>
          <w:sz w:val="24"/>
          <w:szCs w:val="24"/>
        </w:rPr>
        <w:t xml:space="preserve">Recommendations &amp; Analysis</w:t>
      </w:r>
    </w:p>
    <w:p>
      <w:pPr>
        <w:spacing w:before="120" w:after="120"/>
      </w:pPr>
    </w:p>
    <w:p>
      <w:pPr>
        <w:spacing w:before="120" w:after="120"/>
      </w:pPr>
      <w:r>
        <w:rPr>
          <w:b w:val="false"/>
          <w:bCs w:val="false"/>
        </w:rPr>
        <w:t xml:space="preserve">#### 1. </w:t>
      </w:r>
      <w:r>
        <w:rPr>
          <w:b/>
          <w:bCs/>
        </w:rPr>
        <w:t xml:space="preserve">Top 3 Most Attractive Incentives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**Acqua Di Parma’s $250 Push Money (Needs Verification):**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If accurate, this is exceptionally high compared to industry norms (typically $2–$20 per item). Likely a data entry error, but if valid, it would dominate staff focus.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**Cartier’s $5 Cash Per Bottle:**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Simple, immediate cash rewards with no caps or thresholds. Easy to understand and appealing for high-volume sellers.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**Diptyque’s $5 Per Item for Volume Sales:**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Rewards bulk sales with direct payroll credits, incentivizing staff to push multiple units.</w:t>
      </w:r>
    </w:p>
    <w:p>
      <w:pPr>
        <w:spacing w:before="120" w:after="120"/>
      </w:pPr>
    </w:p>
    <w:p>
      <w:pPr>
        <w:spacing w:before="120" w:after="120"/>
      </w:pPr>
      <w:r>
        <w:rPr>
          <w:b w:val="false"/>
          <w:bCs w:val="false"/>
        </w:rPr>
        <w:t xml:space="preserve">#### 2. </w:t>
      </w:r>
      <w:r>
        <w:rPr>
          <w:b/>
          <w:bCs/>
        </w:rPr>
        <w:t xml:space="preserve">Top 3 Strategies to Compete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**Tiered Cash Incentives for High-Value SKUs:**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Offer escalating cash rewards for selling LVMH’s high-margin products (e.g., $10 cash for 1 bottle, $25 for 3). This outperforms Cartier’s flat $5 rate.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**Combined Volume + Product Rewards:**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Pair cash incentives with exclusive product testers (e.g., “Sell 5 Dior Sauvage EDT 100ml, get $50 + a limited-edition tester”). Combats Hermes’ tester-driven strategy.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**Simplified Voucher Thresholds:**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Replace complex tiered systems (e.g., NARS) with straightforward rewards (e.g., “$20 voucher per $1,000 sold”). Reduces confusion and increases transparency.</w:t>
      </w:r>
    </w:p>
    <w:p>
      <w:pPr>
        <w:spacing w:before="120" w:after="120"/>
      </w:pPr>
    </w:p>
    <w:p>
      <w:pPr>
        <w:spacing w:before="120" w:after="120"/>
      </w:pPr>
      <w:r>
        <w:rPr>
          <w:b w:val="false"/>
          <w:bCs w:val="false"/>
        </w:rPr>
        <w:t xml:space="preserve">#### 3. </w:t>
      </w:r>
      <w:r>
        <w:rPr>
          <w:b/>
          <w:bCs/>
        </w:rPr>
        <w:t xml:space="preserve">Ensuring Staff Adoption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**Clarity Over Complexity:**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Train staff with clear, one-sentence explanations (e.g., “Sell 3 bottles, earn $30 cash today”). Avoid multi-tiered or capped incentives that require mental calculation.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**Immediate Payouts:**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Highlight instant rewards (e.g., daily cash bonuses) versus competitors’ delayed vouchers or payroll credits.</w:t>
      </w:r>
    </w:p>
    <w:p>
      <w:pPr>
        <w:pStyle w:val="ListParagraph"/>
        <w:numPr>
          <w:ilvl w:val="0"/>
          <w:numId w:val="2"/>
        </w:numPr>
        <w:spacing w:before="100" w:after="100"/>
      </w:pPr>
      <w:r>
        <w:t xml:space="preserve">**Competitive Benchmarking:**</w:t>
      </w:r>
    </w:p>
    <w:p>
      <w:pPr>
        <w:pStyle w:val="ListParagraph"/>
        <w:numPr>
          <w:ilvl w:val="0"/>
          <w:numId w:val="1"/>
        </w:numPr>
        <w:spacing w:before="100" w:after="100"/>
      </w:pPr>
      <w:r>
        <w:t xml:space="preserve">Share side-by-side comparisons (e.g., “Cartier pays $5 per bottle; we pay $8”). Use visual aids in staff areas to reinforce advantages.</w:t>
      </w:r>
    </w:p>
    <w:p>
      <w:pPr>
        <w:pStyle w:val="Heading1"/>
        <w:pageBreakBefore/>
        <w:spacing w:before="400" w:after="200"/>
      </w:pPr>
      <w:r>
        <w:t xml:space="preserve">Source Images</w:t>
      </w:r>
    </w:p>
    <w:p>
      <w:pPr>
        <w:spacing w:before="200" w:after="400"/>
      </w:pPr>
      <w:r>
        <w:t xml:space="preserve">The following images were used as source data for this analysis and are included for reference to verify the accuracy of the extracted information.</w:t>
      </w:r>
    </w:p>
    <w:p>
      <w:pPr>
        <w:pStyle w:val="Heading3"/>
        <w:spacing w:before="300" w:after="200"/>
      </w:pPr>
      <w:r>
        <w:t xml:space="preserve">Image 1: 0568af7c-3c4d-43af-8384-00da0a8fe9e6-Holiday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0568af7c-3c4d-43af-8384-00da0a8fe9e6-Holiday - Feb 2025.jpeg" descr="0568af7c-3c4d-43af-8384-00da0a8fe9e6-Holiday - Feb 2025.jpeg" titl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2: 17e4c96d-5996-4c8c-ab1a-3e14a6a3d343-Acqua Di Parma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17e4c96d-5996-4c8c-ab1a-3e14a6a3d343-Acqua Di Parma - Feb 2025.jpeg" descr="17e4c96d-5996-4c8c-ab1a-3e14a6a3d343-Acqua Di Parma - Feb 2025.jpeg" titl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3: 193a3d7d-5da4-4a22-ad0e-78fc8431684b-Hermes Beauty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193a3d7d-5da4-4a22-ad0e-78fc8431684b-Hermes Beauty - Feb 2025.jpeg" descr="193a3d7d-5da4-4a22-ad0e-78fc8431684b-Hermes Beauty - Feb 2025.jpeg" titl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4: 1cfbbcbe-c466-48b6-8625-ee3a592d50a5-Diptyque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1cfbbcbe-c466-48b6-8625-ee3a592d50a5-Diptyque - Feb 2025.jpeg" descr="1cfbbcbe-c466-48b6-8625-ee3a592d50a5-Diptyque - Feb 2025.jpeg" titl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5: 382320b0-dcf5-4956-8ccb-8a78ffcf37e3-Drunk Elephant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382320b0-dcf5-4956-8ccb-8a78ffcf37e3-Drunk Elephant - Feb 2025.jpeg" descr="382320b0-dcf5-4956-8ccb-8a78ffcf37e3-Drunk Elephant - Feb 2025.jpeg" titl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6: 42dbac24-4933-457c-8da4-5cd68a87d412-Cartier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42dbac24-4933-457c-8da4-5cd68a87d412-Cartier - Feb 2025.jpeg" descr="42dbac24-4933-457c-8da4-5cd68a87d412-Cartier - Feb 2025.jpeg" titl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7: 52bd2923-6a15-4c88-8daa-4ef20ad44d41-Nars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52bd2923-6a15-4c88-8daa-4ef20ad44d41-Nars - Feb 2025.jpeg" descr="52bd2923-6a15-4c88-8daa-4ef20ad44d41-Nars - Feb 2025.jpeg" titl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8: 7406a116-162b-4e54-91e3-ccef4ad8e5f7-Fragrance Burberry, Guccicos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7406a116-162b-4e54-91e3-ccef4ad8e5f7-Fragrance Burberry, Guccicos - Feb 2025.jpeg" descr="7406a116-162b-4e54-91e3-ccef4ad8e5f7-Fragrance Burberry, Guccicos - Feb 2025.jpeg" titl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9: aeb15794-0061-4642-8f1f-88abd96ec003-Hermes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aeb15794-0061-4642-8f1f-88abd96ec003-Hermes - Feb 2025.jpeg" descr="aeb15794-0061-4642-8f1f-88abd96ec003-Hermes - Feb 2025.jpeg" titl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10: aeb1e177-2776-404e-8c62-e41cd4fdcb4c-Lancaster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aeb1e177-2776-404e-8c62-e41cd4fdcb4c-Lancaster - Feb 2025.jpeg" descr="aeb1e177-2776-404e-8c62-e41cd4fdcb4c-Lancaster - Feb 2025.jpeg" titl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11: c4f6f2cb-549d-40d8-b0e4-7a276d3991d6-Fragrance Multibrand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c4f6f2cb-549d-40d8-b0e4-7a276d3991d6-Fragrance Multibrand - Feb 2025.jpeg" descr="c4f6f2cb-549d-40d8-b0e4-7a276d3991d6-Fragrance Multibrand - Feb 2025.jpeg" titl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300" w:after="200"/>
      </w:pPr>
      <w:r>
        <w:t xml:space="preserve">Image 12: c7c63581-2a84-441c-ae71-e72d1a7a70cc-CK, Chloe, Kylie - Feb 2025.jpeg</w:t>
      </w:r>
    </w:p>
    <w:p>
      <w:pPr>
        <w:spacing w:before="200" w:after="400"/>
        <w:jc w:val="center"/>
      </w:pPr>
      <w:r>
        <w:drawing>
          <wp:inline distT="0" distB="0" distL="0" distR="0">
            <wp:extent cx="4762500" cy="3571875"/>
            <wp:effectExtent t="0" r="0" b="0" l="0"/>
            <wp:docPr id="1" name="c7c63581-2a84-441c-ae71-e72d1a7a70cc-CK, Chloe, Kylie - Feb 2025.jpeg" descr="c7c63581-2a84-441c-ae71-e72d1a7a70cc-CK, Chloe, Kylie - Feb 2025.jpeg" titl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lvlJc w:val="start"/>
      <w:pPr>
        <w:ind w:left="720" w:hanging="360"/>
      </w:pPr>
    </w:lvl>
    <w:lvl w:ilvl="1" w15:tentative="1">
      <w:start w:val="1"/>
      <w:numFmt w:val="lowerLetter"/>
      <w:lvlText w:val="%2."/>
      <w:lvlJc w:val="start"/>
      <w:pPr>
        <w:ind w:left="1440" w:hanging="360"/>
      </w:pPr>
    </w:lvl>
    <w:lvl w:ilvl="2" w15:tentative="1">
      <w:start w:val="1"/>
      <w:numFmt w:val="lowerRoman"/>
      <w:lvlText w:val="%3."/>
      <w:lvlJc w:val="start"/>
      <w:pPr>
        <w:ind w:left="2160" w:hanging="360"/>
      </w:pPr>
    </w:lvl>
  </w:abstractNum>
  <w:num w:numId="1">
    <w:abstractNumId w:val="1"/>
    <w:lvlOverride w:ilvl="0">
      <w:startOverride w:val="1"/>
    </w:lvlOverride>
  </w:num>
  <w:num w:numId="2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f98b0eb544331f5036ead58aeeac78e05f203974.undefined"/><Relationship Id="rId7" Type="http://schemas.openxmlformats.org/officeDocument/2006/relationships/image" Target="media/a662586d41dfd94cec37ecff722164a78d5d478d.undefined"/><Relationship Id="rId8" Type="http://schemas.openxmlformats.org/officeDocument/2006/relationships/image" Target="media/9fd2bfb0a851f80b49cea05f2ccf53411f388ac9.undefined"/><Relationship Id="rId9" Type="http://schemas.openxmlformats.org/officeDocument/2006/relationships/image" Target="media/8158fbc7fb3dafca3c89a0854b44db75e8ff8a3c.undefined"/><Relationship Id="rId10" Type="http://schemas.openxmlformats.org/officeDocument/2006/relationships/image" Target="media/42d42b213ff3cf197c209466fa8625d17245b4b5.undefined"/><Relationship Id="rId11" Type="http://schemas.openxmlformats.org/officeDocument/2006/relationships/image" Target="media/0ca2a157ea6f2f08f15a8385f0be179cb37f459a.undefined"/><Relationship Id="rId12" Type="http://schemas.openxmlformats.org/officeDocument/2006/relationships/image" Target="media/b89ac921bfbeb84e2635634141fbd1643f785282.undefined"/><Relationship Id="rId13" Type="http://schemas.openxmlformats.org/officeDocument/2006/relationships/image" Target="media/06a6598842604786c7f6d582ce2f8056b7e44a04.undefined"/><Relationship Id="rId14" Type="http://schemas.openxmlformats.org/officeDocument/2006/relationships/image" Target="media/a580af21d7fd88b13f7964a0c33b47489a8cc42f.undefined"/><Relationship Id="rId15" Type="http://schemas.openxmlformats.org/officeDocument/2006/relationships/image" Target="media/942baabc43bb820dbdd0c22a88e82d86d7180678.undefined"/><Relationship Id="rId16" Type="http://schemas.openxmlformats.org/officeDocument/2006/relationships/image" Target="media/e4e3ce0abe9670eb62a26878695fa6f7db77453c.undefined"/><Relationship Id="rId17" Type="http://schemas.openxmlformats.org/officeDocument/2006/relationships/image" Target="media/a47453919d8cbe9350b7485ef17415ac0fa9ea12.undefined"/><Relationship Id="rId18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2025-03-22T22:35:39.947Z</dcterms:created>
  <dcterms:modified xsi:type="dcterms:W3CDTF">2025-03-22T22:35:39.947Z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