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ectPr>
          <w:pgSz w:w="12240" w:h="15840"/>
          <w:pgMar w:top="1440" w:right="1800" w:bottom="1440" w:left="1800" w:header="720" w:footer="720" w:gutter="0"/>
          <w:cols w:space="720"/>
          <w:docGrid w:linePitch="360"/>
        </w:sectPr>
      </w:pPr>
    </w:p>
    <w:p>
      <w:pPr>
        <w:pStyle w:val="Heading1"/>
      </w:pPr>
      <w:r>
        <w:t>机组诊断案例集</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第一期 </w:t>
      </w:r>
    </w:p>
    <w:p>
      <w:pPr>
        <w:jc w:val="center"/>
      </w:pPr>
      <w:r>
        <w:drawing>
          <wp:inline xmlns:a="http://schemas.openxmlformats.org/drawingml/2006/main" xmlns:pic="http://schemas.openxmlformats.org/drawingml/2006/picture">
            <wp:extent cx="4572000" cy="4463556"/>
            <wp:docPr id="1" name="Picture 1"/>
            <wp:cNvGraphicFramePr>
              <a:graphicFrameLocks noChangeAspect="1"/>
            </wp:cNvGraphicFramePr>
            <a:graphic>
              <a:graphicData uri="http://schemas.openxmlformats.org/drawingml/2006/picture">
                <pic:pic>
                  <pic:nvPicPr>
                    <pic:cNvPr id="1" name="[137, 646, 1191, 1675]_0.jpg"/>
                    <pic:cNvPicPr/>
                  </pic:nvPicPr>
                  <pic:blipFill>
                    <a:blip r:embed="rId9"/>
                    <a:stretch>
                      <a:fillRect/>
                    </a:stretch>
                  </pic:blipFill>
                  <pic:spPr>
                    <a:xfrm>
                      <a:off x="0" y="0"/>
                      <a:ext cx="4572000" cy="4463556"/>
                    </a:xfrm>
                    <a:prstGeom prst="rect"/>
                  </pic:spPr>
                </pic:pic>
              </a:graphicData>
            </a:graphic>
          </wp:inline>
        </w:drawing>
      </w:r>
    </w:p>
    <w:p>
      <w:pPr>
        <w:sectPr>
          <w:type w:val="continuous"/>
          <w:pgSz w:w="12240" w:h="15840"/>
          <w:pgMar w:top="1440" w:right="1800" w:bottom="1440" w:left="1800" w:header="720" w:footer="720" w:gutter="0"/>
          <w:cols w:space="720"/>
          <w:docGrid w:linePitch="360"/>
        </w:sectPr>
      </w:pPr>
    </w:p>
    <w:p>
      <w:pPr>
        <w:ind w:firstLine="360"/>
      </w:pPr>
      <w:r>
        <w:rPr>
          <w:sz w:val="20"/>
        </w:rPr>
        <w:t xml:space="preserve">沈阳鼓风机集团测控技术有限公司 </w:t>
      </w:r>
    </w:p>
    <w:p>
      <w:pPr>
        <w:ind w:firstLine="360"/>
      </w:pPr>
      <w:r>
        <w:rPr>
          <w:sz w:val="20"/>
        </w:rPr>
        <w:t xml:space="preserve">图2.4发电机波形频谱分析图 </w:t>
      </w:r>
    </w:p>
    <w:p>
      <w:pPr>
        <w:ind w:firstLine="360"/>
      </w:pPr>
      <w:r>
        <w:rPr>
          <w:sz w:val="20"/>
        </w:rPr>
        <w:t xml:space="preserve">图2.5发电机波形频谱分析图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图2.6是发电机最近一次开机的Bode图，分析可得，发电机后端轴承振动偏大。 </w:t>
      </w:r>
    </w:p>
    <w:p>
      <w:pPr>
        <w:ind w:firstLine="360"/>
      </w:pPr>
      <w:r>
        <w:rPr>
          <w:sz w:val="20"/>
        </w:rPr>
        <w:t xml:space="preserve">第9页共26页 </w:t>
      </w:r>
    </w:p>
    <w:p>
      <w:pPr>
        <w:sectPr>
          <w:type w:val="continuous"/>
          <w:pgSz w:w="12240" w:h="15840"/>
          <w:pgMar w:top="1440" w:right="1800" w:bottom="1440" w:left="1800" w:header="720" w:footer="720" w:gutter="0"/>
          <w:cols w:space="720"/>
          <w:docGrid w:linePitch="360"/>
        </w:sectPr>
      </w:pPr>
    </w:p>
    <w:p>
      <w:pPr>
        <w:ind w:firstLine="360"/>
      </w:pPr>
      <w:r>
        <w:rPr>
          <w:sz w:val="20"/>
        </w:rPr>
        <w:t xml:space="preserve">沈阳鼓风机集团测控技术有限公司 </w:t>
      </w:r>
    </w:p>
    <w:p>
      <w:pPr>
        <w:pStyle w:val="Heading1"/>
      </w:pPr>
      <w:r>
        <w:t>2.4结论与建议</w:t>
      </w:r>
    </w:p>
    <w:p>
      <w:pPr>
        <w:ind w:firstLine="360"/>
      </w:pPr>
      <w:r>
        <w:rPr>
          <w:sz w:val="20"/>
        </w:rPr>
        <w:t xml:space="preserve">图2.6发电机启停机Bode图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通过以上分析，15MW发电机前后端油膜状态不稳定，且后端轴承的润滑状态不良。 </w:t>
      </w:r>
      <w:r>
        <w:rPr>
          <w:sz w:val="20"/>
        </w:rPr>
        <w:t xml:space="preserve">为了保证生产建议有机会停机检查发电机前后的润滑油压力、温度，以及后端轴承间隙 </w:t>
      </w:r>
      <w:r>
        <w:rPr>
          <w:sz w:val="20"/>
        </w:rPr>
        <w:t xml:space="preserve">和瓦背紧力。 </w:t>
      </w:r>
    </w:p>
    <w:p>
      <w:pPr>
        <w:sectPr>
          <w:type w:val="continuous"/>
          <w:pgSz w:w="12240" w:h="15840"/>
          <w:pgMar w:top="1440" w:right="1800" w:bottom="1440" w:left="1800" w:header="720" w:footer="720" w:gutter="0"/>
          <w:cols w:space="720" w:num="1"/>
          <w:docGrid w:linePitch="360"/>
        </w:sectPr>
      </w:pPr>
    </w:p>
    <w:p>
      <w:pPr>
        <w:pStyle w:val="Heading1"/>
      </w:pPr>
      <w:r>
        <w:t>2.5 处理后的情况跟踪</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机组于2014年5月停机检维修一次，检查15MW发电机前、后端轴承间隙和瓦背紧力， </w:t>
      </w:r>
      <w:r>
        <w:rPr>
          <w:sz w:val="20"/>
        </w:rPr>
        <w:t xml:space="preserve">对润滑油的压力、温度进行了适当调整，开机后发电机轴振降低，尤其后端轴承振动幅值大 </w:t>
      </w:r>
      <w:r>
        <w:rPr>
          <w:sz w:val="20"/>
        </w:rPr>
        <w:t xml:space="preserve">幅度降低，运行非常平稳，见图2.7。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图2.7发电机通频值趋势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第10页共26页 </w:t>
      </w:r>
    </w:p>
    <w:p>
      <w:pPr>
        <w:sectPr>
          <w:type w:val="continuous"/>
          <w:pgSz w:w="12240" w:h="15840"/>
          <w:pgMar w:top="1440" w:right="1800" w:bottom="1440" w:left="1800" w:header="720" w:footer="720" w:gutter="0"/>
          <w:cols w:space="720"/>
          <w:docGrid w:linePitch="360"/>
        </w:sectPr>
      </w:pPr>
    </w:p>
    <w:p>
      <w:pPr>
        <w:ind w:firstLine="360"/>
      </w:pPr>
      <w:r>
        <w:rPr>
          <w:sz w:val="20"/>
        </w:rPr>
        <w:t xml:space="preserve">金沈阳鼓风机集团测控技术有限公司 </w:t>
      </w:r>
    </w:p>
    <w:p>
      <w:pPr>
        <w:pStyle w:val="Heading1"/>
      </w:pPr>
      <w:r>
        <w:t>3某厂硝酸四合一机组故障分析</w:t>
      </w:r>
    </w:p>
    <w:p>
      <w:pPr>
        <w:pStyle w:val="Heading1"/>
      </w:pPr>
      <w:r>
        <w:t>3.1设备概况</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硝酸四合一机组外貌图如图3.1，从左至右依次是汽轮机、NOx压缩机、齿轮箱、空压 </w:t>
      </w:r>
      <w:r>
        <w:rPr>
          <w:sz w:val="20"/>
        </w:rPr>
        <w:t xml:space="preserve">机与尾气透平。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硝酸四合一机组设计技术参数详见表3.1。 </w:t>
      </w:r>
    </w:p>
    <w:p>
      <w:pPr>
        <w:ind w:firstLine="360"/>
      </w:pPr>
      <w:r>
        <w:rPr>
          <w:sz w:val="20"/>
        </w:rPr>
        <w:t xml:space="preserve">图3.1硝酸四合一机组 </w:t>
      </w:r>
    </w:p>
    <w:p>
      <w:pPr>
        <w:ind w:firstLine="360"/>
      </w:pPr>
      <w:r>
        <w:rPr>
          <w:sz w:val="20"/>
        </w:rPr>
        <w:t xml:space="preserve">表3.1机组设计参数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2160"/>
        <w:gridCol w:w="2160"/>
        <w:gridCol w:w="2160"/>
        <w:gridCol w:w="2160"/>
      </w:tblGrid>
      <w:tr>
        <w:tc>
          <w:tcPr>
            <w:tcW w:type="dxa" w:w="8640"/>
            <w:gridSpan w:val="4"/>
          </w:tcPr>
          <w:p>
            <w:r>
              <w:t>NOx压缩机（主机1)</w:t>
            </w:r>
          </w:p>
        </w:tc>
      </w:tr>
      <w:tr>
        <w:tc>
          <w:tcPr>
            <w:tcW w:type="dxa" w:w="2160"/>
          </w:tcPr>
          <w:p>
            <w:r>
              <w:t>工作转速 r/min</w:t>
            </w:r>
          </w:p>
        </w:tc>
        <w:tc>
          <w:tcPr>
            <w:tcW w:type="dxa" w:w="2160"/>
          </w:tcPr>
          <w:p>
            <w:r>
              <w:t>6789</w:t>
            </w:r>
          </w:p>
        </w:tc>
        <w:tc>
          <w:tcPr>
            <w:tcW w:type="dxa" w:w="2160"/>
          </w:tcPr>
          <w:p>
            <w:r>
              <w:t>转向(从原动机端看)</w:t>
            </w:r>
          </w:p>
        </w:tc>
        <w:tc>
          <w:tcPr>
            <w:tcW w:type="dxa" w:w="2160"/>
          </w:tcPr>
          <w:p>
            <w:r>
              <w:t xml:space="preserve"> </w:t>
            </w:r>
          </w:p>
        </w:tc>
      </w:tr>
      <w:tr>
        <w:tc>
          <w:tcPr>
            <w:tcW w:type="dxa" w:w="2160"/>
          </w:tcPr>
          <w:p>
            <w:r>
              <w:t>一阶临界转速r/min</w:t>
            </w:r>
          </w:p>
        </w:tc>
        <w:tc>
          <w:tcPr>
            <w:tcW w:type="dxa" w:w="2160"/>
          </w:tcPr>
          <w:p>
            <w:r>
              <w:t>3016</w:t>
            </w:r>
          </w:p>
        </w:tc>
        <w:tc>
          <w:tcPr>
            <w:tcW w:type="dxa" w:w="2160"/>
          </w:tcPr>
          <w:p>
            <w:r>
              <w:t>二阶临界转速r/min</w:t>
            </w:r>
          </w:p>
        </w:tc>
        <w:tc>
          <w:tcPr>
            <w:tcW w:type="dxa" w:w="2160"/>
          </w:tcPr>
          <w:p>
            <w:r>
              <w:t>8853</w:t>
            </w:r>
          </w:p>
        </w:tc>
      </w:tr>
      <w:tr>
        <w:tc>
          <w:tcPr>
            <w:tcW w:type="dxa" w:w="2160"/>
          </w:tcPr>
          <w:p>
            <w:r>
              <w:t>设计流量 Nm/hr</w:t>
            </w:r>
          </w:p>
        </w:tc>
        <w:tc>
          <w:tcPr>
            <w:tcW w:type="dxa" w:w="6480"/>
            <w:gridSpan w:val="3"/>
          </w:tcPr>
          <w:p>
            <w:r>
              <w:t>140425</w:t>
            </w:r>
          </w:p>
        </w:tc>
      </w:tr>
      <w:tr>
        <w:tc>
          <w:tcPr>
            <w:tcW w:type="dxa" w:w="2160"/>
          </w:tcPr>
          <w:p>
            <w:r>
              <w:t>进口压力MPaA</w:t>
            </w:r>
          </w:p>
        </w:tc>
        <w:tc>
          <w:tcPr>
            <w:tcW w:type="dxa" w:w="2160"/>
          </w:tcPr>
          <w:p>
            <w:r>
              <w:t>0.4</w:t>
            </w:r>
          </w:p>
        </w:tc>
        <w:tc>
          <w:tcPr>
            <w:tcW w:type="dxa" w:w="2160"/>
          </w:tcPr>
          <w:p>
            <w:r>
              <w:t>出口压力MPaA</w:t>
            </w:r>
          </w:p>
        </w:tc>
        <w:tc>
          <w:tcPr>
            <w:tcW w:type="dxa" w:w="2160"/>
          </w:tcPr>
          <w:p>
            <w:r>
              <w:t>1.1</w:t>
            </w:r>
          </w:p>
        </w:tc>
      </w:tr>
      <w:tr>
        <w:tc>
          <w:tcPr>
            <w:tcW w:type="dxa" w:w="2160"/>
          </w:tcPr>
          <w:p>
            <w:r>
              <w:t>进口温度℃</w:t>
            </w:r>
          </w:p>
        </w:tc>
        <w:tc>
          <w:tcPr>
            <w:tcW w:type="dxa" w:w="2160"/>
          </w:tcPr>
          <w:p>
            <w:r>
              <w:t>50</w:t>
            </w:r>
          </w:p>
        </w:tc>
        <w:tc>
          <w:tcPr>
            <w:tcW w:type="dxa" w:w="2160"/>
          </w:tcPr>
          <w:p>
            <w:r>
              <w:t>出口温度℃</w:t>
            </w:r>
          </w:p>
        </w:tc>
        <w:tc>
          <w:tcPr>
            <w:tcW w:type="dxa" w:w="2160"/>
          </w:tcPr>
          <w:p>
            <w:r>
              <w:t>174.7</w:t>
            </w:r>
          </w:p>
        </w:tc>
      </w:tr>
      <w:tr>
        <w:tc>
          <w:tcPr>
            <w:tcW w:type="dxa" w:w="2160"/>
          </w:tcPr>
          <w:p>
            <w:r>
              <w:t>驱动端支承轴承类型</w:t>
            </w:r>
          </w:p>
        </w:tc>
        <w:tc>
          <w:tcPr>
            <w:tcW w:type="dxa" w:w="2160"/>
          </w:tcPr>
          <w:p>
            <w:r>
              <w:t>可倾瓦</w:t>
            </w:r>
          </w:p>
        </w:tc>
        <w:tc>
          <w:tcPr>
            <w:tcW w:type="dxa" w:w="2160"/>
          </w:tcPr>
          <w:p>
            <w:r>
              <w:t>止推轴承类型</w:t>
            </w:r>
          </w:p>
        </w:tc>
        <w:tc>
          <w:tcPr>
            <w:tcW w:type="dxa" w:w="2160"/>
          </w:tcPr>
          <w:p>
            <w:r>
              <w:t>金斯伯雷</w:t>
            </w:r>
          </w:p>
        </w:tc>
      </w:tr>
      <w:tr>
        <w:tc>
          <w:tcPr>
            <w:tcW w:type="dxa" w:w="8640"/>
            <w:gridSpan w:val="4"/>
          </w:tcPr>
          <w:p>
            <w:r>
              <w:t>齿轮箱</w:t>
            </w:r>
          </w:p>
        </w:tc>
      </w:tr>
      <w:tr>
        <w:tc>
          <w:tcPr>
            <w:tcW w:type="dxa" w:w="2160"/>
          </w:tcPr>
          <w:p>
            <w:r>
              <w:t>低速轴额定转速r/min</w:t>
            </w:r>
          </w:p>
        </w:tc>
        <w:tc>
          <w:tcPr>
            <w:tcW w:type="dxa" w:w="2160"/>
          </w:tcPr>
          <w:p>
            <w:r>
              <w:t>5970</w:t>
            </w:r>
          </w:p>
        </w:tc>
        <w:tc>
          <w:tcPr>
            <w:tcW w:type="dxa" w:w="2160"/>
          </w:tcPr>
          <w:p>
            <w:r>
              <w:t>高速轴额定转速r/min</w:t>
            </w:r>
          </w:p>
        </w:tc>
        <w:tc>
          <w:tcPr>
            <w:tcW w:type="dxa" w:w="2160"/>
          </w:tcPr>
          <w:p>
            <w:r>
              <w:t>6789</w:t>
            </w:r>
          </w:p>
        </w:tc>
      </w:tr>
      <w:tr>
        <w:tc>
          <w:tcPr>
            <w:tcW w:type="dxa" w:w="2160"/>
          </w:tcPr>
          <w:p>
            <w:r>
              <w:t>振动报警值 μm</w:t>
            </w:r>
          </w:p>
        </w:tc>
        <w:tc>
          <w:tcPr>
            <w:tcW w:type="dxa" w:w="2160"/>
          </w:tcPr>
          <w:p>
            <w:r>
              <w:t>46</w:t>
            </w:r>
          </w:p>
        </w:tc>
        <w:tc>
          <w:tcPr>
            <w:tcW w:type="dxa" w:w="2160"/>
          </w:tcPr>
          <w:p>
            <w:r>
              <w:t>振动停机值 um</w:t>
            </w:r>
          </w:p>
        </w:tc>
        <w:tc>
          <w:tcPr>
            <w:tcW w:type="dxa" w:w="2160"/>
          </w:tcPr>
          <w:p>
            <w:r>
              <w:t>62</w:t>
            </w:r>
          </w:p>
        </w:tc>
      </w:tr>
      <w:tr>
        <w:tc>
          <w:tcPr>
            <w:tcW w:type="dxa" w:w="2160"/>
          </w:tcPr>
          <w:p>
            <w:r>
              <w:t>联轴器形式</w:t>
            </w:r>
          </w:p>
        </w:tc>
        <w:tc>
          <w:tcPr>
            <w:tcW w:type="dxa" w:w="6480"/>
            <w:gridSpan w:val="3"/>
          </w:tcPr>
          <w:p>
            <w:r>
              <w:t>膜片联轴器</w:t>
            </w:r>
          </w:p>
        </w:tc>
      </w:tr>
    </w:tbl>
    <w:p>
      <w:pPr>
        <w:sectPr>
          <w:type w:val="continuous"/>
          <w:pgSz w:w="12240" w:h="15840"/>
          <w:pgMar w:top="1440" w:right="1800" w:bottom="1440" w:left="1800" w:header="720" w:footer="720" w:gutter="0"/>
          <w:cols w:space="720" w:num="1"/>
          <w:docGrid w:linePitch="360"/>
        </w:sectPr>
      </w:pPr>
    </w:p>
    <w:p>
      <w:pPr>
        <w:pStyle w:val="Heading1"/>
      </w:pPr>
      <w:r>
        <w:t>3.2 故障现象</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NOx压缩机在2013年10月-2013年11月试机，10月24日在过临界转速时，振动偏大， </w:t>
      </w:r>
      <w:r>
        <w:rPr>
          <w:sz w:val="20"/>
        </w:rPr>
        <w:t xml:space="preserve">第11页共26页 </w:t>
      </w:r>
    </w:p>
    <w:p>
      <w:pPr>
        <w:sectPr>
          <w:type w:val="continuous"/>
          <w:pgSz w:w="12240" w:h="15840"/>
          <w:pgMar w:top="1440" w:right="1800" w:bottom="1440" w:left="1800" w:header="720" w:footer="720" w:gutter="0"/>
          <w:cols w:space="720"/>
          <w:docGrid w:linePitch="360"/>
        </w:sectPr>
      </w:pPr>
    </w:p>
    <w:p>
      <w:pPr>
        <w:ind w:firstLine="360"/>
      </w:pPr>
      <w:r>
        <w:rPr>
          <w:sz w:val="20"/>
        </w:rPr>
        <w:t xml:space="preserve">沈阳鼓风机集团测控技术有限公司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出口端轴承振幅最大达到62um；齿轮箱运行振动偏大，低速端轴承振幅最大达到27um， </w:t>
      </w:r>
      <w:r>
        <w:rPr>
          <w:sz w:val="20"/>
        </w:rPr>
        <w:t xml:space="preserve">在 </w:t>
      </w:r>
      <w:r>
        <w:rPr>
          <w:sz w:val="20"/>
        </w:rPr>
        <w:t xml:space="preserve">2014年6月24日，齿轮箱低速端轴承振动增长，振幅快速上升3um。 </w:t>
      </w:r>
    </w:p>
    <w:p>
      <w:pPr>
        <w:sectPr>
          <w:type w:val="continuous"/>
          <w:pgSz w:w="12240" w:h="15840"/>
          <w:pgMar w:top="1440" w:right="1800" w:bottom="1440" w:left="1800" w:header="720" w:footer="720" w:gutter="0"/>
          <w:cols w:space="720" w:num="1"/>
          <w:docGrid w:linePitch="360"/>
        </w:sectPr>
      </w:pPr>
    </w:p>
    <w:p>
      <w:pPr>
        <w:pStyle w:val="Heading1"/>
      </w:pPr>
      <w:r>
        <w:t>3.3故障分析</w:t>
      </w:r>
    </w:p>
    <w:p>
      <w:pPr>
        <w:ind w:firstLine="360"/>
      </w:pPr>
      <w:r>
        <w:rPr>
          <w:sz w:val="20"/>
        </w:rPr>
        <w:t xml:space="preserve">图3.2为硝酸机组总貌图。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2161911"/>
            <wp:docPr id="2" name="Picture 1"/>
            <wp:cNvGraphicFramePr>
              <a:graphicFrameLocks noChangeAspect="1"/>
            </wp:cNvGraphicFramePr>
            <a:graphic>
              <a:graphicData uri="http://schemas.openxmlformats.org/drawingml/2006/picture">
                <pic:pic>
                  <pic:nvPicPr>
                    <pic:cNvPr id="2" name="[179, 327, 1008, 719]_0.jpg"/>
                    <pic:cNvPicPr/>
                  </pic:nvPicPr>
                  <pic:blipFill>
                    <a:blip r:embed="rId10"/>
                    <a:stretch>
                      <a:fillRect/>
                    </a:stretch>
                  </pic:blipFill>
                  <pic:spPr>
                    <a:xfrm>
                      <a:off x="0" y="0"/>
                      <a:ext cx="4572000" cy="2161911"/>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图3.2硝酸四合一机组总貌图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齿轮箱高、低速轴四个通道轴振趋势图见图3.3和图3.4，分析可得，低速轴振动振幅较 </w:t>
      </w:r>
      <w:r>
        <w:rPr>
          <w:sz w:val="20"/>
        </w:rPr>
        <w:t xml:space="preserve">高速轴偏大，振动能量以1x分量为主。 </w:t>
      </w:r>
    </w:p>
    <w:p>
      <w:pPr>
        <w:jc w:val="center"/>
      </w:pPr>
      <w:r>
        <w:drawing>
          <wp:inline xmlns:a="http://schemas.openxmlformats.org/drawingml/2006/main" xmlns:pic="http://schemas.openxmlformats.org/drawingml/2006/picture">
            <wp:extent cx="4572000" cy="2437300"/>
            <wp:docPr id="3" name="Picture 2"/>
            <wp:cNvGraphicFramePr>
              <a:graphicFrameLocks noChangeAspect="1"/>
            </wp:cNvGraphicFramePr>
            <a:graphic>
              <a:graphicData uri="http://schemas.openxmlformats.org/drawingml/2006/picture">
                <pic:pic>
                  <pic:nvPicPr>
                    <pic:cNvPr id="3" name="[180, 868, 1011, 1311]_0.jpg"/>
                    <pic:cNvPicPr/>
                  </pic:nvPicPr>
                  <pic:blipFill>
                    <a:blip r:embed="rId11"/>
                    <a:stretch>
                      <a:fillRect/>
                    </a:stretch>
                  </pic:blipFill>
                  <pic:spPr>
                    <a:xfrm>
                      <a:off x="0" y="0"/>
                      <a:ext cx="4572000" cy="2437300"/>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图3.3通频趋势图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第12页共26页 </w:t>
      </w:r>
    </w:p>
    <w:p>
      <w:pPr>
        <w:sectPr>
          <w:type w:val="continuous"/>
          <w:pgSz w:w="12240" w:h="15840"/>
          <w:pgMar w:top="1440" w:right="1800" w:bottom="1440" w:left="1800" w:header="720" w:footer="720" w:gutter="0"/>
          <w:cols w:space="720"/>
          <w:docGrid w:linePitch="360"/>
        </w:sectPr>
      </w:pPr>
    </w:p>
    <w:p>
      <w:pPr>
        <w:ind w:firstLine="360"/>
      </w:pPr>
      <w:r>
        <w:rPr>
          <w:sz w:val="20"/>
        </w:rPr>
        <w:t xml:space="preserve">沈阳鼓风机集团测控技术有限公司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7439550"/>
            <wp:docPr id="4" name="Picture 1"/>
            <wp:cNvGraphicFramePr>
              <a:graphicFrameLocks noChangeAspect="1"/>
            </wp:cNvGraphicFramePr>
            <a:graphic>
              <a:graphicData uri="http://schemas.openxmlformats.org/drawingml/2006/picture">
                <pic:pic>
                  <pic:nvPicPr>
                    <pic:cNvPr id="4" name="[170, 119, 1023, 1507]_0.jpg"/>
                    <pic:cNvPicPr/>
                  </pic:nvPicPr>
                  <pic:blipFill>
                    <a:blip r:embed="rId12"/>
                    <a:stretch>
                      <a:fillRect/>
                    </a:stretch>
                  </pic:blipFill>
                  <pic:spPr>
                    <a:xfrm>
                      <a:off x="0" y="0"/>
                      <a:ext cx="4572000" cy="7439550"/>
                    </a:xfrm>
                    <a:prstGeom prst="rect"/>
                  </pic:spPr>
                </pic:pic>
              </a:graphicData>
            </a:graphic>
          </wp:inline>
        </w:drawing>
      </w:r>
    </w:p>
    <w:p>
      <w:pPr>
        <w:ind w:firstLine="360"/>
      </w:pPr>
      <w:r>
        <w:rPr>
          <w:sz w:val="20"/>
        </w:rPr>
        <w:t xml:space="preserve">图3.511月2日齿轮箱轴心位置图 </w:t>
      </w:r>
      <w:r>
        <w:rPr>
          <w:sz w:val="20"/>
        </w:rPr>
        <w:t xml:space="preserve">第13页共26页 </w:t>
      </w:r>
    </w:p>
    <w:p>
      <w:pPr>
        <w:sectPr>
          <w:type w:val="continuous"/>
          <w:pgSz w:w="12240" w:h="15840"/>
          <w:pgMar w:top="1440" w:right="1800" w:bottom="1440" w:left="1800" w:header="720" w:footer="720" w:gutter="0"/>
          <w:cols w:space="720"/>
          <w:docGrid w:linePitch="360"/>
        </w:sectPr>
      </w:pPr>
    </w:p>
    <w:p>
      <w:pPr>
        <w:ind w:firstLine="360"/>
      </w:pPr>
      <w:r>
        <w:rPr>
          <w:sz w:val="20"/>
        </w:rPr>
        <w:t xml:space="preserve">沈阳鼓风机集团测控技术有限公司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4350163"/>
            <wp:docPr id="5" name="Picture 1"/>
            <wp:cNvGraphicFramePr>
              <a:graphicFrameLocks noChangeAspect="1"/>
            </wp:cNvGraphicFramePr>
            <a:graphic>
              <a:graphicData uri="http://schemas.openxmlformats.org/drawingml/2006/picture">
                <pic:pic>
                  <pic:nvPicPr>
                    <pic:cNvPr id="5" name="[171, 136, 1016, 940]_0.jpg"/>
                    <pic:cNvPicPr/>
                  </pic:nvPicPr>
                  <pic:blipFill>
                    <a:blip r:embed="rId13"/>
                    <a:stretch>
                      <a:fillRect/>
                    </a:stretch>
                  </pic:blipFill>
                  <pic:spPr>
                    <a:xfrm>
                      <a:off x="0" y="0"/>
                      <a:ext cx="4572000" cy="4350163"/>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图3.611月13日齿轮箱轴心位置图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图3.5和图3.6反映了齿轮箱高速轴的轴心位置较低速轴的轴心位置混乱，判断为齿轮箱 </w:t>
      </w:r>
      <w:r>
        <w:rPr>
          <w:sz w:val="20"/>
        </w:rPr>
        <w:t xml:space="preserve">低速端运行状态不佳。于2014年6月24日齿轮箱低速轴振动有3um的快速上升，同时伴随 </w:t>
      </w:r>
      <w:r>
        <w:rPr>
          <w:sz w:val="20"/>
        </w:rPr>
        <w:t xml:space="preserve">瓦温升高，判断低速端有摩擦存在，见图3.7和图3.8运行趋势图谱。 </w:t>
      </w:r>
    </w:p>
    <w:p>
      <w:pPr>
        <w:ind w:firstLine="360"/>
      </w:pPr>
      <w:r>
        <w:rPr>
          <w:sz w:val="20"/>
        </w:rPr>
        <w:t xml:space="preserve">第14页共26页 </w:t>
      </w:r>
    </w:p>
    <w:p>
      <w:pPr>
        <w:sectPr>
          <w:type w:val="continuous"/>
          <w:pgSz w:w="12240" w:h="15840"/>
          <w:pgMar w:top="1440" w:right="1800" w:bottom="1440" w:left="1800" w:header="720" w:footer="720" w:gutter="0"/>
          <w:cols w:space="720"/>
          <w:docGrid w:linePitch="360"/>
        </w:sectPr>
      </w:pPr>
    </w:p>
    <w:p>
      <w:pPr>
        <w:ind w:firstLine="360"/>
      </w:pPr>
      <w:r>
        <w:rPr>
          <w:sz w:val="20"/>
        </w:rPr>
        <w:t xml:space="preserve">沈阳鼓风机集团测控技术有限公司 </w:t>
      </w:r>
    </w:p>
    <w:p>
      <w:pPr>
        <w:ind w:firstLine="360"/>
      </w:pPr>
      <w:r>
        <w:rPr>
          <w:sz w:val="20"/>
        </w:rPr>
        <w:t xml:space="preserve">图3.81x趋势图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图3.9和图3.10是NOx压缩机近期运行趋势图，分析可得，压缩机运行不平稳，振动幅 </w:t>
      </w:r>
      <w:r>
        <w:rPr>
          <w:sz w:val="20"/>
        </w:rPr>
        <w:t xml:space="preserve">值较高。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图3.9通频趋势图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第15页共26页 </w:t>
      </w:r>
    </w:p>
    <w:p>
      <w:pPr>
        <w:sectPr>
          <w:type w:val="continuous"/>
          <w:pgSz w:w="12240" w:h="15840"/>
          <w:pgMar w:top="1440" w:right="1800" w:bottom="1440" w:left="1800" w:header="720" w:footer="720" w:gutter="0"/>
          <w:cols w:space="720"/>
          <w:docGrid w:linePitch="360"/>
        </w:sectPr>
      </w:pPr>
    </w:p>
    <w:p>
      <w:pPr>
        <w:ind w:firstLine="360"/>
      </w:pPr>
      <w:r>
        <w:rPr>
          <w:sz w:val="20"/>
        </w:rPr>
        <w:t xml:space="preserve">沈阳鼓风机集团测控技术有限公司 </w:t>
      </w:r>
    </w:p>
    <w:p>
      <w:pPr>
        <w:ind w:firstLine="360"/>
      </w:pPr>
      <w:r>
        <w:rPr>
          <w:sz w:val="20"/>
        </w:rPr>
        <w:t xml:space="preserve">图3.101x势图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图3.11为NOx压缩机在24日的启停机Bode图，分析可得，压缩机在过临界转速时， </w:t>
      </w:r>
      <w:r>
        <w:rPr>
          <w:sz w:val="20"/>
        </w:rPr>
        <w:t xml:space="preserve">振动较大，振幅上升过大，说明转子过临界转速振动比较敏感，判定转子上存在结垢。 </w:t>
      </w:r>
    </w:p>
    <w:p>
      <w:pPr>
        <w:sectPr>
          <w:type w:val="continuous"/>
          <w:pgSz w:w="12240" w:h="15840"/>
          <w:pgMar w:top="1440" w:right="1800" w:bottom="1440" w:left="1800" w:header="720" w:footer="720" w:gutter="0"/>
          <w:cols w:space="720" w:num="1"/>
          <w:docGrid w:linePitch="360"/>
        </w:sectPr>
      </w:pPr>
    </w:p>
    <w:p>
      <w:pPr>
        <w:pStyle w:val="Heading1"/>
      </w:pPr>
      <w:r>
        <w:t>3.4结论与建议</w:t>
      </w:r>
    </w:p>
    <w:p>
      <w:pPr>
        <w:ind w:firstLine="360"/>
      </w:pPr>
      <w:r>
        <w:rPr>
          <w:sz w:val="20"/>
        </w:rPr>
        <w:t xml:space="preserve">图3.1110月24日启停机Bode图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通过以上分析，判断NOx压缩机转子上存在结垢；齿轮箱低速端运转不良，产生摩擦的 </w:t>
      </w:r>
      <w:r>
        <w:rPr>
          <w:sz w:val="20"/>
        </w:rPr>
        <w:t xml:space="preserve">可能性很大。 </w:t>
      </w:r>
      <w:r>
        <w:rPr>
          <w:sz w:val="20"/>
        </w:rPr>
        <w:t xml:space="preserve">为了保证生产建议有机会停机检查，尤其对齿轮箱低速端进行排查。 </w:t>
      </w:r>
    </w:p>
    <w:p>
      <w:pPr>
        <w:sectPr>
          <w:type w:val="continuous"/>
          <w:pgSz w:w="12240" w:h="15840"/>
          <w:pgMar w:top="1440" w:right="1800" w:bottom="1440" w:left="1800" w:header="720" w:footer="720" w:gutter="0"/>
          <w:cols w:space="720" w:num="1"/>
          <w:docGrid w:linePitch="360"/>
        </w:sectPr>
      </w:pPr>
    </w:p>
    <w:p>
      <w:pPr>
        <w:pStyle w:val="Heading1"/>
      </w:pPr>
      <w:r>
        <w:t>3.5处理后的情况跟踪</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机组于2014年6-7月停机检修一次，NOx压缩机开盖检查，NOx压缩机转子上存在氨 </w:t>
      </w:r>
      <w:r>
        <w:rPr>
          <w:sz w:val="20"/>
        </w:rPr>
        <w:t xml:space="preserve">第16页共26页 </w:t>
      </w:r>
    </w:p>
    <w:p>
      <w:pPr>
        <w:sectPr>
          <w:type w:val="continuous"/>
          <w:pgSz w:w="12240" w:h="15840"/>
          <w:pgMar w:top="1440" w:right="1800" w:bottom="1440" w:left="1800" w:header="720" w:footer="720" w:gutter="0"/>
          <w:cols w:space="720"/>
          <w:docGrid w:linePitch="360"/>
        </w:sectPr>
      </w:pPr>
    </w:p>
    <w:p>
      <w:pPr>
        <w:ind w:firstLine="360"/>
      </w:pPr>
      <w:r>
        <w:rPr>
          <w:sz w:val="20"/>
        </w:rPr>
        <w:t xml:space="preserve">沈阳鼓风机集团测控技术有限公司 </w:t>
      </w:r>
    </w:p>
    <w:p>
      <w:pPr>
        <w:ind w:firstLine="360"/>
      </w:pPr>
      <w:r>
        <w:rPr>
          <w:sz w:val="20"/>
        </w:rPr>
        <w:t xml:space="preserve">图3.12NOx压缩机通频趋势图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齿轮箱开盖检修，高低速轴齿轮表面状态良好，如图3.13；低速轴轴承间隙过低，为 </w:t>
      </w:r>
      <w:r>
        <w:rPr>
          <w:sz w:val="20"/>
        </w:rPr>
        <w:t xml:space="preserve">0.08mm,低于设计值0.2mm，导致轴瓦巴氏合金磨损，图3.14为低速轴轴承轴瓦摩擦的痕迹； </w:t>
      </w:r>
      <w:r>
        <w:rPr>
          <w:sz w:val="20"/>
        </w:rPr>
        <w:t xml:space="preserve">在检维修后将低速轴承间隙调整为0.18mm,开机后齿轮箱运行非常平稳，运行趋势见图3.15。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图3.13齿轮箱高低速轴齿轮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第17页共26页 </w:t>
      </w:r>
    </w:p>
    <w:p>
      <w:pPr>
        <w:sectPr>
          <w:type w:val="continuous"/>
          <w:pgSz w:w="12240" w:h="15840"/>
          <w:pgMar w:top="1440" w:right="1800" w:bottom="1440" w:left="1800" w:header="720" w:footer="720" w:gutter="0"/>
          <w:cols w:space="720"/>
          <w:docGrid w:linePitch="360"/>
        </w:sectPr>
      </w:pPr>
    </w:p>
    <w:p>
      <w:pPr>
        <w:ind w:firstLine="360"/>
      </w:pPr>
      <w:r>
        <w:rPr>
          <w:sz w:val="20"/>
        </w:rPr>
        <w:t xml:space="preserve">沈阳鼓风机集团测控技术有限公司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4816929"/>
            <wp:docPr id="6" name="Picture 1"/>
            <wp:cNvGraphicFramePr>
              <a:graphicFrameLocks noChangeAspect="1"/>
            </wp:cNvGraphicFramePr>
            <a:graphic>
              <a:graphicData uri="http://schemas.openxmlformats.org/drawingml/2006/picture">
                <pic:pic>
                  <pic:nvPicPr>
                    <pic:cNvPr id="6" name="[173, 149, 1013, 1034]_0.jpg"/>
                    <pic:cNvPicPr/>
                  </pic:nvPicPr>
                  <pic:blipFill>
                    <a:blip r:embed="rId14"/>
                    <a:stretch>
                      <a:fillRect/>
                    </a:stretch>
                  </pic:blipFill>
                  <pic:spPr>
                    <a:xfrm>
                      <a:off x="0" y="0"/>
                      <a:ext cx="4572000" cy="4816929"/>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图3.15齿轮箱通频趋势图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第18页共26页 </w:t>
      </w:r>
    </w:p>
    <w:p>
      <w:pPr>
        <w:sectPr>
          <w:type w:val="continuous"/>
          <w:pgSz w:w="12240" w:h="15840"/>
          <w:pgMar w:top="1440" w:right="1800" w:bottom="1440" w:left="1800" w:header="720" w:footer="720" w:gutter="0"/>
          <w:cols w:space="720"/>
          <w:docGrid w:linePitch="360"/>
        </w:sectPr>
      </w:pPr>
    </w:p>
    <w:p>
      <w:pPr>
        <w:ind w:firstLine="360"/>
      </w:pPr>
      <w:r>
        <w:rPr>
          <w:sz w:val="20"/>
        </w:rPr>
        <w:t xml:space="preserve">NG&amp;CONTROLTECHNOLOGYCo, </w:t>
      </w:r>
    </w:p>
    <w:p>
      <w:pPr>
        <w:pStyle w:val="Heading1"/>
      </w:pPr>
      <w:r>
        <w:t>前言</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故障是每一位设备管理人员不想经历却又不得不面对的难题。设备发生故障后将面临设 </w:t>
      </w:r>
      <w:r>
        <w:rPr>
          <w:sz w:val="20"/>
        </w:rPr>
        <w:t xml:space="preserve">备修理、停产损失、产品质量、能源消耗、追加投资等大量的经济损失。显然传统的事后维 </w:t>
      </w:r>
      <w:r>
        <w:rPr>
          <w:sz w:val="20"/>
        </w:rPr>
        <w:t xml:space="preserve">修、定期检修理念无法实现对设备运行状态的准确把握，对于维护费用的投入和预期相比是 </w:t>
      </w:r>
      <w:r>
        <w:rPr>
          <w:sz w:val="20"/>
        </w:rPr>
        <w:t xml:space="preserve">存在很大差异的。 </w:t>
      </w:r>
      <w:r>
        <w:rPr>
          <w:sz w:val="20"/>
        </w:rPr>
        <w:t xml:space="preserve">随着信息化技术的高速发展，设备厂商的技术优势与计算机及网络技术完美结合，专业 </w:t>
      </w:r>
      <w:r>
        <w:rPr>
          <w:sz w:val="20"/>
        </w:rPr>
        <w:t xml:space="preserve">的设备诊断专家通过互联网即可实现对用户现场设备的远程监测及故障分析诊断，从而实现 </w:t>
      </w:r>
      <w:r>
        <w:rPr>
          <w:sz w:val="20"/>
        </w:rPr>
        <w:t xml:space="preserve">了设备的状态维修和主动维修。不但提升了用户的设备管理水平，更在维护、诊断、修理等 </w:t>
      </w:r>
      <w:r>
        <w:rPr>
          <w:sz w:val="20"/>
        </w:rPr>
        <w:t xml:space="preserve">方面带来了更多的经济收益，提高了投资效率。 </w:t>
      </w:r>
      <w:r>
        <w:rPr>
          <w:sz w:val="20"/>
        </w:rPr>
        <w:t xml:space="preserve">沈阳鼓风机集团测控技术有限公司依托于沈阳鼓风机集团在压缩机领域中数十年研发、 </w:t>
      </w:r>
      <w:r>
        <w:rPr>
          <w:sz w:val="20"/>
        </w:rPr>
        <w:t xml:space="preserve">生产、维修等方面的技术优势，通过自主研发出适用于大型旋转机械设备的状态监测及远程 </w:t>
      </w:r>
      <w:r>
        <w:rPr>
          <w:sz w:val="20"/>
        </w:rPr>
        <w:t xml:space="preserve">诊断系统SG8000同步、稳定获取用户现场机组数据，为用户提供实时监测、故障预警、故障 </w:t>
      </w:r>
      <w:r>
        <w:rPr>
          <w:sz w:val="20"/>
        </w:rPr>
        <w:t xml:space="preserve">诊断、现场诊断、培训等多项服务内容。 </w:t>
      </w:r>
      <w:r>
        <w:rPr>
          <w:sz w:val="20"/>
        </w:rPr>
        <w:t xml:space="preserve">我们将服务中遇到的典型故障诊断案例进行整理，每个案例由设备基础信息、故障现象、 </w:t>
      </w:r>
      <w:r>
        <w:rPr>
          <w:sz w:val="20"/>
        </w:rPr>
        <w:t xml:space="preserve">故障分析、结论、效果确认几部分组成，相信这些典型的案例可以很好的帮助我们的用户使 </w:t>
      </w:r>
      <w:r>
        <w:rPr>
          <w:sz w:val="20"/>
        </w:rPr>
        <w:t xml:space="preserve">用SG8000系统，了解故障分析流程，掌握故障机理，从而提升设备管理人员的故障诊断的水 </w:t>
      </w:r>
      <w:r>
        <w:rPr>
          <w:sz w:val="20"/>
        </w:rPr>
        <w:t xml:space="preserve">平。 </w:t>
      </w:r>
      <w:r>
        <w:rPr>
          <w:sz w:val="20"/>
        </w:rPr>
        <w:t xml:space="preserve">目前我们推出了更多的沟通平台，用户可以通过登录我们的网站：www.shenguyun.com; </w:t>
      </w:r>
      <w:r>
        <w:rPr>
          <w:sz w:val="20"/>
        </w:rPr>
        <w:t xml:space="preserve">微信：设备管理研习社 </w:t>
      </w:r>
      <w:r>
        <w:rPr>
          <w:sz w:val="20"/>
        </w:rPr>
        <w:t xml:space="preserve">（微信号：sbglyxs）的方式获取更多的信息。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沈阳鼓风机集团 </w:t>
      </w:r>
      <w:r>
        <w:rPr>
          <w:sz w:val="20"/>
        </w:rPr>
        <w:t xml:space="preserve">机组远程监测及故障诊断中心 </w:t>
      </w:r>
      <w:r>
        <w:rPr>
          <w:sz w:val="20"/>
        </w:rPr>
        <w:t xml:space="preserve">2014年12月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第1页共26页 </w:t>
      </w:r>
    </w:p>
    <w:p>
      <w:pPr>
        <w:sectPr>
          <w:type w:val="continuous"/>
          <w:pgSz w:w="12240" w:h="15840"/>
          <w:pgMar w:top="1440" w:right="1800" w:bottom="1440" w:left="1800" w:header="720" w:footer="720" w:gutter="0"/>
          <w:cols w:space="720"/>
          <w:docGrid w:linePitch="360"/>
        </w:sectPr>
      </w:pPr>
    </w:p>
    <w:p>
      <w:pPr>
        <w:ind w:firstLine="360"/>
      </w:pPr>
      <w:r>
        <w:rPr>
          <w:sz w:val="20"/>
        </w:rPr>
        <w:t xml:space="preserve">沈阳鼓风机集团测控技术有限公司 </w:t>
      </w:r>
      <w:r>
        <w:rPr>
          <w:sz w:val="20"/>
        </w:rPr>
        <w:t xml:space="preserve">NYANGBLOWERWORKSGROUPMONITORING&amp;CONTROLTECHNOLOGYCo,L </w:t>
      </w:r>
    </w:p>
    <w:p>
      <w:pPr>
        <w:pStyle w:val="Heading1"/>
      </w:pPr>
      <w:r>
        <w:t>4某厂反应气压缩机组案例分析</w:t>
      </w:r>
    </w:p>
    <w:p>
      <w:pPr>
        <w:pStyle w:val="Heading1"/>
      </w:pPr>
      <w:r>
        <w:t>4.1机组概况</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反应气压缩机组由埃里奥特提供，富气压缩机组低压缸型号为46M6I，高压 </w:t>
      </w:r>
      <w:r>
        <w:rPr>
          <w:sz w:val="20"/>
        </w:rPr>
        <w:t xml:space="preserve">缸型号为32M5/3I，汽轮机型号为2SQV-7。 </w:t>
      </w:r>
      <w:r>
        <w:rPr>
          <w:sz w:val="20"/>
        </w:rPr>
        <w:t xml:space="preserve">机组总貌图如图4.1: </w:t>
      </w:r>
    </w:p>
    <w:p>
      <w:pPr>
        <w:jc w:val="center"/>
      </w:pPr>
      <w:r>
        <w:drawing>
          <wp:inline xmlns:a="http://schemas.openxmlformats.org/drawingml/2006/main" xmlns:pic="http://schemas.openxmlformats.org/drawingml/2006/picture">
            <wp:extent cx="4572000" cy="2087333"/>
            <wp:docPr id="7" name="Picture 1"/>
            <wp:cNvGraphicFramePr>
              <a:graphicFrameLocks noChangeAspect="1"/>
            </wp:cNvGraphicFramePr>
            <a:graphic>
              <a:graphicData uri="http://schemas.openxmlformats.org/drawingml/2006/picture">
                <pic:pic>
                  <pic:nvPicPr>
                    <pic:cNvPr id="7" name="[177, 424, 1040, 818]_0.jpg"/>
                    <pic:cNvPicPr/>
                  </pic:nvPicPr>
                  <pic:blipFill>
                    <a:blip r:embed="rId15"/>
                    <a:stretch>
                      <a:fillRect/>
                    </a:stretch>
                  </pic:blipFill>
                  <pic:spPr>
                    <a:xfrm>
                      <a:off x="0" y="0"/>
                      <a:ext cx="4572000" cy="2087333"/>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汽轮机主要设计参数见下表： </w:t>
      </w:r>
    </w:p>
    <w:p>
      <w:pPr>
        <w:ind w:firstLine="360"/>
      </w:pPr>
      <w:r>
        <w:rPr>
          <w:sz w:val="20"/>
        </w:rPr>
        <w:t xml:space="preserve">图4.1机组总貌图 </w:t>
      </w:r>
    </w:p>
    <w:p>
      <w:pPr>
        <w:ind w:firstLine="360"/>
      </w:pPr>
      <w:r>
        <w:rPr>
          <w:sz w:val="20"/>
        </w:rPr>
        <w:t xml:space="preserve">表4.1汽轮机主要设计参数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2160"/>
        <w:gridCol w:w="2160"/>
        <w:gridCol w:w="2160"/>
        <w:gridCol w:w="2160"/>
      </w:tblGrid>
      <w:tr>
        <w:tc>
          <w:tcPr>
            <w:tcW w:type="dxa" w:w="8640"/>
            <w:gridSpan w:val="4"/>
          </w:tcPr>
          <w:p>
            <w:r>
              <w:t>汽轮机：2SQV-7</w:t>
            </w:r>
          </w:p>
        </w:tc>
      </w:tr>
      <w:tr>
        <w:tc>
          <w:tcPr>
            <w:tcW w:type="dxa" w:w="2160"/>
          </w:tcPr>
          <w:p>
            <w:r>
              <w:t>工作转速r/min</w:t>
            </w:r>
          </w:p>
        </w:tc>
        <w:tc>
          <w:tcPr>
            <w:tcW w:type="dxa" w:w="2160"/>
          </w:tcPr>
          <w:p>
            <w:r>
              <w:t>6376</w:t>
            </w:r>
          </w:p>
        </w:tc>
        <w:tc>
          <w:tcPr>
            <w:tcW w:type="dxa" w:w="2160"/>
          </w:tcPr>
          <w:p>
            <w:r>
              <w:t>介质</w:t>
            </w:r>
          </w:p>
        </w:tc>
        <w:tc>
          <w:tcPr>
            <w:tcW w:type="dxa" w:w="2160"/>
          </w:tcPr>
          <w:p>
            <w:r>
              <w:t>4.1MPa蒸汽</w:t>
            </w:r>
          </w:p>
        </w:tc>
      </w:tr>
      <w:tr>
        <w:tc>
          <w:tcPr>
            <w:tcW w:type="dxa" w:w="2160"/>
          </w:tcPr>
          <w:p>
            <w:r>
              <w:t>-阶临界转速r/min</w:t>
            </w:r>
          </w:p>
        </w:tc>
        <w:tc>
          <w:tcPr>
            <w:tcW w:type="dxa" w:w="2160"/>
          </w:tcPr>
          <w:p>
            <w:r>
              <w:t>3258</w:t>
            </w:r>
          </w:p>
        </w:tc>
        <w:tc>
          <w:tcPr>
            <w:tcW w:type="dxa" w:w="2160"/>
          </w:tcPr>
          <w:p>
            <w:r>
              <w:t>二阶临界转速r/min</w:t>
            </w:r>
          </w:p>
        </w:tc>
        <w:tc>
          <w:tcPr>
            <w:tcW w:type="dxa" w:w="2160"/>
          </w:tcPr>
          <w:p>
            <w:r>
              <w:t>12800</w:t>
            </w:r>
          </w:p>
        </w:tc>
      </w:tr>
      <w:tr>
        <w:tc>
          <w:tcPr>
            <w:tcW w:type="dxa" w:w="2160"/>
          </w:tcPr>
          <w:p>
            <w:r>
              <w:t>进口压力MPa</w:t>
            </w:r>
          </w:p>
        </w:tc>
        <w:tc>
          <w:tcPr>
            <w:tcW w:type="dxa" w:w="2160"/>
          </w:tcPr>
          <w:p>
            <w:r>
              <w:t>4.1</w:t>
            </w:r>
          </w:p>
        </w:tc>
        <w:tc>
          <w:tcPr>
            <w:tcW w:type="dxa" w:w="2160"/>
          </w:tcPr>
          <w:p>
            <w:r>
              <w:t>出口压力MPa</w:t>
            </w:r>
          </w:p>
        </w:tc>
        <w:tc>
          <w:tcPr>
            <w:tcW w:type="dxa" w:w="2160"/>
          </w:tcPr>
          <w:p>
            <w:r>
              <w:t>0.0137</w:t>
            </w:r>
          </w:p>
        </w:tc>
      </w:tr>
      <w:tr>
        <w:tc>
          <w:tcPr>
            <w:tcW w:type="dxa" w:w="2160"/>
          </w:tcPr>
          <w:p>
            <w:r>
              <w:t>进口温度℃</w:t>
            </w:r>
          </w:p>
        </w:tc>
        <w:tc>
          <w:tcPr>
            <w:tcW w:type="dxa" w:w="2160"/>
          </w:tcPr>
          <w:p>
            <w:r>
              <w:t>410</w:t>
            </w:r>
          </w:p>
        </w:tc>
        <w:tc>
          <w:tcPr>
            <w:tcW w:type="dxa" w:w="2160"/>
          </w:tcPr>
          <w:p>
            <w:r>
              <w:t>出口温度℃</w:t>
            </w:r>
          </w:p>
        </w:tc>
        <w:tc>
          <w:tcPr>
            <w:tcW w:type="dxa" w:w="2160"/>
          </w:tcPr>
          <w:p>
            <w:r>
              <w:t>52.1</w:t>
            </w:r>
          </w:p>
        </w:tc>
      </w:tr>
      <w:tr>
        <w:tc>
          <w:tcPr>
            <w:tcW w:type="dxa" w:w="2160"/>
          </w:tcPr>
          <w:p>
            <w:r>
              <w:t>转子重量 kg</w:t>
            </w:r>
          </w:p>
        </w:tc>
        <w:tc>
          <w:tcPr>
            <w:tcW w:type="dxa" w:w="2160"/>
          </w:tcPr>
          <w:p>
            <w:r>
              <w:t>2400</w:t>
            </w:r>
          </w:p>
        </w:tc>
        <w:tc>
          <w:tcPr>
            <w:tcW w:type="dxa" w:w="2160"/>
          </w:tcPr>
          <w:p>
            <w:r>
              <w:t>转子跨距mm</w:t>
            </w:r>
          </w:p>
        </w:tc>
        <w:tc>
          <w:tcPr>
            <w:tcW w:type="dxa" w:w="2160"/>
          </w:tcPr>
          <w:p>
            <w:r>
              <w:t>3201.91</w:t>
            </w:r>
          </w:p>
        </w:tc>
      </w:tr>
      <w:tr>
        <w:tc>
          <w:tcPr>
            <w:tcW w:type="dxa" w:w="2160"/>
          </w:tcPr>
          <w:p>
            <w:r>
              <w:t>驱动端支承轴承类型</w:t>
            </w:r>
          </w:p>
        </w:tc>
        <w:tc>
          <w:tcPr>
            <w:tcW w:type="dxa" w:w="2160"/>
          </w:tcPr>
          <w:p>
            <w:r>
              <w:t xml:space="preserve"> </w:t>
            </w:r>
          </w:p>
        </w:tc>
        <w:tc>
          <w:tcPr>
            <w:tcW w:type="dxa" w:w="2160"/>
          </w:tcPr>
          <w:p>
            <w:r>
              <w:t>向心滑动支承非驱动端支承轴承类型</w:t>
            </w:r>
          </w:p>
        </w:tc>
        <w:tc>
          <w:tcPr>
            <w:tcW w:type="dxa" w:w="2160"/>
          </w:tcPr>
          <w:p>
            <w:r>
              <w:t>向心滑动轴承</w:t>
            </w:r>
          </w:p>
        </w:tc>
      </w:tr>
      <w:tr>
        <w:tc>
          <w:tcPr>
            <w:tcW w:type="dxa" w:w="2160"/>
          </w:tcPr>
          <w:p>
            <w:r>
              <w:t xml:space="preserve"> </w:t>
            </w:r>
          </w:p>
        </w:tc>
        <w:tc>
          <w:tcPr>
            <w:tcW w:type="dxa" w:w="2160"/>
          </w:tcPr>
          <w:p>
            <w:r>
              <w:t xml:space="preserve"> </w:t>
            </w:r>
          </w:p>
        </w:tc>
        <w:tc>
          <w:tcPr>
            <w:tcW w:type="dxa" w:w="2160"/>
          </w:tcPr>
          <w:p>
            <w:r>
              <w:t>驱动端支承轴承间隙mm0.224～0.274非驱动端支承轴承间隙mm0.185～0.236</w:t>
            </w:r>
          </w:p>
        </w:tc>
        <w:tc>
          <w:tcPr>
            <w:tcW w:type="dxa" w:w="2160"/>
          </w:tcPr>
          <w:p>
            <w:r>
              <w:t xml:space="preserve"> </w:t>
            </w:r>
          </w:p>
        </w:tc>
      </w:tr>
      <w:tr>
        <w:tc>
          <w:tcPr>
            <w:tcW w:type="dxa" w:w="2160"/>
          </w:tcPr>
          <w:p>
            <w:r>
              <w:t>止推轴承类型</w:t>
            </w:r>
          </w:p>
        </w:tc>
        <w:tc>
          <w:tcPr>
            <w:tcW w:type="dxa" w:w="2160"/>
          </w:tcPr>
          <w:p>
            <w:r>
              <w:t>推力滑动轴承止推轴承间隙mm</w:t>
            </w:r>
          </w:p>
        </w:tc>
        <w:tc>
          <w:tcPr>
            <w:tcW w:type="dxa" w:w="2160"/>
          </w:tcPr>
          <w:p>
            <w:r>
              <w:t xml:space="preserve"> </w:t>
            </w:r>
          </w:p>
        </w:tc>
        <w:tc>
          <w:tcPr>
            <w:tcW w:type="dxa" w:w="2160"/>
          </w:tcPr>
          <w:p>
            <w:r>
              <w:t>0.30~0.41</w:t>
            </w:r>
          </w:p>
        </w:tc>
      </w:tr>
    </w:tbl>
    <w:p>
      <w:pPr>
        <w:ind w:firstLine="360"/>
      </w:pPr>
      <w:r>
        <w:rPr>
          <w:sz w:val="20"/>
        </w:rPr>
        <w:t xml:space="preserve">第19页共26页 </w:t>
      </w:r>
    </w:p>
    <w:p>
      <w:pPr>
        <w:sectPr>
          <w:type w:val="continuous"/>
          <w:pgSz w:w="12240" w:h="15840"/>
          <w:pgMar w:top="1440" w:right="1800" w:bottom="1440" w:left="1800" w:header="720" w:footer="720" w:gutter="0"/>
          <w:cols w:space="720"/>
          <w:docGrid w:linePitch="360"/>
        </w:sectPr>
      </w:pPr>
    </w:p>
    <w:p>
      <w:pPr>
        <w:ind w:firstLine="360"/>
      </w:pPr>
      <w:r>
        <w:rPr>
          <w:sz w:val="20"/>
        </w:rPr>
        <w:t xml:space="preserve">沈阳鼓风机集团测控技术有限公司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t>轴端密封形式</w:t>
            </w:r>
          </w:p>
        </w:tc>
        <w:tc>
          <w:tcPr>
            <w:tcW w:type="dxa" w:w="2160"/>
          </w:tcPr>
          <w:p>
            <w:r>
              <w:t>迷宫密封</w:t>
            </w:r>
          </w:p>
        </w:tc>
        <w:tc>
          <w:tcPr>
            <w:tcW w:type="dxa" w:w="2160"/>
          </w:tcPr>
          <w:p>
            <w:r>
              <w:t>额定功率kW</w:t>
            </w:r>
          </w:p>
        </w:tc>
        <w:tc>
          <w:tcPr>
            <w:tcW w:type="dxa" w:w="2160"/>
          </w:tcPr>
          <w:p>
            <w:r>
              <w:t>12.098</w:t>
            </w:r>
          </w:p>
        </w:tc>
      </w:tr>
      <w:tr>
        <w:tc>
          <w:tcPr>
            <w:tcW w:type="dxa" w:w="2160"/>
          </w:tcPr>
          <w:p>
            <w:r>
              <w:t>润滑油压力MPa</w:t>
            </w:r>
          </w:p>
        </w:tc>
        <w:tc>
          <w:tcPr>
            <w:tcW w:type="dxa" w:w="2160"/>
          </w:tcPr>
          <w:p>
            <w:r>
              <w:t>0.104～0.125润滑油温度℃</w:t>
            </w:r>
          </w:p>
        </w:tc>
        <w:tc>
          <w:tcPr>
            <w:tcW w:type="dxa" w:w="2160"/>
          </w:tcPr>
          <w:p>
            <w:r>
              <w:t xml:space="preserve"> </w:t>
            </w:r>
          </w:p>
        </w:tc>
        <w:tc>
          <w:tcPr>
            <w:tcW w:type="dxa" w:w="2160"/>
          </w:tcPr>
          <w:p>
            <w:r>
              <w:t>43 ~ 49</w:t>
            </w:r>
          </w:p>
        </w:tc>
      </w:tr>
      <w:tr>
        <w:tc>
          <w:tcPr>
            <w:tcW w:type="dxa" w:w="2160"/>
          </w:tcPr>
          <w:p>
            <w:r>
              <w:t>振动报警值μm</w:t>
            </w:r>
          </w:p>
        </w:tc>
        <w:tc>
          <w:tcPr>
            <w:tcW w:type="dxa" w:w="2160"/>
          </w:tcPr>
          <w:p>
            <w:r>
              <w:t>68</w:t>
            </w:r>
          </w:p>
        </w:tc>
        <w:tc>
          <w:tcPr>
            <w:tcW w:type="dxa" w:w="2160"/>
          </w:tcPr>
          <w:p>
            <w:r>
              <w:t>振动停机值μum</w:t>
            </w:r>
          </w:p>
        </w:tc>
        <w:tc>
          <w:tcPr>
            <w:tcW w:type="dxa" w:w="2160"/>
          </w:tcPr>
          <w:p>
            <w:r>
              <w:t>85</w:t>
            </w:r>
          </w:p>
        </w:tc>
      </w:tr>
      <w:tr>
        <w:tc>
          <w:tcPr>
            <w:tcW w:type="dxa" w:w="2160"/>
          </w:tcPr>
          <w:p>
            <w:r>
              <w:t>轴位移报警值mm</w:t>
            </w:r>
          </w:p>
        </w:tc>
        <w:tc>
          <w:tcPr>
            <w:tcW w:type="dxa" w:w="2160"/>
          </w:tcPr>
          <w:p>
            <w:r>
              <w:t>±0.305</w:t>
            </w:r>
          </w:p>
        </w:tc>
        <w:tc>
          <w:tcPr>
            <w:tcW w:type="dxa" w:w="2160"/>
          </w:tcPr>
          <w:p>
            <w:r>
              <w:t>轴位移停机值mm</w:t>
            </w:r>
          </w:p>
        </w:tc>
        <w:tc>
          <w:tcPr>
            <w:tcW w:type="dxa" w:w="2160"/>
          </w:tcPr>
          <w:p>
            <w:r>
              <w:t>±0.432</w:t>
            </w:r>
          </w:p>
        </w:tc>
      </w:tr>
    </w:tbl>
    <w:p>
      <w:pPr>
        <w:sectPr>
          <w:type w:val="continuous"/>
          <w:pgSz w:w="12240" w:h="15840"/>
          <w:pgMar w:top="1440" w:right="1800" w:bottom="1440" w:left="1800" w:header="720" w:footer="720" w:gutter="0"/>
          <w:cols w:space="720" w:num="1"/>
          <w:docGrid w:linePitch="360"/>
        </w:sectPr>
      </w:pPr>
    </w:p>
    <w:p>
      <w:pPr>
        <w:pStyle w:val="Heading1"/>
      </w:pPr>
      <w:r>
        <w:t>4.2 故障现象</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2014年6月30日，机组从21:10:43时刻开始冲转暖机，到23:15:25时刻， </w:t>
      </w:r>
      <w:r>
        <w:rPr>
          <w:sz w:val="20"/>
        </w:rPr>
        <w:t xml:space="preserve">一直运行正常，从23:15:25时刻之后，汽轮机的振动急速上升，到23:17:00时 </w:t>
      </w:r>
      <w:r>
        <w:rPr>
          <w:sz w:val="20"/>
        </w:rPr>
        <w:t xml:space="preserve">刻，振动最大值上升到74um，随后振动继续增加，引起联锁跳车，在转速下降 </w:t>
      </w:r>
      <w:r>
        <w:rPr>
          <w:sz w:val="20"/>
        </w:rPr>
        <w:t xml:space="preserve">过程中，振动上升，最大值达到149.65um，在此期间现场工艺系统没有任何变 </w:t>
      </w:r>
      <w:r>
        <w:rPr>
          <w:sz w:val="20"/>
        </w:rPr>
        <w:t xml:space="preserve">化。 </w:t>
      </w:r>
    </w:p>
    <w:p>
      <w:pPr>
        <w:sectPr>
          <w:type w:val="continuous"/>
          <w:pgSz w:w="12240" w:h="15840"/>
          <w:pgMar w:top="1440" w:right="1800" w:bottom="1440" w:left="1800" w:header="720" w:footer="720" w:gutter="0"/>
          <w:cols w:space="720" w:num="1"/>
          <w:docGrid w:linePitch="360"/>
        </w:sectPr>
      </w:pPr>
    </w:p>
    <w:p>
      <w:pPr>
        <w:pStyle w:val="Heading1"/>
      </w:pPr>
      <w:r>
        <w:t>4.3分析过程</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2293910"/>
            <wp:docPr id="8" name="Picture 1"/>
            <wp:cNvGraphicFramePr>
              <a:graphicFrameLocks noChangeAspect="1"/>
            </wp:cNvGraphicFramePr>
            <a:graphic>
              <a:graphicData uri="http://schemas.openxmlformats.org/drawingml/2006/picture">
                <pic:pic>
                  <pic:nvPicPr>
                    <pic:cNvPr id="8" name="[173, 752, 1040, 1187]_0.jpg"/>
                    <pic:cNvPicPr/>
                  </pic:nvPicPr>
                  <pic:blipFill>
                    <a:blip r:embed="rId16"/>
                    <a:stretch>
                      <a:fillRect/>
                    </a:stretch>
                  </pic:blipFill>
                  <pic:spPr>
                    <a:xfrm>
                      <a:off x="0" y="0"/>
                      <a:ext cx="4572000" cy="2293910"/>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图4.2通频趋势图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第20页共26页 </w:t>
      </w:r>
    </w:p>
    <w:p>
      <w:pPr>
        <w:sectPr>
          <w:type w:val="continuous"/>
          <w:pgSz w:w="12240" w:h="15840"/>
          <w:pgMar w:top="1440" w:right="1800" w:bottom="1440" w:left="1800" w:header="720" w:footer="720" w:gutter="0"/>
          <w:cols w:space="720"/>
          <w:docGrid w:linePitch="360"/>
        </w:sectPr>
      </w:pPr>
    </w:p>
    <w:p>
      <w:pPr>
        <w:ind w:firstLine="360"/>
      </w:pPr>
      <w:r>
        <w:rPr>
          <w:sz w:val="20"/>
        </w:rPr>
        <w:t xml:space="preserve">沈阳鼓风机集团测控技术有限公司 </w:t>
      </w:r>
    </w:p>
    <w:p>
      <w:pPr>
        <w:ind w:firstLine="360"/>
      </w:pPr>
      <w:r>
        <w:rPr>
          <w:sz w:val="20"/>
        </w:rPr>
        <w:t xml:space="preserve">图4.31x趋势图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从图4.2和图4.3分析，振动主要能量是1x分量占主导。 </w:t>
      </w:r>
      <w:r>
        <w:rPr>
          <w:sz w:val="20"/>
        </w:rPr>
        <w:t xml:space="preserve">图4.4是汽轮机6月30日启停机的Bode图，从图谱分析，转子出现热弯曲 </w:t>
      </w:r>
      <w:r>
        <w:rPr>
          <w:sz w:val="20"/>
        </w:rPr>
        <w:t xml:space="preserve">现象。现场情况，汽轮机在之前的试车和本次开车暖机过程中，一直存在真空度 </w:t>
      </w:r>
      <w:r>
        <w:rPr>
          <w:sz w:val="20"/>
        </w:rPr>
        <w:t xml:space="preserve">不好的状况。综上所述，此次启机过程中的振动变化是由于真空度不好，转子临 </w:t>
      </w:r>
      <w:r>
        <w:rPr>
          <w:sz w:val="20"/>
        </w:rPr>
        <w:t xml:space="preserve">时弯曲造成的。 </w:t>
      </w:r>
    </w:p>
    <w:p>
      <w:pPr>
        <w:sectPr>
          <w:type w:val="continuous"/>
          <w:pgSz w:w="12240" w:h="15840"/>
          <w:pgMar w:top="1440" w:right="1800" w:bottom="1440" w:left="1800" w:header="720" w:footer="720" w:gutter="0"/>
          <w:cols w:space="720" w:num="1"/>
          <w:docGrid w:linePitch="360"/>
        </w:sectPr>
      </w:pPr>
    </w:p>
    <w:p>
      <w:pPr>
        <w:pStyle w:val="Heading1"/>
      </w:pPr>
      <w:r>
        <w:t>4.4结论</w:t>
      </w:r>
    </w:p>
    <w:p>
      <w:pPr>
        <w:pStyle w:val="Heading1"/>
      </w:pPr>
      <w:r>
        <w:t>4.5 处理后结果</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图4.5是汽轮机再次开机的振动趋势图，振动值低于15um，降低了汽轮机 </w:t>
      </w:r>
      <w:r>
        <w:rPr>
          <w:sz w:val="20"/>
        </w:rPr>
        <w:t xml:space="preserve">的整体振动。 </w:t>
      </w:r>
    </w:p>
    <w:p>
      <w:pPr>
        <w:ind w:firstLine="360"/>
      </w:pPr>
      <w:r>
        <w:rPr>
          <w:sz w:val="20"/>
        </w:rPr>
        <w:t xml:space="preserve">第21页共26页 </w:t>
      </w:r>
    </w:p>
    <w:p>
      <w:pPr>
        <w:sectPr>
          <w:type w:val="continuous"/>
          <w:pgSz w:w="12240" w:h="15840"/>
          <w:pgMar w:top="1440" w:right="1800" w:bottom="1440" w:left="1800" w:header="720" w:footer="720" w:gutter="0"/>
          <w:cols w:space="720"/>
          <w:docGrid w:linePitch="360"/>
        </w:sectPr>
      </w:pPr>
    </w:p>
    <w:p>
      <w:pPr>
        <w:ind w:firstLine="360"/>
      </w:pPr>
      <w:r>
        <w:rPr>
          <w:sz w:val="20"/>
        </w:rPr>
        <w:t xml:space="preserve">沈阳鼓风机集团测控技术有限公司 </w:t>
      </w:r>
    </w:p>
    <w:p>
      <w:pPr>
        <w:ind w:firstLine="360"/>
      </w:pPr>
      <w:r>
        <w:rPr>
          <w:sz w:val="20"/>
        </w:rPr>
        <w:t xml:space="preserve">图4.5汽轮机检修后的趋势图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第22页共26页 </w:t>
      </w:r>
    </w:p>
    <w:p>
      <w:pPr>
        <w:sectPr>
          <w:type w:val="continuous"/>
          <w:pgSz w:w="12240" w:h="15840"/>
          <w:pgMar w:top="1440" w:right="1800" w:bottom="1440" w:left="1800" w:header="720" w:footer="720" w:gutter="0"/>
          <w:cols w:space="720"/>
          <w:docGrid w:linePitch="360"/>
        </w:sectPr>
      </w:pPr>
    </w:p>
    <w:p>
      <w:pPr>
        <w:ind w:firstLine="360"/>
      </w:pPr>
      <w:r>
        <w:rPr>
          <w:sz w:val="20"/>
        </w:rPr>
        <w:t xml:space="preserve">沈阳鼓风机集团测控技术有限公司 </w:t>
      </w:r>
    </w:p>
    <w:p>
      <w:pPr>
        <w:pStyle w:val="Heading1"/>
      </w:pPr>
      <w:r>
        <w:t>5某厂西门子机组案例分析</w:t>
      </w:r>
    </w:p>
    <w:p>
      <w:pPr>
        <w:pStyle w:val="Heading1"/>
      </w:pPr>
      <w:r>
        <w:t>5.1机组概况</w:t>
      </w:r>
    </w:p>
    <w:p>
      <w:pPr>
        <w:ind w:firstLine="360"/>
      </w:pPr>
      <w:r>
        <w:rPr>
          <w:sz w:val="20"/>
        </w:rPr>
        <w:t xml:space="preserve">机组总貌图如图5.1：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2111910"/>
            <wp:docPr id="9" name="Picture 1"/>
            <wp:cNvGraphicFramePr>
              <a:graphicFrameLocks noChangeAspect="1"/>
            </wp:cNvGraphicFramePr>
            <a:graphic>
              <a:graphicData uri="http://schemas.openxmlformats.org/drawingml/2006/picture">
                <pic:pic>
                  <pic:nvPicPr>
                    <pic:cNvPr id="9" name="[215, 337, 1016, 707]_0.jpg"/>
                    <pic:cNvPicPr/>
                  </pic:nvPicPr>
                  <pic:blipFill>
                    <a:blip r:embed="rId17"/>
                    <a:stretch>
                      <a:fillRect/>
                    </a:stretch>
                  </pic:blipFill>
                  <pic:spPr>
                    <a:xfrm>
                      <a:off x="0" y="0"/>
                      <a:ext cx="4572000" cy="2111910"/>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pStyle w:val="Heading1"/>
      </w:pPr>
      <w:r>
        <w:t>5.2 故障现象</w:t>
      </w:r>
    </w:p>
    <w:p>
      <w:pPr>
        <w:ind w:firstLine="360"/>
      </w:pPr>
      <w:r>
        <w:rPr>
          <w:sz w:val="20"/>
        </w:rPr>
        <w:t xml:space="preserve">图5.1机组总貌图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某厂西门子机组于2014年1月开始运行，汽轮机振值低于25um，在4月 </w:t>
      </w:r>
      <w:r>
        <w:rPr>
          <w:sz w:val="20"/>
        </w:rPr>
        <w:t xml:space="preserve">21日启机过程中，汽轮机整体振动偏大，机组转速低于9000rpm 时，汽轮机前 </w:t>
      </w:r>
      <w:r>
        <w:rPr>
          <w:sz w:val="20"/>
        </w:rPr>
        <w:t xml:space="preserve">轴振振值低于50um，后轴振振值低于35um；当转速高于9000rpm上升到 </w:t>
      </w:r>
      <w:r>
        <w:rPr>
          <w:sz w:val="20"/>
        </w:rPr>
        <w:t xml:space="preserve">12000rpm左右时，汽轮机前轴振振值未有上升，后轴振振值上升为55/67um左 </w:t>
      </w:r>
      <w:r>
        <w:rPr>
          <w:sz w:val="20"/>
        </w:rPr>
        <w:t xml:space="preserve">右。 </w:t>
      </w:r>
    </w:p>
    <w:p>
      <w:pPr>
        <w:sectPr>
          <w:type w:val="continuous"/>
          <w:pgSz w:w="12240" w:h="15840"/>
          <w:pgMar w:top="1440" w:right="1800" w:bottom="1440" w:left="1800" w:header="720" w:footer="720" w:gutter="0"/>
          <w:cols w:space="720" w:num="1"/>
          <w:docGrid w:linePitch="360"/>
        </w:sectPr>
      </w:pPr>
    </w:p>
    <w:p>
      <w:pPr>
        <w:pStyle w:val="Heading1"/>
      </w:pPr>
      <w:r>
        <w:t>5.3分析过程</w:t>
      </w:r>
    </w:p>
    <w:p>
      <w:pPr>
        <w:ind w:firstLine="360"/>
      </w:pPr>
      <w:r>
        <w:rPr>
          <w:sz w:val="20"/>
        </w:rPr>
        <w:t xml:space="preserve">查看相关趋势图，如下：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第23页共26页 </w:t>
      </w:r>
    </w:p>
    <w:p>
      <w:pPr>
        <w:sectPr>
          <w:type w:val="continuous"/>
          <w:pgSz w:w="12240" w:h="15840"/>
          <w:pgMar w:top="1440" w:right="1800" w:bottom="1440" w:left="1800" w:header="720" w:footer="720" w:gutter="0"/>
          <w:cols w:space="720"/>
          <w:docGrid w:linePitch="360"/>
        </w:sectPr>
      </w:pPr>
    </w:p>
    <w:p>
      <w:pPr>
        <w:ind w:firstLine="360"/>
      </w:pPr>
      <w:r>
        <w:rPr>
          <w:sz w:val="20"/>
        </w:rPr>
        <w:t xml:space="preserve">沈阳鼓风机集团测控技术有限公司 </w:t>
      </w:r>
    </w:p>
    <w:p>
      <w:pPr>
        <w:ind w:firstLine="360"/>
      </w:pPr>
      <w:r>
        <w:rPr>
          <w:sz w:val="20"/>
        </w:rPr>
        <w:t xml:space="preserve">图5.2 </w:t>
      </w:r>
      <w:r>
        <w:rPr>
          <w:sz w:val="20"/>
        </w:rPr>
        <w:t xml:space="preserve">通频趋势图 </w:t>
      </w:r>
    </w:p>
    <w:p>
      <w:pPr>
        <w:ind w:firstLine="360"/>
      </w:pPr>
      <w:r>
        <w:rPr>
          <w:sz w:val="20"/>
        </w:rPr>
        <w:t xml:space="preserve">图5.31x趋势图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从图5.2和图5.3分析，振动主要能量是1x分量占主导。 </w:t>
      </w:r>
      <w:r>
        <w:rPr>
          <w:sz w:val="20"/>
        </w:rPr>
        <w:t xml:space="preserve">图5.4和图5.5是汽轮机4月21日开机及4月23日停机的Bode图，从图 </w:t>
      </w:r>
      <w:r>
        <w:rPr>
          <w:sz w:val="20"/>
        </w:rPr>
        <w:t xml:space="preserve">谱分析，汽轮机平衡性偏差。 </w:t>
      </w:r>
    </w:p>
    <w:p>
      <w:pPr>
        <w:ind w:firstLine="360"/>
      </w:pPr>
      <w:r>
        <w:rPr>
          <w:sz w:val="20"/>
        </w:rPr>
        <w:t xml:space="preserve">第24页共26页 </w:t>
      </w:r>
    </w:p>
    <w:p>
      <w:pPr>
        <w:sectPr>
          <w:type w:val="continuous"/>
          <w:pgSz w:w="12240" w:h="15840"/>
          <w:pgMar w:top="1440" w:right="1800" w:bottom="1440" w:left="1800" w:header="720" w:footer="720" w:gutter="0"/>
          <w:cols w:space="720"/>
          <w:docGrid w:linePitch="360"/>
        </w:sectPr>
      </w:pPr>
    </w:p>
    <w:p>
      <w:pPr>
        <w:ind w:firstLine="360"/>
      </w:pPr>
      <w:r>
        <w:rPr>
          <w:sz w:val="20"/>
        </w:rPr>
        <w:t xml:space="preserve">沈阳鼓风机集团测控技术有限公司 </w:t>
      </w:r>
    </w:p>
    <w:p>
      <w:pPr>
        <w:ind w:firstLine="360"/>
      </w:pPr>
      <w:r>
        <w:rPr>
          <w:sz w:val="20"/>
        </w:rPr>
        <w:t xml:space="preserve">图5.4启机Bode图 </w:t>
      </w:r>
    </w:p>
    <w:p>
      <w:pPr>
        <w:pStyle w:val="Heading1"/>
      </w:pPr>
      <w:r>
        <w:t>5.4结论</w:t>
      </w:r>
    </w:p>
    <w:p>
      <w:pPr>
        <w:ind w:firstLine="360"/>
      </w:pPr>
      <w:r>
        <w:rPr>
          <w:sz w:val="20"/>
        </w:rPr>
        <w:t xml:space="preserve">通过以上分析，判断汽轮机转子平衡性差。 </w:t>
      </w:r>
    </w:p>
    <w:p>
      <w:pPr>
        <w:pStyle w:val="Heading1"/>
      </w:pPr>
      <w:r>
        <w:t>5.5反馈结果</w:t>
      </w:r>
    </w:p>
    <w:p>
      <w:pPr>
        <w:ind w:firstLine="360"/>
      </w:pPr>
      <w:r>
        <w:rPr>
          <w:sz w:val="20"/>
        </w:rPr>
        <w:t xml:space="preserve">图5.5停机Bode图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图5.6是4月24 日停机开盖检修的照片，转子出现锈蚀造成转子平衡状态 </w:t>
      </w:r>
      <w:r>
        <w:rPr>
          <w:sz w:val="20"/>
        </w:rPr>
        <w:t xml:space="preserve">不良，对叶轮进行清理，做动平衡，开机后效果良好。 </w:t>
      </w:r>
    </w:p>
    <w:p>
      <w:pPr>
        <w:ind w:firstLine="360"/>
      </w:pPr>
      <w:r>
        <w:rPr>
          <w:sz w:val="20"/>
        </w:rPr>
        <w:t xml:space="preserve">第25页共26页 </w:t>
      </w:r>
    </w:p>
    <w:p>
      <w:pPr>
        <w:sectPr>
          <w:type w:val="continuous"/>
          <w:pgSz w:w="12240" w:h="15840"/>
          <w:pgMar w:top="1440" w:right="1800" w:bottom="1440" w:left="1800" w:header="720" w:footer="720" w:gutter="0"/>
          <w:cols w:space="720"/>
          <w:docGrid w:linePitch="360"/>
        </w:sectPr>
      </w:pPr>
    </w:p>
    <w:p>
      <w:pPr>
        <w:ind w:firstLine="360"/>
      </w:pPr>
      <w:r>
        <w:rPr>
          <w:sz w:val="20"/>
        </w:rPr>
        <w:t xml:space="preserve">沈阳鼓风机集团测控技术有限公司 </w:t>
      </w:r>
    </w:p>
    <w:p>
      <w:pPr>
        <w:pStyle w:val="Heading1"/>
      </w:pPr>
      <w:r>
        <w:t>5.6处理后结果</w:t>
      </w:r>
    </w:p>
    <w:p>
      <w:pPr>
        <w:ind w:firstLine="360"/>
      </w:pPr>
      <w:r>
        <w:rPr>
          <w:sz w:val="20"/>
        </w:rPr>
        <w:t xml:space="preserve">图5.6检修照片 </w:t>
      </w:r>
    </w:p>
    <w:p>
      <w:pPr>
        <w:ind w:firstLine="360"/>
      </w:pPr>
      <w:r>
        <w:rPr>
          <w:sz w:val="20"/>
        </w:rPr>
        <w:t xml:space="preserve">图5.7汽轮机检修后的趋势图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第26页共26页 </w:t>
      </w:r>
    </w:p>
    <w:p>
      <w:pPr>
        <w:sectPr>
          <w:type w:val="continuous"/>
          <w:pgSz w:w="12240" w:h="15840"/>
          <w:pgMar w:top="1440" w:right="1800" w:bottom="1440" w:left="1800" w:header="720" w:footer="720" w:gutter="0"/>
          <w:cols w:space="720"/>
          <w:docGrid w:linePitch="360"/>
        </w:sectPr>
      </w:pPr>
    </w:p>
    <w:p>
      <w:pPr>
        <w:ind w:firstLine="360"/>
      </w:pPr>
      <w:r>
        <w:rPr>
          <w:sz w:val="20"/>
        </w:rPr>
        <w:t xml:space="preserve">沈阳鼓风机集团测控技术有限公司 </w:t>
      </w:r>
    </w:p>
    <w:p>
      <w:pPr>
        <w:ind w:firstLine="360"/>
      </w:pPr>
      <w:r>
        <w:rPr>
          <w:sz w:val="20"/>
        </w:rPr>
        <w:t xml:space="preserve">目录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5716182"/>
            <wp:docPr id="10" name="Picture 1"/>
            <wp:cNvGraphicFramePr>
              <a:graphicFrameLocks noChangeAspect="1"/>
            </wp:cNvGraphicFramePr>
            <a:graphic>
              <a:graphicData uri="http://schemas.openxmlformats.org/drawingml/2006/picture">
                <pic:pic>
                  <pic:nvPicPr>
                    <pic:cNvPr id="10" name="[120, 243, 1087, 1452]_0.jpg"/>
                    <pic:cNvPicPr/>
                  </pic:nvPicPr>
                  <pic:blipFill>
                    <a:blip r:embed="rId18"/>
                    <a:stretch>
                      <a:fillRect/>
                    </a:stretch>
                  </pic:blipFill>
                  <pic:spPr>
                    <a:xfrm>
                      <a:off x="0" y="0"/>
                      <a:ext cx="4572000" cy="5716182"/>
                    </a:xfrm>
                    <a:prstGeom prst="rect"/>
                  </pic:spPr>
                </pic:pic>
              </a:graphicData>
            </a:graphic>
          </wp:inline>
        </w:drawing>
      </w:r>
    </w:p>
    <w:p>
      <w:pPr>
        <w:ind w:firstLine="360"/>
      </w:pPr>
      <w:r>
        <w:rPr>
          <w:sz w:val="20"/>
        </w:rPr>
        <w:t xml:space="preserve">第2页共26页 </w:t>
      </w:r>
    </w:p>
    <w:p>
      <w:pPr>
        <w:sectPr>
          <w:type w:val="continuous"/>
          <w:pgSz w:w="12240" w:h="15840"/>
          <w:pgMar w:top="1440" w:right="1800" w:bottom="1440" w:left="1800" w:header="720" w:footer="720" w:gutter="0"/>
          <w:cols w:space="720"/>
          <w:docGrid w:linePitch="360"/>
        </w:sectPr>
      </w:pPr>
    </w:p>
    <w:p>
      <w:pPr>
        <w:pStyle w:val="Heading1"/>
      </w:pPr>
      <w:r>
        <w:t>沈阳鼓风机集团测控技术有限公司</w:t>
      </w:r>
    </w:p>
    <w:p>
      <w:pPr>
        <w:pStyle w:val="Heading1"/>
      </w:pPr>
      <w:r>
        <w:t>1某石化富气机组汽轮机故障分析</w:t>
      </w:r>
    </w:p>
    <w:p>
      <w:pPr>
        <w:pStyle w:val="Heading1"/>
      </w:pPr>
      <w:r>
        <w:t>1.1机组参数</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富气压缩机组由沈鼓集团成套提供，其中汽轮机由杭汽中能提供。富气压缩机型号为 </w:t>
      </w:r>
      <w:r>
        <w:rPr>
          <w:sz w:val="20"/>
        </w:rPr>
        <w:t xml:space="preserve">2MCL606，汽轮机型号为BH32/01。 </w:t>
      </w:r>
      <w:r>
        <w:rPr>
          <w:sz w:val="20"/>
        </w:rPr>
        <w:t xml:space="preserve">汽轮机主要设计参数见下表1.1：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表1.1机组设计参数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4320"/>
        <w:gridCol w:w="4320"/>
      </w:tblGrid>
      <w:tr>
        <w:tc>
          <w:tcPr>
            <w:tcW w:type="dxa" w:w="4320"/>
          </w:tcPr>
          <w:p>
            <w:r>
              <w:t>汽轮机型式</w:t>
            </w:r>
          </w:p>
        </w:tc>
        <w:tc>
          <w:tcPr>
            <w:tcW w:type="dxa" w:w="4320"/>
          </w:tcPr>
          <w:p>
            <w:r>
              <w:t>背压式</w:t>
            </w:r>
          </w:p>
        </w:tc>
      </w:tr>
      <w:tr>
        <w:tc>
          <w:tcPr>
            <w:tcW w:type="dxa" w:w="4320"/>
          </w:tcPr>
          <w:p>
            <w:r>
              <w:t>旋转方向(从汽轮机向被驱动机看方)</w:t>
            </w:r>
          </w:p>
        </w:tc>
        <w:tc>
          <w:tcPr>
            <w:tcW w:type="dxa" w:w="4320"/>
          </w:tcPr>
          <w:p>
            <w:r>
              <w:t>顺时针</w:t>
            </w:r>
          </w:p>
        </w:tc>
      </w:tr>
      <w:tr>
        <w:tc>
          <w:tcPr>
            <w:tcW w:type="dxa" w:w="4320"/>
          </w:tcPr>
          <w:p>
            <w:r>
              <w:t>额定功率</w:t>
            </w:r>
          </w:p>
        </w:tc>
        <w:tc>
          <w:tcPr>
            <w:tcW w:type="dxa" w:w="4320"/>
          </w:tcPr>
          <w:p>
            <w:r>
              <w:t>4307kW</w:t>
            </w:r>
          </w:p>
        </w:tc>
      </w:tr>
      <w:tr>
        <w:tc>
          <w:tcPr>
            <w:tcW w:type="dxa" w:w="4320"/>
          </w:tcPr>
          <w:p>
            <w:r>
              <w:t>额定转速</w:t>
            </w:r>
          </w:p>
        </w:tc>
        <w:tc>
          <w:tcPr>
            <w:tcW w:type="dxa" w:w="4320"/>
          </w:tcPr>
          <w:p>
            <w:r>
              <w:t>7386 r/min</w:t>
            </w:r>
          </w:p>
        </w:tc>
      </w:tr>
      <w:tr>
        <w:tc>
          <w:tcPr>
            <w:tcW w:type="dxa" w:w="4320"/>
          </w:tcPr>
          <w:p>
            <w:r>
              <w:t>一阶临界转速</w:t>
            </w:r>
          </w:p>
        </w:tc>
        <w:tc>
          <w:tcPr>
            <w:tcW w:type="dxa" w:w="4320"/>
          </w:tcPr>
          <w:p>
            <w:r>
              <w:t>12060 r/min</w:t>
            </w:r>
          </w:p>
        </w:tc>
      </w:tr>
      <w:tr>
        <w:tc>
          <w:tcPr>
            <w:tcW w:type="dxa" w:w="4320"/>
          </w:tcPr>
          <w:p>
            <w:r>
              <w:t>进汽压力</w:t>
            </w:r>
          </w:p>
        </w:tc>
        <w:tc>
          <w:tcPr>
            <w:tcW w:type="dxa" w:w="4320"/>
          </w:tcPr>
          <w:p>
            <w:r>
              <w:t>3.6 Mpa</w:t>
            </w:r>
          </w:p>
        </w:tc>
      </w:tr>
      <w:tr>
        <w:tc>
          <w:tcPr>
            <w:tcW w:type="dxa" w:w="4320"/>
          </w:tcPr>
          <w:p>
            <w:r>
              <w:t>排汽压力</w:t>
            </w:r>
          </w:p>
        </w:tc>
        <w:tc>
          <w:tcPr>
            <w:tcW w:type="dxa" w:w="4320"/>
          </w:tcPr>
          <w:p>
            <w:r>
              <w:t>1.1Mpa</w:t>
            </w:r>
          </w:p>
        </w:tc>
      </w:tr>
      <w:tr>
        <w:tc>
          <w:tcPr>
            <w:tcW w:type="dxa" w:w="4320"/>
          </w:tcPr>
          <w:p>
            <w:r>
              <w:t>进汽温度</w:t>
            </w:r>
          </w:p>
        </w:tc>
        <w:tc>
          <w:tcPr>
            <w:tcW w:type="dxa" w:w="4320"/>
          </w:tcPr>
          <w:p>
            <w:r>
              <w:t>435℃</w:t>
            </w:r>
          </w:p>
        </w:tc>
      </w:tr>
      <w:tr>
        <w:tc>
          <w:tcPr>
            <w:tcW w:type="dxa" w:w="4320"/>
          </w:tcPr>
          <w:p>
            <w:r>
              <w:t>排汽温度</w:t>
            </w:r>
          </w:p>
        </w:tc>
        <w:tc>
          <w:tcPr>
            <w:tcW w:type="dxa" w:w="4320"/>
          </w:tcPr>
          <w:p>
            <w:r>
              <w:t>305℃</w:t>
            </w:r>
          </w:p>
        </w:tc>
      </w:tr>
    </w:tbl>
    <w:p>
      <w:pPr>
        <w:sectPr>
          <w:type w:val="continuous"/>
          <w:pgSz w:w="12240" w:h="15840"/>
          <w:pgMar w:top="1440" w:right="1800" w:bottom="1440" w:left="1800" w:header="720" w:footer="720" w:gutter="0"/>
          <w:cols w:space="720" w:num="1"/>
          <w:docGrid w:linePitch="360"/>
        </w:sectPr>
      </w:pPr>
    </w:p>
    <w:p>
      <w:pPr>
        <w:pStyle w:val="Heading1"/>
      </w:pPr>
      <w:r>
        <w:t>1.2故障现象</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整个机组于2012年5月开始运行至2014年4月20日，经历几次例行检修，未有异常， </w:t>
      </w:r>
      <w:r>
        <w:rPr>
          <w:sz w:val="20"/>
        </w:rPr>
        <w:t xml:space="preserve">每次开机后运行正常。 </w:t>
      </w:r>
      <w:r>
        <w:rPr>
          <w:sz w:val="20"/>
        </w:rPr>
        <w:t xml:space="preserve">5月10日发生停电一次，此后自5月17日开始，该机组汽轮机出现异常振动。主要表 </w:t>
      </w:r>
      <w:r>
        <w:rPr>
          <w:sz w:val="20"/>
        </w:rPr>
        <w:t xml:space="preserve">现为：运行一段时间后，汽轮机轴承轴振快速上升，随即下降。轴振出现时，汽轮机前端振 </w:t>
      </w:r>
      <w:r>
        <w:rPr>
          <w:sz w:val="20"/>
        </w:rPr>
        <w:t xml:space="preserve">动要高一些，后端振动低一些。从开始出现轴振上升至达到峰值、再恢复至正常值，每次出 </w:t>
      </w:r>
      <w:r>
        <w:rPr>
          <w:sz w:val="20"/>
        </w:rPr>
        <w:t xml:space="preserve">现的峰值呈逐渐上升趋势。至6月26日，汽轮机前轴振达到103um，后轴振为49/51um。 </w:t>
      </w:r>
      <w:r>
        <w:rPr>
          <w:sz w:val="20"/>
        </w:rPr>
        <w:t xml:space="preserve">7月1日2:00时富气机组汽轮机停机拆检，未发现异常，7月2日18:00时汽轮机开机， </w:t>
      </w:r>
      <w:r>
        <w:rPr>
          <w:sz w:val="20"/>
        </w:rPr>
        <w:t xml:space="preserve">开机后未再出现异常振动。但是从7月11日以后，汽轮机前后轴承再次出现波动，7月末将 </w:t>
      </w:r>
      <w:r>
        <w:rPr>
          <w:sz w:val="20"/>
        </w:rPr>
        <w:t xml:space="preserve">前轴承的润滑油压进行了适当减低，汽轮机振动波动未见明显改善，8月初对油封密封气进 </w:t>
      </w:r>
      <w:r>
        <w:rPr>
          <w:sz w:val="20"/>
        </w:rPr>
        <w:t xml:space="preserve">行了调整，仍未解决汽轮机振动频繁波动的问题。 </w:t>
      </w:r>
    </w:p>
    <w:p>
      <w:pPr>
        <w:sectPr>
          <w:type w:val="continuous"/>
          <w:pgSz w:w="12240" w:h="15840"/>
          <w:pgMar w:top="1440" w:right="1800" w:bottom="1440" w:left="1800" w:header="720" w:footer="720" w:gutter="0"/>
          <w:cols w:space="720" w:num="1"/>
          <w:docGrid w:linePitch="360"/>
        </w:sectPr>
      </w:pPr>
    </w:p>
    <w:p>
      <w:pPr>
        <w:pStyle w:val="Heading1"/>
      </w:pPr>
      <w:r>
        <w:t>1.3分析过程</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8月22日，该机组安装了SG8000在线监测系统，对汽轮机的振动数据进行实时采集和 </w:t>
      </w:r>
      <w:r>
        <w:rPr>
          <w:sz w:val="20"/>
        </w:rPr>
        <w:t xml:space="preserve">监测。 </w:t>
      </w:r>
      <w:r>
        <w:rPr>
          <w:sz w:val="20"/>
        </w:rPr>
        <w:t xml:space="preserve">查看相关趋势图，如下： </w:t>
      </w:r>
    </w:p>
    <w:p>
      <w:pPr>
        <w:ind w:firstLine="360"/>
      </w:pPr>
      <w:r>
        <w:rPr>
          <w:sz w:val="20"/>
        </w:rPr>
        <w:t xml:space="preserve">第3页共26页 </w:t>
      </w:r>
    </w:p>
    <w:p>
      <w:pPr>
        <w:sectPr>
          <w:type w:val="continuous"/>
          <w:pgSz w:w="12240" w:h="15840"/>
          <w:pgMar w:top="1440" w:right="1800" w:bottom="1440" w:left="1800" w:header="720" w:footer="720" w:gutter="0"/>
          <w:cols w:space="720"/>
          <w:docGrid w:linePitch="360"/>
        </w:sectPr>
      </w:pPr>
    </w:p>
    <w:p>
      <w:pPr>
        <w:ind w:firstLine="360"/>
      </w:pPr>
      <w:r>
        <w:rPr>
          <w:sz w:val="20"/>
        </w:rPr>
        <w:t xml:space="preserve">沈阳鼓风机集团测控技术有限公司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4440014"/>
            <wp:docPr id="11" name="Picture 1"/>
            <wp:cNvGraphicFramePr>
              <a:graphicFrameLocks noChangeAspect="1"/>
            </wp:cNvGraphicFramePr>
            <a:graphic>
              <a:graphicData uri="http://schemas.openxmlformats.org/drawingml/2006/picture">
                <pic:pic>
                  <pic:nvPicPr>
                    <pic:cNvPr id="11" name="[175, 145, 1041, 986]_0.jpg"/>
                    <pic:cNvPicPr/>
                  </pic:nvPicPr>
                  <pic:blipFill>
                    <a:blip r:embed="rId19"/>
                    <a:stretch>
                      <a:fillRect/>
                    </a:stretch>
                  </pic:blipFill>
                  <pic:spPr>
                    <a:xfrm>
                      <a:off x="0" y="0"/>
                      <a:ext cx="4572000" cy="4440014"/>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图1.21x趋势图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2032000"/>
            <wp:docPr id="12" name="Picture 2"/>
            <wp:cNvGraphicFramePr>
              <a:graphicFrameLocks noChangeAspect="1"/>
            </wp:cNvGraphicFramePr>
            <a:graphic>
              <a:graphicData uri="http://schemas.openxmlformats.org/drawingml/2006/picture">
                <pic:pic>
                  <pic:nvPicPr>
                    <pic:cNvPr id="12" name="[200, 1118, 1037, 1490]_0.jpg"/>
                    <pic:cNvPicPr/>
                  </pic:nvPicPr>
                  <pic:blipFill>
                    <a:blip r:embed="rId20"/>
                    <a:stretch>
                      <a:fillRect/>
                    </a:stretch>
                  </pic:blipFill>
                  <pic:spPr>
                    <a:xfrm>
                      <a:off x="0" y="0"/>
                      <a:ext cx="4572000" cy="2032000"/>
                    </a:xfrm>
                    <a:prstGeom prst="rect"/>
                  </pic:spPr>
                </pic:pic>
              </a:graphicData>
            </a:graphic>
          </wp:inline>
        </w:drawing>
      </w:r>
    </w:p>
    <w:p>
      <w:pPr>
        <w:ind w:firstLine="360"/>
      </w:pPr>
      <w:r>
        <w:rPr>
          <w:sz w:val="20"/>
        </w:rPr>
        <w:t xml:space="preserve">图1.3振动未变大时的轴心轨迹图 </w:t>
      </w:r>
      <w:r>
        <w:rPr>
          <w:sz w:val="20"/>
        </w:rPr>
        <w:t xml:space="preserve">第4页共26页 </w:t>
      </w:r>
    </w:p>
    <w:p>
      <w:pPr>
        <w:sectPr>
          <w:type w:val="continuous"/>
          <w:pgSz w:w="12240" w:h="15840"/>
          <w:pgMar w:top="1440" w:right="1800" w:bottom="1440" w:left="1800" w:header="720" w:footer="720" w:gutter="0"/>
          <w:cols w:space="720"/>
          <w:docGrid w:linePitch="360"/>
        </w:sectPr>
      </w:pPr>
    </w:p>
    <w:p>
      <w:pPr>
        <w:ind w:firstLine="360"/>
      </w:pPr>
      <w:r>
        <w:rPr>
          <w:sz w:val="20"/>
        </w:rPr>
        <w:t xml:space="preserve">沈阳鼓风机集团测控技术有限公司 </w:t>
      </w:r>
    </w:p>
    <w:p>
      <w:pPr>
        <w:sectPr>
          <w:type w:val="continuous"/>
          <w:pgSz w:w="12240" w:h="15840"/>
          <w:pgMar w:top="1440" w:right="1800" w:bottom="1440" w:left="1800" w:header="720" w:footer="720" w:gutter="0"/>
          <w:cols w:space="720" w:num="2"/>
          <w:docGrid w:linePitch="360"/>
        </w:sectPr>
      </w:pPr>
    </w:p>
    <w:p>
      <w:pPr>
        <w:jc w:val="center"/>
      </w:pPr>
      <w:r>
        <w:drawing>
          <wp:inline xmlns:a="http://schemas.openxmlformats.org/drawingml/2006/main" xmlns:pic="http://schemas.openxmlformats.org/drawingml/2006/picture">
            <wp:extent cx="4572000" cy="2083165"/>
            <wp:docPr id="13" name="Picture 1"/>
            <wp:cNvGraphicFramePr>
              <a:graphicFrameLocks noChangeAspect="1"/>
            </wp:cNvGraphicFramePr>
            <a:graphic>
              <a:graphicData uri="http://schemas.openxmlformats.org/drawingml/2006/picture">
                <pic:pic>
                  <pic:nvPicPr>
                    <pic:cNvPr id="13" name="[197, 145, 1031, 525]_0.jpg"/>
                    <pic:cNvPicPr/>
                  </pic:nvPicPr>
                  <pic:blipFill>
                    <a:blip r:embed="rId21"/>
                    <a:stretch>
                      <a:fillRect/>
                    </a:stretch>
                  </pic:blipFill>
                  <pic:spPr>
                    <a:xfrm>
                      <a:off x="0" y="0"/>
                      <a:ext cx="4572000" cy="2083165"/>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图1.4振动变大时的轴心轨迹图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从图1.3和图1.4判断，汽轮机前端出现了反进动，结合7月1日的检修记录，见图1.5， </w:t>
      </w:r>
      <w:r>
        <w:rPr>
          <w:sz w:val="20"/>
        </w:rPr>
        <w:t xml:space="preserve">判断汽轮机前端出现碰摩，汽轮机后端没有碰摩。 </w:t>
      </w:r>
    </w:p>
    <w:p>
      <w:pPr>
        <w:sectPr>
          <w:type w:val="continuous"/>
          <w:pgSz w:w="12240" w:h="15840"/>
          <w:pgMar w:top="1440" w:right="1800" w:bottom="1440" w:left="1800" w:header="720" w:footer="720" w:gutter="0"/>
          <w:cols w:space="720" w:num="1"/>
          <w:docGrid w:linePitch="360"/>
        </w:sectPr>
      </w:pPr>
    </w:p>
    <w:p>
      <w:pPr>
        <w:pStyle w:val="Heading1"/>
      </w:pPr>
      <w:r>
        <w:t>1.4结论</w:t>
      </w:r>
    </w:p>
    <w:p>
      <w:pPr>
        <w:pStyle w:val="Heading1"/>
      </w:pPr>
      <w:r>
        <w:t>1.5建议</w:t>
      </w:r>
    </w:p>
    <w:p>
      <w:pPr>
        <w:ind w:firstLine="360"/>
      </w:pPr>
      <w:r>
        <w:rPr>
          <w:sz w:val="20"/>
        </w:rPr>
        <w:t xml:space="preserve">图1.5汽轮机前端油封处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为了保证生产，在不停车的情况下，采取调整润滑油压力的方式调整转子的姿态。在稳 </w:t>
      </w:r>
      <w:r>
        <w:rPr>
          <w:sz w:val="20"/>
        </w:rPr>
        <w:t xml:space="preserve">定生产负荷的前提下，将前轴承润滑油压力由原来的0.12MPa调整为0.15MPa，后轴承的润 </w:t>
      </w:r>
      <w:r>
        <w:rPr>
          <w:sz w:val="20"/>
        </w:rPr>
        <w:t xml:space="preserve">滑油压力由原来的0.10MPa调整为0.11MPa。 </w:t>
      </w:r>
      <w:r>
        <w:rPr>
          <w:sz w:val="20"/>
        </w:rPr>
        <w:t xml:space="preserve">具体实施日期：9月6日的上午开始。 </w:t>
      </w:r>
    </w:p>
    <w:p>
      <w:pPr>
        <w:ind w:firstLine="360"/>
      </w:pPr>
      <w:r>
        <w:rPr>
          <w:sz w:val="20"/>
        </w:rPr>
        <w:t xml:space="preserve">第5页共26页 </w:t>
      </w:r>
    </w:p>
    <w:p>
      <w:pPr>
        <w:sectPr>
          <w:type w:val="continuous"/>
          <w:pgSz w:w="12240" w:h="15840"/>
          <w:pgMar w:top="1440" w:right="1800" w:bottom="1440" w:left="1800" w:header="720" w:footer="720" w:gutter="0"/>
          <w:cols w:space="720"/>
          <w:docGrid w:linePitch="360"/>
        </w:sectPr>
      </w:pPr>
    </w:p>
    <w:p>
      <w:pPr>
        <w:ind w:firstLine="360"/>
      </w:pPr>
      <w:r>
        <w:rPr>
          <w:sz w:val="20"/>
        </w:rPr>
        <w:t xml:space="preserve">沈阳鼓风机集团测控技术有限公司 </w:t>
      </w:r>
    </w:p>
    <w:p>
      <w:pPr>
        <w:pStyle w:val="Heading1"/>
      </w:pPr>
      <w:r>
        <w:t>1.6处理后的情况跟踪</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图1.6是9月6日调整润滑油压力后的总体趋势图，调整效果明显，在没有停车的情况 </w:t>
      </w:r>
      <w:r>
        <w:rPr>
          <w:sz w:val="20"/>
        </w:rPr>
        <w:t xml:space="preserve">下，改善了机组的振动情况，保证了生产的正常运行，从9月13日开始振动不超过35um。 </w:t>
      </w:r>
    </w:p>
    <w:p>
      <w:pPr>
        <w:jc w:val="center"/>
      </w:pPr>
      <w:r>
        <w:drawing>
          <wp:inline xmlns:a="http://schemas.openxmlformats.org/drawingml/2006/main" xmlns:pic="http://schemas.openxmlformats.org/drawingml/2006/picture">
            <wp:extent cx="4572000" cy="2027156"/>
            <wp:docPr id="14" name="Picture 1"/>
            <wp:cNvGraphicFramePr>
              <a:graphicFrameLocks noChangeAspect="1"/>
            </wp:cNvGraphicFramePr>
            <a:graphic>
              <a:graphicData uri="http://schemas.openxmlformats.org/drawingml/2006/picture">
                <pic:pic>
                  <pic:nvPicPr>
                    <pic:cNvPr id="14" name="[195, 321, 1034, 693]_0.jpg"/>
                    <pic:cNvPicPr/>
                  </pic:nvPicPr>
                  <pic:blipFill>
                    <a:blip r:embed="rId22"/>
                    <a:stretch>
                      <a:fillRect/>
                    </a:stretch>
                  </pic:blipFill>
                  <pic:spPr>
                    <a:xfrm>
                      <a:off x="0" y="0"/>
                      <a:ext cx="4572000" cy="2027156"/>
                    </a:xfrm>
                    <a:prstGeom prst="rect"/>
                  </pic:spPr>
                </pic:pic>
              </a:graphicData>
            </a:graphic>
          </wp:inline>
        </w:drawing>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图1.6调整油压前后汽轮机振动趋势图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第6页共26页 </w:t>
      </w:r>
    </w:p>
    <w:p>
      <w:pPr>
        <w:sectPr>
          <w:type w:val="continuous"/>
          <w:pgSz w:w="12240" w:h="15840"/>
          <w:pgMar w:top="1440" w:right="1800" w:bottom="1440" w:left="1800" w:header="720" w:footer="720" w:gutter="0"/>
          <w:cols w:space="720"/>
          <w:docGrid w:linePitch="360"/>
        </w:sectPr>
      </w:pPr>
    </w:p>
    <w:p>
      <w:pPr>
        <w:ind w:firstLine="360"/>
      </w:pPr>
      <w:r>
        <w:rPr>
          <w:sz w:val="20"/>
        </w:rPr>
        <w:t xml:space="preserve">沈阳鼓风机集团测控技术有限公司 </w:t>
      </w:r>
    </w:p>
    <w:p>
      <w:pPr>
        <w:pStyle w:val="Heading1"/>
      </w:pPr>
      <w:r>
        <w:t>2某厂15MW发电机组故障分析</w:t>
      </w:r>
    </w:p>
    <w:p>
      <w:pPr>
        <w:pStyle w:val="Heading1"/>
      </w:pPr>
      <w:r>
        <w:t>2.1设备概况</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15MW发电机组外貌图如图2.1，从左至右依次是由汽轮机（型号为ENG40/32/25/40）、 </w:t>
      </w:r>
      <w:r>
        <w:rPr>
          <w:sz w:val="20"/>
        </w:rPr>
        <w:t xml:space="preserve">齿轮箱、发电机（型号为QF-W15-2)。 </w:t>
      </w:r>
    </w:p>
    <w:p>
      <w:pPr>
        <w:sectPr>
          <w:type w:val="continuous"/>
          <w:pgSz w:w="12240" w:h="15840"/>
          <w:pgMar w:top="1440" w:right="1800" w:bottom="1440" w:left="1800" w:header="720" w:footer="720" w:gutter="0"/>
          <w:cols w:space="720" w:num="1"/>
          <w:docGrid w:linePitch="360"/>
        </w:sectPr>
      </w:pPr>
    </w:p>
    <w:p>
      <w:pPr>
        <w:ind w:firstLine="360"/>
      </w:pPr>
      <w:r>
        <w:rPr>
          <w:sz w:val="20"/>
        </w:rPr>
        <w:t xml:space="preserve">15MW发电机组设计技术参数详见表2.1。 </w:t>
      </w:r>
    </w:p>
    <w:p>
      <w:pPr>
        <w:ind w:firstLine="360"/>
      </w:pPr>
      <w:r>
        <w:rPr>
          <w:sz w:val="20"/>
        </w:rPr>
        <w:t xml:space="preserve">图2.115MW发电机组 </w:t>
      </w:r>
    </w:p>
    <w:p>
      <w:pPr>
        <w:ind w:firstLine="360"/>
      </w:pPr>
      <w:r>
        <w:rPr>
          <w:sz w:val="20"/>
        </w:rPr>
        <w:t xml:space="preserve">表2.1机组设计参数 </w:t>
      </w:r>
    </w:p>
    <w:p>
      <w:pPr>
        <w:sectPr>
          <w:type w:val="continuous"/>
          <w:pgSz w:w="12240" w:h="15840"/>
          <w:pgMar w:top="1440" w:right="1800" w:bottom="1440" w:left="1800" w:header="720" w:footer="720" w:gutter="0"/>
          <w:cols w:space="720" w:num="2"/>
          <w:docGrid w:linePitch="360"/>
        </w:sectPr>
      </w:pPr>
    </w:p>
    <w:tbl>
      <w:tblPr>
        <w:tblStyle w:val="TableGrid"/>
        <w:tblW w:type="auto" w:w="0"/>
        <w:tblLook w:firstColumn="1" w:firstRow="1" w:lastColumn="0" w:lastRow="0" w:noHBand="0" w:noVBand="1" w:val="04A0"/>
      </w:tblPr>
      <w:tblGrid>
        <w:gridCol w:w="2160"/>
        <w:gridCol w:w="2160"/>
        <w:gridCol w:w="2160"/>
        <w:gridCol w:w="2160"/>
      </w:tblGrid>
      <w:tr>
        <w:tc>
          <w:tcPr>
            <w:tcW w:type="dxa" w:w="8640"/>
            <w:gridSpan w:val="4"/>
          </w:tcPr>
          <w:p>
            <w:r>
              <w:t>发电机</w:t>
            </w:r>
          </w:p>
        </w:tc>
      </w:tr>
      <w:tr>
        <w:tc>
          <w:tcPr>
            <w:tcW w:type="dxa" w:w="2160"/>
          </w:tcPr>
          <w:p>
            <w:r>
              <w:t>额定转速r/min</w:t>
            </w:r>
          </w:p>
        </w:tc>
        <w:tc>
          <w:tcPr>
            <w:tcW w:type="dxa" w:w="2160"/>
          </w:tcPr>
          <w:p>
            <w:r>
              <w:t>3000</w:t>
            </w:r>
          </w:p>
        </w:tc>
        <w:tc>
          <w:tcPr>
            <w:tcW w:type="dxa" w:w="2160"/>
          </w:tcPr>
          <w:p>
            <w:r>
              <w:t>最大连续转速r/min</w:t>
            </w:r>
          </w:p>
        </w:tc>
        <w:tc>
          <w:tcPr>
            <w:tcW w:type="dxa" w:w="2160"/>
          </w:tcPr>
          <w:p>
            <w:r>
              <w:t>3000</w:t>
            </w:r>
          </w:p>
        </w:tc>
      </w:tr>
      <w:tr>
        <w:tc>
          <w:tcPr>
            <w:tcW w:type="dxa" w:w="2160"/>
          </w:tcPr>
          <w:p>
            <w:r>
              <w:t>润滑油温度℃</w:t>
            </w:r>
          </w:p>
        </w:tc>
        <w:tc>
          <w:tcPr>
            <w:tcW w:type="dxa" w:w="2160"/>
          </w:tcPr>
          <w:p>
            <w:r>
              <w:t>36-45</w:t>
            </w:r>
          </w:p>
        </w:tc>
        <w:tc>
          <w:tcPr>
            <w:tcW w:type="dxa" w:w="2160"/>
          </w:tcPr>
          <w:p>
            <w:r>
              <w:t>润滑油压力MPaA</w:t>
            </w:r>
          </w:p>
        </w:tc>
        <w:tc>
          <w:tcPr>
            <w:tcW w:type="dxa" w:w="2160"/>
          </w:tcPr>
          <w:p>
            <w:r>
              <w:t>1.0</w:t>
            </w:r>
          </w:p>
        </w:tc>
      </w:tr>
      <w:tr>
        <w:tc>
          <w:tcPr>
            <w:tcW w:type="dxa" w:w="2160"/>
          </w:tcPr>
          <w:p>
            <w:r>
              <w:t>驱动端支承轴承类型</w:t>
            </w:r>
          </w:p>
        </w:tc>
        <w:tc>
          <w:tcPr>
            <w:tcW w:type="dxa" w:w="2160"/>
          </w:tcPr>
          <w:p>
            <w:r>
              <w:t>滑动轴承</w:t>
            </w:r>
          </w:p>
        </w:tc>
        <w:tc>
          <w:tcPr>
            <w:tcW w:type="dxa" w:w="2160"/>
          </w:tcPr>
          <w:p>
            <w:r>
              <w:t>非驱动端支承轴承类型</w:t>
            </w:r>
          </w:p>
        </w:tc>
        <w:tc>
          <w:tcPr>
            <w:tcW w:type="dxa" w:w="2160"/>
          </w:tcPr>
          <w:p>
            <w:r>
              <w:t>滑动轴承</w:t>
            </w:r>
          </w:p>
        </w:tc>
      </w:tr>
      <w:tr>
        <w:tc>
          <w:tcPr>
            <w:tcW w:type="dxa" w:w="2160"/>
          </w:tcPr>
          <w:p>
            <w:r>
              <w:t>驱动端支承轴承间隙 mm</w:t>
            </w:r>
          </w:p>
        </w:tc>
        <w:tc>
          <w:tcPr>
            <w:tcW w:type="dxa" w:w="2160"/>
          </w:tcPr>
          <w:p>
            <w:r>
              <w:t>0.26</w:t>
            </w:r>
          </w:p>
        </w:tc>
        <w:tc>
          <w:tcPr>
            <w:tcW w:type="dxa" w:w="2160"/>
          </w:tcPr>
          <w:p>
            <w:r>
              <w:t>非驱动端支承轴承间隙mm</w:t>
            </w:r>
          </w:p>
        </w:tc>
        <w:tc>
          <w:tcPr>
            <w:tcW w:type="dxa" w:w="2160"/>
          </w:tcPr>
          <w:p>
            <w:r>
              <w:t>0.26</w:t>
            </w:r>
          </w:p>
        </w:tc>
      </w:tr>
      <w:tr>
        <w:tc>
          <w:tcPr>
            <w:tcW w:type="dxa" w:w="2160"/>
          </w:tcPr>
          <w:p>
            <w:r>
              <w:t>止推轴承类型</w:t>
            </w:r>
          </w:p>
        </w:tc>
        <w:tc>
          <w:tcPr>
            <w:tcW w:type="dxa" w:w="2160"/>
          </w:tcPr>
          <w:p>
            <w:r>
              <w:t>滑动轴承</w:t>
            </w:r>
          </w:p>
        </w:tc>
        <w:tc>
          <w:tcPr>
            <w:tcW w:type="dxa" w:w="2160"/>
          </w:tcPr>
          <w:p>
            <w:r>
              <w:t>止推轴承间隙 mm</w:t>
            </w:r>
          </w:p>
        </w:tc>
        <w:tc>
          <w:tcPr>
            <w:tcW w:type="dxa" w:w="2160"/>
          </w:tcPr>
          <w:p>
            <w:r>
              <w:t>0.20</w:t>
            </w:r>
          </w:p>
        </w:tc>
      </w:tr>
    </w:tbl>
    <w:p>
      <w:pPr>
        <w:sectPr>
          <w:type w:val="continuous"/>
          <w:pgSz w:w="12240" w:h="15840"/>
          <w:pgMar w:top="1440" w:right="1800" w:bottom="1440" w:left="1800" w:header="720" w:footer="720" w:gutter="0"/>
          <w:cols w:space="720" w:num="1"/>
          <w:docGrid w:linePitch="360"/>
        </w:sectPr>
      </w:pPr>
    </w:p>
    <w:p>
      <w:pPr>
        <w:pStyle w:val="Heading1"/>
      </w:pPr>
      <w:r>
        <w:t>2.2 故障现象</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15MW发电机组于2013年5月开机运行，6月25日再次开机运行中发电机非联端振动 </w:t>
      </w:r>
      <w:r>
        <w:rPr>
          <w:sz w:val="20"/>
        </w:rPr>
        <w:t xml:space="preserve">偏大，并一直持续，振动幅值最高达到135um。 </w:t>
      </w:r>
    </w:p>
    <w:p>
      <w:pPr>
        <w:sectPr>
          <w:type w:val="continuous"/>
          <w:pgSz w:w="12240" w:h="15840"/>
          <w:pgMar w:top="1440" w:right="1800" w:bottom="1440" w:left="1800" w:header="720" w:footer="720" w:gutter="0"/>
          <w:cols w:space="720" w:num="1"/>
          <w:docGrid w:linePitch="360"/>
        </w:sectPr>
      </w:pPr>
    </w:p>
    <w:p>
      <w:pPr>
        <w:pStyle w:val="Heading1"/>
      </w:pPr>
      <w:r>
        <w:t>2.3故障分析</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图2.2和图2.3是发电机前后端轴承4个通道6月26日到7月10日的运行振动趋势图， </w:t>
      </w:r>
      <w:r>
        <w:rPr>
          <w:sz w:val="20"/>
        </w:rPr>
        <w:t xml:space="preserve">分析可得，发电机后端轴承振动较前端轴承振动偏大，且振动能量主要集中在1x上，且在6 </w:t>
      </w:r>
    </w:p>
    <w:p>
      <w:pPr>
        <w:ind w:firstLine="360"/>
      </w:pPr>
      <w:r>
        <w:rPr>
          <w:sz w:val="20"/>
        </w:rPr>
        <w:t xml:space="preserve">第7页共26页 </w:t>
      </w:r>
    </w:p>
    <w:p>
      <w:pPr>
        <w:sectPr>
          <w:type w:val="continuous"/>
          <w:pgSz w:w="12240" w:h="15840"/>
          <w:pgMar w:top="1440" w:right="1800" w:bottom="1440" w:left="1800" w:header="720" w:footer="720" w:gutter="0"/>
          <w:cols w:space="720"/>
          <w:docGrid w:linePitch="360"/>
        </w:sectPr>
      </w:pPr>
    </w:p>
    <w:p>
      <w:pPr>
        <w:ind w:firstLine="360"/>
      </w:pPr>
      <w:r>
        <w:rPr>
          <w:sz w:val="20"/>
        </w:rPr>
        <w:t xml:space="preserve">沈阳鼓风机集团测控技术有限公司 </w:t>
      </w:r>
    </w:p>
    <w:p>
      <w:pPr>
        <w:ind w:firstLine="360"/>
      </w:pPr>
      <w:r>
        <w:rPr>
          <w:sz w:val="20"/>
        </w:rPr>
        <w:t xml:space="preserve">月27日和7月2日振动幅值有较大程度的上升波动。 </w:t>
      </w:r>
    </w:p>
    <w:p>
      <w:pPr>
        <w:ind w:firstLine="360"/>
      </w:pPr>
      <w:r>
        <w:rPr>
          <w:sz w:val="20"/>
        </w:rPr>
        <w:t xml:space="preserve">图2.2发电机通频值趋势 </w:t>
      </w:r>
    </w:p>
    <w:p>
      <w:pPr>
        <w:ind w:firstLine="360"/>
      </w:pPr>
      <w:r>
        <w:rPr>
          <w:sz w:val="20"/>
        </w:rPr>
        <w:t xml:space="preserve">图2.3发电机1x趋势 </w:t>
      </w:r>
    </w:p>
    <w:p>
      <w:pPr>
        <w:sectPr>
          <w:type w:val="continuous"/>
          <w:pgSz w:w="12240" w:h="15840"/>
          <w:pgMar w:top="1440" w:right="1800" w:bottom="1440" w:left="1800" w:header="720" w:footer="720" w:gutter="0"/>
          <w:cols w:space="720" w:num="2"/>
          <w:docGrid w:linePitch="360"/>
        </w:sectPr>
      </w:pPr>
    </w:p>
    <w:p>
      <w:pPr>
        <w:ind w:firstLine="360"/>
      </w:pPr>
      <w:r>
        <w:rPr>
          <w:sz w:val="20"/>
        </w:rPr>
        <w:t xml:space="preserve">图2.4是6月27日振动增长时的频谱分析图，1x占主要分量，并伴随2x、3x、4x分量， </w:t>
      </w:r>
      <w:r>
        <w:rPr>
          <w:sz w:val="20"/>
        </w:rPr>
        <w:t xml:space="preserve">轴承运转不良；图2.5是7月2日振动增长时的频谱分析图，1x占主要分量，并伴随0.5x、 </w:t>
      </w:r>
      <w:r>
        <w:rPr>
          <w:sz w:val="20"/>
        </w:rPr>
        <w:t xml:space="preserve">2x、3x、4x分量，油膜状态和轴承状态不佳，并与瓦背紧力和巴氏合金状态有一定关系。 </w:t>
      </w:r>
    </w:p>
    <w:p>
      <w:pPr>
        <w:ind w:firstLine="360"/>
      </w:pPr>
      <w:r>
        <w:rPr>
          <w:sz w:val="20"/>
        </w:rPr>
        <w:t xml:space="preserve">第8页共26页 </w:t>
      </w:r>
    </w:p>
    <w:sectPr w:rsidR="00FC693F" w:rsidRPr="0006063C" w:rsidSect="00034616">
      <w:type w:val="continuous"/>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