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4792346"/>
        <w:docPartObj>
          <w:docPartGallery w:val="AutoText"/>
        </w:docPartObj>
      </w:sdtPr>
      <w:sdtEndPr>
        <w:rPr>
          <w:rFonts w:asciiTheme="majorEastAsia" w:hAnsiTheme="majorEastAsia" w:eastAsiaTheme="majorEastAsia" w:cstheme="majorEastAsia"/>
        </w:rPr>
      </w:sdtEndPr>
      <w:sdtContent>
        <w:p/>
        <w:p>
          <w:r>
            <w:pict>
              <v:group id="_x0000_s2050" o:spid="_x0000_s2050" o:spt="203" style="position:absolute;left:0pt;height:697.95pt;width:595.3pt;mso-position-horizontal:center;mso-position-horizontal-relative:page;mso-position-vertical:center;mso-position-vertical-relative:margin;z-index:251660288;mso-width-relative:page;mso-height-relative:margin;mso-width-percent:1000;mso-height-percent:1000;" coordorigin="0,1440" coordsize="12239,12960" o:allowincell="f">
                <o:lock v:ext="edit"/>
                <v:group id="_x0000_s2051" o:spid="_x0000_s2051" o:spt="203" style="position:absolute;left:0;top:9661;height:4739;width:12239;" coordorigin="-6,3399" coordsize="12197,4253">
                  <o:lock v:ext="edit"/>
                  <v:group id="_x0000_s2052" o:spid="_x0000_s2052" o:spt="203" style="position:absolute;left:-6;top:3717;height:3550;width:12189;" coordorigin="18,7468" coordsize="12189,3550">
                    <o:lock v:ext="edit"/>
                    <v:shape id="_x0000_s2053" o:spid="_x0000_s2053" style="position:absolute;left:18;top:7837;height:2863;width:7132;" fillcolor="#ADCCEA" filled="t" stroked="f" coordsize="7132,2863" path="m0,0l17,2863,7132,2578,7132,200,0,0xe">
                      <v:path arrowok="t"/>
                      <v:fill on="t" opacity="32768f" focussize="0,0"/>
                      <v:stroke on="f"/>
                      <v:imagedata o:title=""/>
                      <o:lock v:ext="edit"/>
                    </v:shape>
                    <v:shape id="_x0000_s2054" o:spid="_x0000_s2054" style="position:absolute;left:7150;top:7468;height:3550;width:3466;" fillcolor="#D6E6F4" filled="t" stroked="f" coordsize="3466,3550" path="m0,569l0,2930,3466,3550,3466,0,0,569xe">
                      <v:path arrowok="t"/>
                      <v:fill on="t" opacity="32768f" focussize="0,0"/>
                      <v:stroke on="f"/>
                      <v:imagedata o:title=""/>
                      <o:lock v:ext="edit"/>
                    </v:shape>
                    <v:shape id="_x0000_s2055" o:spid="_x0000_s2055" style="position:absolute;left:10616;top:7468;height:3550;width:1591;" fillcolor="#ADCCEA" filled="t" stroked="f" coordsize="1591,3550" path="m0,0l0,3550,1591,2746,1591,737,0,0xe">
                      <v:path arrowok="t"/>
                      <v:fill on="t" opacity="32768f" focussize="0,0"/>
                      <v:stroke on="f"/>
                      <v:imagedata o:title=""/>
                      <o:lock v:ext="edit"/>
                    </v:shape>
                  </v:group>
                  <v:shape id="_x0000_s2056" o:spid="_x0000_s2056" style="position:absolute;left:8071;top:4069;height:2913;width:4120;" fillcolor="#D8D8D8" filled="t" stroked="f" coordsize="4120,2913" path="m1,251l0,2662,4120,2913,4120,0,1,251xe">
                    <v:path arrowok="t"/>
                    <v:fill on="t" focussize="0,0"/>
                    <v:stroke on="f"/>
                    <v:imagedata o:title=""/>
                    <o:lock v:ext="edit"/>
                  </v:shape>
                  <v:shape id="_x0000_s2057" o:spid="_x0000_s2057" style="position:absolute;left:4104;top:3399;height:4236;width:3985;" fillcolor="#BFBFBF" filled="t" stroked="f" coordsize="3985,4236" path="m0,0l0,4236,3985,3349,3985,921,0,0xe">
                    <v:path arrowok="t"/>
                    <v:fill on="t" focussize="0,0"/>
                    <v:stroke on="f"/>
                    <v:imagedata o:title=""/>
                    <o:lock v:ext="edit"/>
                  </v:shape>
                  <v:shape id="_x0000_s2058" o:spid="_x0000_s2058" style="position:absolute;left:18;top:3399;height:4253;width:4086;" fillcolor="#D8D8D8" filled="t" stroked="f" coordsize="4086,4253" path="m4086,0l4084,4253,0,3198,0,1072,4086,0xe">
                    <v:path arrowok="t"/>
                    <v:fill on="t" focussize="0,0"/>
                    <v:stroke on="f"/>
                    <v:imagedata o:title=""/>
                    <o:lock v:ext="edit"/>
                  </v:shape>
                  <v:shape id="_x0000_s2059" o:spid="_x0000_s2059" style="position:absolute;left:17;top:3617;height:3851;width:2076;" fillcolor="#D6E6F4" filled="t" stroked="f" coordsize="2076,3851" path="m0,921l2060,0,2076,3851,0,2981,0,921xe">
                    <v:path arrowok="t"/>
                    <v:fill on="t" opacity="45875f" focussize="0,0"/>
                    <v:stroke on="f"/>
                    <v:imagedata o:title=""/>
                    <o:lock v:ext="edit"/>
                  </v:shape>
                  <v:shape id="_x0000_s2060" o:spid="_x0000_s2060" style="position:absolute;left:2077;top:3617;height:3835;width:6011;" fillcolor="#ADCCEA" filled="t" stroked="f" coordsize="6011,3835" path="m0,0l17,3835,6011,2629,6011,1239,0,0xe">
                    <v:path arrowok="t"/>
                    <v:fill on="t" opacity="45875f" focussize="0,0"/>
                    <v:stroke on="f"/>
                    <v:imagedata o:title=""/>
                    <o:lock v:ext="edit"/>
                  </v:shape>
                  <v:shape id="_x0000_s2061" o:spid="_x0000_s2061" style="position:absolute;left:8088;top:3835;height:3432;width:4102;" fillcolor="#D6E6F4" filled="t" stroked="f" coordsize="4102,3432" path="m0,1038l0,2411,4102,3432,4102,0,0,1038xe">
                    <v:path arrowok="t"/>
                    <v:fill on="t" opacity="45875f" focussize="0,0"/>
                    <v:stroke on="f"/>
                    <v:imagedata o:title=""/>
                    <o:lock v:ext="edit"/>
                  </v:shape>
                </v:group>
                <v:rect id="_x0000_s2062" o:spid="_x0000_s2062" o:spt="1" style="position:absolute;left:1800;top:1440;height:1294;width:8638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style="mso-fit-shape-to-text:t;">
                    <w:txbxContent>
                      <w:sdt>
                        <w:sdt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  <w:alias w:val="公司"/>
                          <w:id w:val="15866524"/>
                          <w15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</w:sdtEndPr>
                        <w:sdtContent>
                          <w:p>
                            <w:pPr>
                              <w:rPr>
                                <w:b/>
                                <w:bCs/>
                                <w:color w:val="7F7F7F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F7F7F" w:themeColor="text1" w:themeTint="7F"/>
                                <w:sz w:val="32"/>
                                <w:szCs w:val="32"/>
                              </w:rPr>
                              <w:t>陕西厚溥教育科技有限公司</w:t>
                            </w:r>
                          </w:p>
                        </w:sdtContent>
                      </w:sdt>
                      <w:p>
                        <w:p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2063" o:spid="_x0000_s2063" o:spt="1" style="position:absolute;left:6494;top:11160;height:1293;width:4998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 style="mso-fit-shape-to-text:t;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年"/>
                          <w:id w:val="11435954"/>
                          <w15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EndPr>
                          <w:rPr>
                            <w:sz w:val="96"/>
                            <w:szCs w:val="96"/>
                          </w:rPr>
                        </w:sdtEndPr>
                        <w:sdtContent>
                          <w:p>
                            <w:pPr>
                              <w:wordWrap w:val="0"/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eastAsia"/>
                                <w:sz w:val="96"/>
                                <w:szCs w:val="96"/>
                              </w:rPr>
                              <w:t>使用说明</w:t>
                            </w:r>
                          </w:p>
                        </w:sdtContent>
                      </w:sdt>
                    </w:txbxContent>
                  </v:textbox>
                </v:rect>
                <v:rect id="_x0000_s2064" o:spid="_x0000_s2064" o:spt="1" style="position:absolute;left:1800;top:2294;height:7268;width:8638;v-text-anchor:bottom;" filled="f" stroked="f" coordsize="21600,21600">
                  <v:path/>
                  <v:fill on="f" focussize="0,0"/>
                  <v:stroke on="f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b/>
                            <w:bCs/>
                            <w:color w:val="44546A" w:themeColor="text2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b/>
                              <w:bCs/>
                              <w:color w:val="44546A" w:themeColor="text2"/>
                              <w:sz w:val="72"/>
                              <w:szCs w:val="72"/>
                            </w:rPr>
                            <w:alias w:val="标题"/>
                            <w:id w:val="15866532"/>
            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b/>
                              <w:bCs/>
                              <w:color w:val="44546A" w:themeColor="text2"/>
                              <w:sz w:val="72"/>
                              <w:szCs w:val="72"/>
                            </w:rPr>
                          </w:sdtEndPr>
                          <w:sdtContent>
                            <w:r>
                              <w:rPr>
                                <w:rFonts w:hint="eastAsia"/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  <w:t>陕西德泓贸易管理平台</w:t>
                            </w:r>
                          </w:sdtContent>
                        </w:sdt>
                      </w:p>
                      <w:p/>
                      <w:p>
                        <w:p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rPr>
                            <w:b/>
                            <w:bCs/>
                            <w:color w:val="7F7F7F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w:r>
        </w:p>
        <w:p>
          <w:pPr>
            <w:widowControl/>
            <w:jc w:val="left"/>
            <w:rPr>
              <w:rFonts w:asciiTheme="majorEastAsia" w:hAnsiTheme="majorEastAsia" w:eastAsiaTheme="majorEastAsia" w:cstheme="majorEastAsia"/>
            </w:rPr>
          </w:pPr>
          <w:r>
            <w:rPr>
              <w:rFonts w:asciiTheme="majorEastAsia" w:hAnsiTheme="majorEastAsia" w:eastAsiaTheme="majorEastAsia" w:cstheme="majorEastAsia"/>
            </w:rPr>
            <w:br w:type="page"/>
          </w:r>
        </w:p>
      </w:sdtContent>
    </w:sdt>
    <w:p>
      <w:pPr>
        <w:rPr>
          <w:rFonts w:asciiTheme="majorEastAsia" w:hAnsiTheme="majorEastAsia" w:eastAsiaTheme="majorEastAsia" w:cstheme="majorEastAsia"/>
        </w:rPr>
      </w:pPr>
    </w:p>
    <w:p>
      <w:pPr>
        <w:rPr>
          <w:rFonts w:asciiTheme="majorEastAsia" w:hAnsiTheme="majorEastAsia" w:eastAsiaTheme="majorEastAsia" w:cstheme="majorEastAsia"/>
        </w:rPr>
      </w:pPr>
    </w:p>
    <w:p>
      <w:pPr>
        <w:jc w:val="center"/>
        <w:rPr>
          <w:rStyle w:val="9"/>
          <w:rFonts w:hint="eastAsia"/>
          <w:color w:val="5B9BD5" w:themeColor="accent1"/>
          <w:sz w:val="52"/>
          <w:szCs w:val="52"/>
        </w:rPr>
      </w:pPr>
      <w:r>
        <w:rPr>
          <w:rStyle w:val="9"/>
          <w:rFonts w:hint="eastAsia"/>
          <w:color w:val="5B9BD5" w:themeColor="accent1"/>
          <w:sz w:val="52"/>
          <w:szCs w:val="52"/>
        </w:rPr>
        <w:t>陕西德泓贸易管理平台</w:t>
      </w:r>
    </w:p>
    <w:p>
      <w:pPr>
        <w:jc w:val="left"/>
        <w:rPr>
          <w:rStyle w:val="9"/>
          <w:rFonts w:hint="eastAsia"/>
          <w:b/>
          <w:bCs w:val="0"/>
          <w:color w:val="auto"/>
          <w:sz w:val="28"/>
          <w:szCs w:val="28"/>
          <w:lang w:val="en-US" w:eastAsia="zh-CN"/>
        </w:rPr>
      </w:pPr>
      <w:r>
        <w:rPr>
          <w:rStyle w:val="9"/>
          <w:rFonts w:hint="eastAsia"/>
          <w:b/>
          <w:bCs w:val="0"/>
          <w:color w:val="auto"/>
          <w:sz w:val="28"/>
          <w:szCs w:val="28"/>
          <w:lang w:val="en-US" w:eastAsia="zh-CN"/>
        </w:rPr>
        <w:t>数据库：oracle数据库</w:t>
      </w:r>
    </w:p>
    <w:p>
      <w:pPr>
        <w:jc w:val="left"/>
        <w:rPr>
          <w:rStyle w:val="9"/>
          <w:rFonts w:hint="eastAsia"/>
          <w:b/>
          <w:bCs w:val="0"/>
          <w:color w:val="auto"/>
          <w:sz w:val="28"/>
          <w:szCs w:val="28"/>
          <w:lang w:val="en-US" w:eastAsia="zh-CN"/>
        </w:rPr>
      </w:pPr>
      <w:r>
        <w:rPr>
          <w:rStyle w:val="9"/>
          <w:rFonts w:hint="eastAsia"/>
          <w:b/>
          <w:bCs w:val="0"/>
          <w:color w:val="auto"/>
          <w:sz w:val="28"/>
          <w:szCs w:val="28"/>
          <w:lang w:val="en-US" w:eastAsia="zh-CN"/>
        </w:rPr>
        <w:t>使用软件：idea</w:t>
      </w:r>
    </w:p>
    <w:p>
      <w:pPr>
        <w:jc w:val="left"/>
        <w:rPr>
          <w:rStyle w:val="9"/>
          <w:rFonts w:hint="default"/>
          <w:b/>
          <w:bCs w:val="0"/>
          <w:color w:val="auto"/>
          <w:sz w:val="28"/>
          <w:szCs w:val="28"/>
          <w:lang w:val="en-US" w:eastAsia="zh-CN"/>
        </w:rPr>
      </w:pPr>
      <w:r>
        <w:rPr>
          <w:rStyle w:val="9"/>
          <w:rFonts w:hint="eastAsia"/>
          <w:b/>
          <w:bCs w:val="0"/>
          <w:color w:val="auto"/>
          <w:sz w:val="28"/>
          <w:szCs w:val="28"/>
          <w:lang w:val="en-US" w:eastAsia="zh-CN"/>
        </w:rPr>
        <w:t>使用说明：将代码导入idea,更改maven本地仓库，下载pom依赖，点击右上角选择本地tomcat启动，启动成功后在浏览器访问http://localhost:8080,即可进入项目主界面</w:t>
      </w:r>
    </w:p>
    <w:p>
      <w:pPr>
        <w:pStyle w:val="1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运行项目，进入</w:t>
      </w:r>
      <w:r>
        <w:rPr>
          <w:rFonts w:hint="eastAsia"/>
          <w:lang w:val="en-US" w:eastAsia="zh-CN"/>
        </w:rPr>
        <w:t>生产厂家</w:t>
      </w:r>
      <w:r>
        <w:rPr>
          <w:rFonts w:hint="eastAsia"/>
        </w:rPr>
        <w:t>界面，点击左侧导航栏，厂家信息，显示所有的厂家信息，可以对厂家进行添加、修改、删除、批量删除、启用和停用操作，如下图所示：：</w:t>
      </w:r>
    </w:p>
    <w:p>
      <w:pPr>
        <w:rPr>
          <w:rFonts w:hint="eastAsia" w:asciiTheme="minorEastAsia" w:hAnsiTheme="minorEastAsia" w:cstheme="min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  <w:drawing>
          <wp:inline distT="0" distB="0" distL="114300" distR="114300">
            <wp:extent cx="5431790" cy="2541905"/>
            <wp:effectExtent l="0" t="0" r="16510" b="10795"/>
            <wp:docPr id="6" name="图片 6" descr="QQ截图2020102516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10251613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点击添加按钮，进入添加页面，当输入的厂家信息没有问题的时候，完成厂家添加功能。添加成功，跳转到查询页面显示。如下图所示：</w:t>
      </w:r>
    </w:p>
    <w:p>
      <w:r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  <w:drawing>
          <wp:inline distT="0" distB="0" distL="114300" distR="114300">
            <wp:extent cx="5268595" cy="2223135"/>
            <wp:effectExtent l="0" t="0" r="8255" b="5715"/>
            <wp:docPr id="9" name="图片 9" descr="QQ截图2020102516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10251615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选择厂家，点击启用按钮，可以修改该厂家的状态为</w:t>
      </w:r>
      <w:r>
        <w:t>"</w:t>
      </w:r>
      <w:r>
        <w:rPr>
          <w:rFonts w:hint="eastAsia"/>
        </w:rPr>
        <w:t>启用</w:t>
      </w:r>
      <w:r>
        <w:t>"</w:t>
      </w:r>
      <w:r>
        <w:rPr>
          <w:rFonts w:hint="eastAsia"/>
        </w:rPr>
        <w:t>；如果该厂家的状态为启用，则状态不变。点击停用按钮，可以修改该厂家状态为</w:t>
      </w:r>
      <w:r>
        <w:t>"</w:t>
      </w:r>
      <w:r>
        <w:rPr>
          <w:rFonts w:hint="eastAsia"/>
        </w:rPr>
        <w:t>停用</w:t>
      </w:r>
      <w:r>
        <w:t>"</w:t>
      </w:r>
      <w:r>
        <w:rPr>
          <w:rFonts w:hint="eastAsia"/>
        </w:rPr>
        <w:t>；如果该厂家的状态为停用，则状态不变。点击状态的超链接，可以实现状态切换，比如，该厂家的状态为</w:t>
      </w:r>
      <w:r>
        <w:t>"启用"</w:t>
      </w:r>
      <w:r>
        <w:rPr>
          <w:rFonts w:hint="eastAsia"/>
        </w:rPr>
        <w:t>，点击则修改状态为</w:t>
      </w:r>
      <w:r>
        <w:t>"</w:t>
      </w:r>
      <w:r>
        <w:rPr>
          <w:rFonts w:hint="eastAsia"/>
        </w:rPr>
        <w:t>停用</w:t>
      </w:r>
      <w:r>
        <w:t>"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72100" cy="2839085"/>
            <wp:effectExtent l="0" t="0" r="0" b="18415"/>
            <wp:docPr id="10" name="图片 10" descr="QQ截图2020102516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10251600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1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点击左侧导航栏，购销合同，显示所有的购销合同信息，可以对合同进行查看、添加、修改、批量删除、上报和取消操作，如下图所示：</w:t>
      </w:r>
    </w:p>
    <w:p>
      <w:pPr>
        <w:rPr>
          <w:rFonts w:ascii="宋体" w:hAnsi="宋体" w:eastAsia="宋体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52700"/>
            <wp:effectExtent l="0" t="0" r="7620" b="0"/>
            <wp:docPr id="11" name="图片 11" descr="QQ截图2020102516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10251610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点击添加按钮，进入添加页面，当输入的合同信息没有问题的时候，完成合同添加功能。添加成功，跳转到查询页面显示。如下图所示：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18715"/>
            <wp:effectExtent l="0" t="0" r="10160" b="635"/>
            <wp:docPr id="12" name="图片 12" descr="QQ截图2020102516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010251617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选择合同，点击上报按钮，可上报所选的合同信息，可批量上报。如下图所示：</w:t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496820"/>
            <wp:effectExtent l="0" t="0" r="2540" b="17780"/>
            <wp:docPr id="15" name="图片 15" descr="QQ截图2020102516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10251602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点击合同列表的货物链接，进入货物添加页面，厂家名称从下拉框选择，完成货物添加功能，可对货物进行添加、修改、删除以及附件操作相关功能如下图所示：</w:t>
      </w:r>
    </w:p>
    <w:p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66690" cy="1946275"/>
            <wp:effectExtent l="0" t="0" r="10160" b="15875"/>
            <wp:docPr id="16" name="图片 16" descr="QQ截图2020102515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10251559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点击货物列表的附件链接，跳转到附件页面，上面可添加附件，下面显示所有附件，可进行附件的添加、修改、删除操作，如下图所示：</w:t>
      </w:r>
    </w:p>
    <w:p>
      <w:pPr>
        <w:rPr>
          <w:rFonts w:hint="eastAsia" w:eastAsiaTheme="minorEastAsia"/>
          <w:lang w:val="en-US"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268220"/>
            <wp:effectExtent l="0" t="0" r="12700" b="17780"/>
            <wp:docPr id="18" name="图片 18" descr="QQ截图2020102516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10251622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16"/>
        <w:ind w:left="420" w:firstLine="0" w:firstLineChars="0"/>
        <w:rPr>
          <w:rFonts w:hint="eastAsia"/>
        </w:rPr>
      </w:pPr>
      <w:r>
        <w:rPr>
          <w:rFonts w:hint="eastAsia"/>
        </w:rPr>
        <w:t>合同级联删除，选择要删除的合同，点击删除按钮，删除合同并删除该合同下的货物、附件。删除完成，刷新合同列表。如下图所示：</w:t>
      </w:r>
    </w:p>
    <w:p>
      <w:pPr>
        <w:pStyle w:val="16"/>
        <w:ind w:left="420" w:firstLine="0" w:firstLineChars="0"/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326005"/>
            <wp:effectExtent l="0" t="0" r="6350" b="17145"/>
            <wp:docPr id="19" name="图片 19" descr="QQ截图2020102516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010251624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货运管理-&gt;出货表，选择船期，可根据船期打印出货表，数据保存在Excel表格里，并下载该表格。如下图所示：</w:t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369185"/>
            <wp:effectExtent l="0" t="0" r="9525" b="12065"/>
            <wp:docPr id="20" name="图片 20" descr="QQ截图2020102516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10251600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普通打印：</w:t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43180</wp:posOffset>
            </wp:positionV>
            <wp:extent cx="5485765" cy="1038860"/>
            <wp:effectExtent l="19050" t="0" r="785" b="0"/>
            <wp:wrapNone/>
            <wp:docPr id="9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03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模板打印：</w:t>
      </w:r>
    </w:p>
    <w:p>
      <w:pPr>
        <w:rPr>
          <w:rFonts w:hint="eastAsia"/>
        </w:rPr>
      </w:pPr>
      <w: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1270</wp:posOffset>
            </wp:positionV>
            <wp:extent cx="5562600" cy="877570"/>
            <wp:effectExtent l="19050" t="0" r="153" b="0"/>
            <wp:wrapNone/>
            <wp:docPr id="9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296" cy="87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货运管理-&gt;出口报运，显示所有的报运信息。如下图所示：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19985"/>
            <wp:effectExtent l="0" t="0" r="7620" b="18415"/>
            <wp:docPr id="24" name="图片 24" descr="QQ截图20201025162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10251626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购销合同查询，显示所有的合同信息，可实现报运功能。如下图所示：</w:t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263775"/>
            <wp:effectExtent l="0" t="0" r="6350" b="3175"/>
            <wp:docPr id="13" name="图片 13" descr="QQ截图2020102516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10251619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6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选择合同，可多选，完成报运功能。报运完成，在报运列表显示。如下图所示：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491105"/>
            <wp:effectExtent l="0" t="0" r="2540" b="4445"/>
            <wp:docPr id="25" name="图片 25" descr="QQ截图2020102516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10251602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报运完成：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472055"/>
            <wp:effectExtent l="0" t="0" r="6350" b="4445"/>
            <wp:docPr id="26" name="图片 26" descr="QQ截图2020102516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010251602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货运管理-&gt;装箱，显示所有装箱信息，可进行装箱修改、查看操作。如下图所示：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344420"/>
            <wp:effectExtent l="0" t="0" r="8255" b="17780"/>
            <wp:docPr id="30" name="图片 30" descr="QQ截图2020102516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10251605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出口报运-&gt;装箱，选择要装箱的出口报运信息，可多选，跳转到添加装箱页面。如下图所示：</w:t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14575"/>
            <wp:effectExtent l="0" t="0" r="7620" b="9525"/>
            <wp:docPr id="31" name="图片 31" descr="QQ截图2020102516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10251629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添加装箱：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423795"/>
            <wp:effectExtent l="0" t="0" r="5080" b="14605"/>
            <wp:docPr id="32" name="图片 32" descr="QQ截图2020102516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010251604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装箱完成显示：</w:t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344420"/>
            <wp:effectExtent l="0" t="0" r="8255" b="17780"/>
            <wp:docPr id="34" name="图片 34" descr="QQ截图2020102516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2010251605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选择要修改的装箱信息，点击修改按钮，跳转到修改装箱的页面，输入要修改的装箱信息，完成装箱修改，修改完成到查询页面显示。如下图所示：</w:t>
      </w:r>
    </w:p>
    <w:p>
      <w:pPr>
        <w:pStyle w:val="16"/>
        <w:numPr>
          <w:numId w:val="0"/>
        </w:numPr>
        <w:ind w:leftChars="0"/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426970"/>
            <wp:effectExtent l="0" t="0" r="13335" b="11430"/>
            <wp:docPr id="35" name="图片 35" descr="QQ截图2020102516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2010251630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选择要查看的装箱信息，点击查看按钮，完成查看功能。如下图所示：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070" cy="2176145"/>
            <wp:effectExtent l="0" t="0" r="17780" b="14605"/>
            <wp:docPr id="36" name="图片 36" descr="QQ截图20201025163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2010251630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生产厂家销售情况，以饼形图显示所有厂家的销售情况。如下图所示：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107950</wp:posOffset>
            </wp:positionV>
            <wp:extent cx="4394835" cy="2244725"/>
            <wp:effectExtent l="0" t="0" r="5715" b="3175"/>
            <wp:wrapNone/>
            <wp:docPr id="1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5389" t="23986" r="10612" b="2804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产品销售排行，以柱状图显示所有热销产品排行情况。如下图所示</w:t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492125</wp:posOffset>
            </wp:positionH>
            <wp:positionV relativeFrom="paragraph">
              <wp:posOffset>111125</wp:posOffset>
            </wp:positionV>
            <wp:extent cx="4436110" cy="2379980"/>
            <wp:effectExtent l="0" t="0" r="2540" b="1270"/>
            <wp:wrapNone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9579" t="36677" r="14281" b="168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系统访问压力图，用曲线图显示一天中系统访问情况，</w:t>
      </w:r>
      <w:r>
        <w:rPr>
          <w:rFonts w:hint="eastAsia" w:asciiTheme="minorEastAsia" w:hAnsiTheme="minorEastAsia"/>
          <w:szCs w:val="21"/>
        </w:rPr>
        <w:t>当鼠标悬浮在某个折点时，将显示出对应时间访问数据</w:t>
      </w:r>
      <w:r>
        <w:rPr>
          <w:rFonts w:hint="eastAsia"/>
        </w:rPr>
        <w:t>。如下图所示：</w:t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142875</wp:posOffset>
            </wp:positionV>
            <wp:extent cx="4605020" cy="2121535"/>
            <wp:effectExtent l="0" t="0" r="5080" b="12065"/>
            <wp:wrapNone/>
            <wp:docPr id="1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1954" t="38555" r="11757" b="327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02DF9"/>
    <w:multiLevelType w:val="multilevel"/>
    <w:tmpl w:val="1A902DF9"/>
    <w:lvl w:ilvl="0" w:tentative="0">
      <w:start w:val="1"/>
      <w:numFmt w:val="decimal"/>
      <w:lvlText w:val="9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FB5C44"/>
    <w:multiLevelType w:val="multilevel"/>
    <w:tmpl w:val="46FB5C44"/>
    <w:lvl w:ilvl="0" w:tentative="0">
      <w:start w:val="1"/>
      <w:numFmt w:val="decimal"/>
      <w:lvlText w:val="5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E21F1E"/>
    <w:multiLevelType w:val="multilevel"/>
    <w:tmpl w:val="4DE21F1E"/>
    <w:lvl w:ilvl="0" w:tentative="0">
      <w:start w:val="1"/>
      <w:numFmt w:val="decimal"/>
      <w:lvlText w:val="6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1F5C8C"/>
    <w:multiLevelType w:val="multilevel"/>
    <w:tmpl w:val="511F5C8C"/>
    <w:lvl w:ilvl="0" w:tentative="0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63133B4"/>
    <w:multiLevelType w:val="multilevel"/>
    <w:tmpl w:val="663133B4"/>
    <w:lvl w:ilvl="0" w:tentative="0">
      <w:start w:val="1"/>
      <w:numFmt w:val="decimal"/>
      <w:lvlText w:val="8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9541715"/>
    <w:multiLevelType w:val="multilevel"/>
    <w:tmpl w:val="69541715"/>
    <w:lvl w:ilvl="0" w:tentative="0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BBB4080"/>
    <w:multiLevelType w:val="multilevel"/>
    <w:tmpl w:val="6BBB4080"/>
    <w:lvl w:ilvl="0" w:tentative="0">
      <w:start w:val="1"/>
      <w:numFmt w:val="decimal"/>
      <w:lvlText w:val="10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0D32C5"/>
    <w:multiLevelType w:val="multilevel"/>
    <w:tmpl w:val="720D32C5"/>
    <w:lvl w:ilvl="0" w:tentative="0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39D1934"/>
    <w:multiLevelType w:val="multilevel"/>
    <w:tmpl w:val="739D1934"/>
    <w:lvl w:ilvl="0" w:tentative="0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259871C8"/>
    <w:rsid w:val="00011706"/>
    <w:rsid w:val="00046AC3"/>
    <w:rsid w:val="00065AF8"/>
    <w:rsid w:val="00072710"/>
    <w:rsid w:val="00096776"/>
    <w:rsid w:val="000A2817"/>
    <w:rsid w:val="000E7144"/>
    <w:rsid w:val="000F231E"/>
    <w:rsid w:val="000F6739"/>
    <w:rsid w:val="001365FE"/>
    <w:rsid w:val="00153F85"/>
    <w:rsid w:val="00157AE4"/>
    <w:rsid w:val="00161D40"/>
    <w:rsid w:val="001625DD"/>
    <w:rsid w:val="00180035"/>
    <w:rsid w:val="001C6DCC"/>
    <w:rsid w:val="001D0329"/>
    <w:rsid w:val="001D2588"/>
    <w:rsid w:val="001F753E"/>
    <w:rsid w:val="0023357B"/>
    <w:rsid w:val="0025042F"/>
    <w:rsid w:val="002526DA"/>
    <w:rsid w:val="00262836"/>
    <w:rsid w:val="00263BD8"/>
    <w:rsid w:val="002840F9"/>
    <w:rsid w:val="002A4B5B"/>
    <w:rsid w:val="002B413A"/>
    <w:rsid w:val="002F5111"/>
    <w:rsid w:val="00330874"/>
    <w:rsid w:val="0033613C"/>
    <w:rsid w:val="0037417F"/>
    <w:rsid w:val="003D3639"/>
    <w:rsid w:val="003F35E5"/>
    <w:rsid w:val="004137B6"/>
    <w:rsid w:val="00431BDE"/>
    <w:rsid w:val="0045653F"/>
    <w:rsid w:val="004B6F34"/>
    <w:rsid w:val="004C3F30"/>
    <w:rsid w:val="004D10B6"/>
    <w:rsid w:val="004F155B"/>
    <w:rsid w:val="00513900"/>
    <w:rsid w:val="005261CF"/>
    <w:rsid w:val="00535323"/>
    <w:rsid w:val="00560523"/>
    <w:rsid w:val="005A2E9B"/>
    <w:rsid w:val="005B2877"/>
    <w:rsid w:val="005D7FA3"/>
    <w:rsid w:val="005E7462"/>
    <w:rsid w:val="00602D32"/>
    <w:rsid w:val="00604E6A"/>
    <w:rsid w:val="0060775D"/>
    <w:rsid w:val="00612F2B"/>
    <w:rsid w:val="0061535E"/>
    <w:rsid w:val="006309A8"/>
    <w:rsid w:val="0068558C"/>
    <w:rsid w:val="006C0BBD"/>
    <w:rsid w:val="00724B54"/>
    <w:rsid w:val="00727E7E"/>
    <w:rsid w:val="00756984"/>
    <w:rsid w:val="007832E1"/>
    <w:rsid w:val="007879AA"/>
    <w:rsid w:val="007905BD"/>
    <w:rsid w:val="007A36D3"/>
    <w:rsid w:val="007A480D"/>
    <w:rsid w:val="007E7DE0"/>
    <w:rsid w:val="007F4F42"/>
    <w:rsid w:val="00817EA9"/>
    <w:rsid w:val="00861D7C"/>
    <w:rsid w:val="0089187F"/>
    <w:rsid w:val="008B72B4"/>
    <w:rsid w:val="008C409B"/>
    <w:rsid w:val="009248B3"/>
    <w:rsid w:val="009B524C"/>
    <w:rsid w:val="009B68CA"/>
    <w:rsid w:val="009C43FA"/>
    <w:rsid w:val="00A26671"/>
    <w:rsid w:val="00A50B9D"/>
    <w:rsid w:val="00A72656"/>
    <w:rsid w:val="00AB196A"/>
    <w:rsid w:val="00B0399A"/>
    <w:rsid w:val="00B07248"/>
    <w:rsid w:val="00B87EB2"/>
    <w:rsid w:val="00B9384E"/>
    <w:rsid w:val="00C06D57"/>
    <w:rsid w:val="00C338D3"/>
    <w:rsid w:val="00C40026"/>
    <w:rsid w:val="00C6499F"/>
    <w:rsid w:val="00C74023"/>
    <w:rsid w:val="00CE1318"/>
    <w:rsid w:val="00CE7511"/>
    <w:rsid w:val="00D2482E"/>
    <w:rsid w:val="00D27A45"/>
    <w:rsid w:val="00D35F7B"/>
    <w:rsid w:val="00D44069"/>
    <w:rsid w:val="00DA2806"/>
    <w:rsid w:val="00E539CD"/>
    <w:rsid w:val="00E63516"/>
    <w:rsid w:val="00E73A2B"/>
    <w:rsid w:val="00E76581"/>
    <w:rsid w:val="00F01146"/>
    <w:rsid w:val="00F12359"/>
    <w:rsid w:val="00F637E8"/>
    <w:rsid w:val="00F70D31"/>
    <w:rsid w:val="00F76EF9"/>
    <w:rsid w:val="00F8238C"/>
    <w:rsid w:val="00FC04A7"/>
    <w:rsid w:val="00FD3E69"/>
    <w:rsid w:val="00FD4E76"/>
    <w:rsid w:val="00FF164F"/>
    <w:rsid w:val="01D26F85"/>
    <w:rsid w:val="021C04CA"/>
    <w:rsid w:val="05F45688"/>
    <w:rsid w:val="064E68C4"/>
    <w:rsid w:val="07A07F02"/>
    <w:rsid w:val="091D3DD8"/>
    <w:rsid w:val="0A9F0DB6"/>
    <w:rsid w:val="0C4F05C6"/>
    <w:rsid w:val="0DF14774"/>
    <w:rsid w:val="0E45663C"/>
    <w:rsid w:val="11BA5CDF"/>
    <w:rsid w:val="14243DA4"/>
    <w:rsid w:val="1558507B"/>
    <w:rsid w:val="15A044EC"/>
    <w:rsid w:val="19C14AFF"/>
    <w:rsid w:val="1A025CBF"/>
    <w:rsid w:val="1B823B69"/>
    <w:rsid w:val="1FA91CFD"/>
    <w:rsid w:val="213F1214"/>
    <w:rsid w:val="21802BA3"/>
    <w:rsid w:val="247323EE"/>
    <w:rsid w:val="259871C8"/>
    <w:rsid w:val="26113505"/>
    <w:rsid w:val="26D06793"/>
    <w:rsid w:val="27780675"/>
    <w:rsid w:val="28634C61"/>
    <w:rsid w:val="29544B39"/>
    <w:rsid w:val="2A5D1060"/>
    <w:rsid w:val="2B9A6800"/>
    <w:rsid w:val="2CAB1696"/>
    <w:rsid w:val="2E03513E"/>
    <w:rsid w:val="34656DC0"/>
    <w:rsid w:val="371813A1"/>
    <w:rsid w:val="396F3DF7"/>
    <w:rsid w:val="3ED96D11"/>
    <w:rsid w:val="3F08095E"/>
    <w:rsid w:val="40F21899"/>
    <w:rsid w:val="420D343A"/>
    <w:rsid w:val="4235141B"/>
    <w:rsid w:val="45464461"/>
    <w:rsid w:val="45D52868"/>
    <w:rsid w:val="48CD3789"/>
    <w:rsid w:val="4D6F2B57"/>
    <w:rsid w:val="4FA67B64"/>
    <w:rsid w:val="501F447A"/>
    <w:rsid w:val="518E101A"/>
    <w:rsid w:val="523052CC"/>
    <w:rsid w:val="54911A14"/>
    <w:rsid w:val="55ED431B"/>
    <w:rsid w:val="568C32D2"/>
    <w:rsid w:val="57360CE5"/>
    <w:rsid w:val="58922E5F"/>
    <w:rsid w:val="598E435E"/>
    <w:rsid w:val="5AAE1D42"/>
    <w:rsid w:val="5AB67F32"/>
    <w:rsid w:val="5AF35BD9"/>
    <w:rsid w:val="5EBF657C"/>
    <w:rsid w:val="5F373925"/>
    <w:rsid w:val="5FE3410F"/>
    <w:rsid w:val="62D55963"/>
    <w:rsid w:val="649A54BB"/>
    <w:rsid w:val="6F5C45FD"/>
    <w:rsid w:val="717A2E77"/>
    <w:rsid w:val="759A2AF1"/>
    <w:rsid w:val="75B53D64"/>
    <w:rsid w:val="76481A2D"/>
    <w:rsid w:val="7C5033FC"/>
    <w:rsid w:val="7E394142"/>
    <w:rsid w:val="7EA3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1"/>
    <w:uiPriority w:val="0"/>
    <w:rPr>
      <w:rFonts w:ascii="宋体" w:eastAsia="宋体"/>
      <w:sz w:val="18"/>
      <w:szCs w:val="18"/>
    </w:rPr>
  </w:style>
  <w:style w:type="paragraph" w:styleId="4">
    <w:name w:val="Balloon Text"/>
    <w:basedOn w:val="1"/>
    <w:link w:val="10"/>
    <w:uiPriority w:val="0"/>
    <w:rPr>
      <w:sz w:val="18"/>
      <w:szCs w:val="18"/>
    </w:rPr>
  </w:style>
  <w:style w:type="paragraph" w:styleId="5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标题 1 Char"/>
    <w:link w:val="2"/>
    <w:uiPriority w:val="0"/>
    <w:rPr>
      <w:b/>
      <w:kern w:val="44"/>
      <w:sz w:val="44"/>
    </w:rPr>
  </w:style>
  <w:style w:type="character" w:customStyle="1" w:styleId="10">
    <w:name w:val="批注框文本 Char"/>
    <w:basedOn w:val="8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文档结构图 Char"/>
    <w:basedOn w:val="8"/>
    <w:link w:val="3"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2">
    <w:name w:val="页眉 Char"/>
    <w:basedOn w:val="8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脚 Char"/>
    <w:basedOn w:val="8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4">
    <w:name w:val="No Spacing"/>
    <w:link w:val="15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5">
    <w:name w:val="无间隔 Char"/>
    <w:basedOn w:val="8"/>
    <w:link w:val="14"/>
    <w:uiPriority w:val="1"/>
    <w:rPr>
      <w:rFonts w:asciiTheme="minorHAnsi" w:hAnsiTheme="minorHAnsi" w:eastAsiaTheme="minorEastAsia" w:cstheme="minorBidi"/>
      <w:sz w:val="22"/>
      <w:szCs w:val="22"/>
    </w:rPr>
  </w:style>
  <w:style w:type="paragraph" w:styleId="16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  <customShpInfo spid="_x0000_s2054"/>
    <customShpInfo spid="_x0000_s2055"/>
    <customShpInfo spid="_x0000_s2052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51"/>
    <customShpInfo spid="_x0000_s2062"/>
    <customShpInfo spid="_x0000_s2063"/>
    <customShpInfo spid="_x0000_s2064"/>
    <customShpInfo spid="_x0000_s2050"/>
  </customShpExts>
</s:customData>
</file>

<file path=customXml/item2.xml><?xml version="1.0" encoding="utf-8"?>
<CoverPageProperties xmlns="http://schemas.microsoft.com/office/2006/coverPageProps">
  <PublishDate>使用说明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陕西厚溥教育科技有限公司</Company>
  <Pages>19</Pages>
  <Words>420</Words>
  <Characters>2397</Characters>
  <Lines>19</Lines>
  <Paragraphs>5</Paragraphs>
  <TotalTime>8</TotalTime>
  <ScaleCrop>false</ScaleCrop>
  <LinksUpToDate>false</LinksUpToDate>
  <CharactersWithSpaces>2812</CharactersWithSpaces>
  <Application>WPS Office_11.1.0.10069_F1E327BC-269C-435d-A152-05C5408002CA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2016-08-16T06:55:00Z</dcterms:created>
  <dc:creator>组长：赵波涛  组员：李彬、王龙辉、董华丽</dc:creator>
  <cp:lastModifiedBy>17836</cp:lastModifiedBy>
  <dcterms:modified xsi:type="dcterms:W3CDTF">2020-10-25T08:37:50Z</dcterms:modified>
  <dc:subject>J1605班  第二项目组</dc:subject>
  <dc:title>陕西德泓贸易管理平台</dc:title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