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Arial" w:cs="Arial" w:eastAsia="Arial" w:hAnsi="Arial"/>
          <w:b/>
          <w:bCs/>
          <w:caps/>
          <w:color w:val="704B9B"/>
          <w:sz w:val="56"/>
          <w:szCs w:val="56"/>
        </w:rPr>
        <w:t xml:space="preserve">LIFE B IMPORT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1B32"/>
          <w:sz w:val="30"/>
          <w:szCs w:val="30"/>
        </w:rPr>
        <w:t xml:space="preserve">Projeto SDR JLBV — Análise de Benchmarks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Desempenho comercial e de mídia comparado ao mercado B2B de higiene, beleza e saúde</w:t>
      </w:r>
    </w:p>
    <w:p>
      <w:pPr>
        <w:pBdr>
          <w:bottom w:val="single" w:color="704B9B" w:sz="8" w:space="8"/>
        </w:pBdr>
        <w:spacing w:after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Abril de 2026  |  Goiás e Distrito Federal</w:t>
      </w:r>
    </w:p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p>
      <w:pPr>
        <w:pBdr>
          <w:bottom w:val="single" w:color="704B9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704B9B"/>
          <w:sz w:val="26"/>
          <w:szCs w:val="26"/>
        </w:rPr>
        <w:t xml:space="preserve">1. Contexto e Escopo da Análise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Este documento reúne benchmarks de mercado sobre qualificação de leads por SDR, taxas de conversão em funis B2B e desempenho de campanhas no Meta Ads, aplicados ao contexto específico de distribuição de acessórios de higiene, beleza e saúde para farmácias, supermercados e lojas de cosméticos nas regiões de Goiás e Distrito Federal.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Os dados do Projeto SDR JLBV foram coletados entre 26 de março e 25 de abril de 2026, com 111 leads captados via formulário em landing pages promovidas pelo Meta Ads. Os benchmarks de mercado utilizados como referência são provenientes de relatórios publicados em 2025 e 2026 pelas principais plataformas de análise de vendas B2B e marketing digital.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O objetivo é contextualizar o desempenho atual do projeto dentro do que o mercado considera médio, bom e excelente — permitindo identificar com mais clareza onde estão os pontos fortes e onde há espaço para melhora.</w:t>
      </w:r>
    </w:p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p>
      <w:pPr>
        <w:pBdr>
          <w:bottom w:val="single" w:color="704B9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704B9B"/>
          <w:sz w:val="26"/>
          <w:szCs w:val="26"/>
        </w:rPr>
        <w:t xml:space="preserve">2. O Mercado de Higiene, Beleza e Saúde no Brasil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O setor de higiene, beleza e cuidados pessoais é um dos mais resilientes da economia brasileira. Em 2025, o mercado movimentou R$ 242,3 bilhões — crescimento de 11,2% em relação ao ano anterior — consolidando o Brasil como o quarto maior mercado mundial do setor, atrás apenas de Estados Unidos, China e Japão. A projeção do Mordor Intelligence aponta crescimento de 7,2% ao ano até 2031, quando o mercado deve atingir US$ 56,1 bilhões.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Dentro desse ecossistema, as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farmácias e drogarias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se destacam como canal de distribuição estratégico. Segundo dados da Guia da Farmácia, o segmento de beleza foi o principal responsável pelo crescimento do comércio farmacêutico em 2025, com aumento de participação de produtos de higiene pessoal, dermocosméticos e acessórios de cuidado. Para distribuidores B2B que atendem esse canal, o momento é de expansão — a capilaridade das farmácias em cidades do interior de Goiás e DF cria oportunidade direta para operações como a da Life B Import.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Os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supermercados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também ampliam sua participação no varejo de beleza. A ABRAS reportou em 2025 que o setor de cuidados pessoais é uma das categorias com maior crescimento dentro do mix de supermercados, impulsionado pela conveniência da compra junto ao abastecimento doméstico. Para distribuidores, isso significa que o ticket médio por cliente tende a ser recorrente e previsível — um perfil de cliente com LTV elevado quando bem atendido.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Fontes: Negócios de Beleza / Beauty Fair (2025); Mordor Intelligence Brazil Cosmetics Market (2025); ABRAS Clipping (2025); Guia da Farmácia (2025)</w:t>
      </w:r>
    </w:p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p>
      <w:pPr>
        <w:pBdr>
          <w:bottom w:val="single" w:color="704B9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704B9B"/>
          <w:sz w:val="26"/>
          <w:szCs w:val="26"/>
        </w:rPr>
        <w:t xml:space="preserve">3. Benchmarks de Qualificação — SDR Inbound B2B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A taxa de qualificação de um SDR mede quantos dos leads recebidos são considerados válidos para avançar no funil comercial. Essa métrica varia conforme o canal de origem do lead, o perfil da empresa e os critérios usados pelo SDR para qualificar.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1B32"/>
          <w:sz w:val="23"/>
          <w:szCs w:val="23"/>
        </w:rPr>
        <w:t xml:space="preserve">3.1 O que o mercado considera normal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O relatório da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Sales So (2025)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indica que o SDR médio de mercado qualifica entre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30% e 45%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dos leads inbound recebidos. Top performers — geralmente em empresas com processo mais estruturado de qualificação — chegam a 50%. O estudo da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RevenueHero (2025)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aponta que leads de alta intenção, como formulários preenchidos ativamente, convertem a taxas de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75 a 80%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dentro dos qualificados, mas representam apenas 27% do volume total de inbound.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Para leads vindos de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Meta Ads com formulário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— que é exatamente o modelo do Projeto JLBV — a expectativa de qualificação tende a ser menor do que em leads de busca orgânica ou Google Ads, pelo perfil mais passivo do usuário nas redes sociais. O benchmark específico para esse canal fica em torno de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25% a 40%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, com variação relevante conforme a qualidade criativa do anúncio e a especificidade da segmentação.</w:t>
      </w:r>
    </w:p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426"/>
      </w:tblGrid>
      <w:tr>
        <w:tc>
          <w:tcPr>
            <w:tcW w:type="dxa" w:w="3800"/>
            <w:tcBorders>
              <w:top w:val="single" w:color="704B9B" w:sz="1"/>
              <w:left w:val="single" w:color="704B9B" w:sz="1"/>
              <w:bottom w:val="single" w:color="704B9B" w:sz="1"/>
              <w:right w:val="single" w:color="704B9B" w:sz="1"/>
            </w:tcBorders>
            <w:shd w:fill="704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 do Lead</w:t>
            </w:r>
          </w:p>
        </w:tc>
        <w:tc>
          <w:tcPr>
            <w:tcW w:type="dxa" w:w="2800"/>
            <w:tcBorders>
              <w:top w:val="single" w:color="704B9B" w:sz="1"/>
              <w:left w:val="single" w:color="704B9B" w:sz="1"/>
              <w:bottom w:val="single" w:color="704B9B" w:sz="1"/>
              <w:right w:val="single" w:color="704B9B" w:sz="1"/>
            </w:tcBorders>
            <w:shd w:fill="704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de Qualificação Mediana</w:t>
            </w:r>
          </w:p>
        </w:tc>
        <w:tc>
          <w:tcPr>
            <w:tcW w:type="dxa" w:w="2426"/>
            <w:tcBorders>
              <w:top w:val="single" w:color="704B9B" w:sz="1"/>
              <w:left w:val="single" w:color="704B9B" w:sz="1"/>
              <w:bottom w:val="single" w:color="704B9B" w:sz="1"/>
              <w:right w:val="single" w:color="704B9B" w:sz="1"/>
            </w:tcBorders>
            <w:shd w:fill="704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Performers</w:t>
            </w:r>
          </w:p>
        </w:tc>
      </w:tr>
      <w:tr>
        <w:tc>
          <w:tcPr>
            <w:tcW w:type="dxa" w:w="38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Google Ads (busca)</w:t>
            </w:r>
          </w:p>
        </w:tc>
        <w:tc>
          <w:tcPr>
            <w:tcW w:type="dxa" w:w="28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40% – 55%</w:t>
            </w:r>
          </w:p>
        </w:tc>
        <w:tc>
          <w:tcPr>
            <w:tcW w:type="dxa" w:w="2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até 65%</w:t>
            </w:r>
          </w:p>
        </w:tc>
      </w:tr>
      <w:tr>
        <w:tc>
          <w:tcPr>
            <w:tcW w:type="dxa" w:w="38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Meta Ads (formulário)</w:t>
            </w:r>
          </w:p>
        </w:tc>
        <w:tc>
          <w:tcPr>
            <w:tcW w:type="dxa" w:w="28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25% – 40%</w:t>
            </w:r>
          </w:p>
        </w:tc>
        <w:tc>
          <w:tcPr>
            <w:tcW w:type="dxa" w:w="2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até 50%</w:t>
            </w:r>
          </w:p>
        </w:tc>
      </w:tr>
      <w:tr>
        <w:tc>
          <w:tcPr>
            <w:tcW w:type="dxa" w:w="38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Outbound (cold)</w:t>
            </w:r>
          </w:p>
        </w:tc>
        <w:tc>
          <w:tcPr>
            <w:tcW w:type="dxa" w:w="28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15% – 25%</w:t>
            </w:r>
          </w:p>
        </w:tc>
        <w:tc>
          <w:tcPr>
            <w:tcW w:type="dxa" w:w="2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até 35%</w:t>
            </w:r>
          </w:p>
        </w:tc>
      </w:tr>
      <w:tr>
        <w:tc>
          <w:tcPr>
            <w:tcW w:type="dxa" w:w="38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E6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35D"/>
                <w:sz w:val="20"/>
                <w:szCs w:val="20"/>
              </w:rPr>
              <w:t xml:space="preserve">Projeto JLBV (atual)</w:t>
            </w:r>
          </w:p>
        </w:tc>
        <w:tc>
          <w:tcPr>
            <w:tcW w:type="dxa" w:w="28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E6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35D"/>
                <w:sz w:val="20"/>
                <w:szCs w:val="20"/>
              </w:rPr>
              <w:t xml:space="preserve">61%</w:t>
            </w:r>
          </w:p>
        </w:tc>
        <w:tc>
          <w:tcPr>
            <w:tcW w:type="dxa" w:w="2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E6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35D"/>
                <w:sz w:val="20"/>
                <w:szCs w:val="20"/>
              </w:rPr>
              <w:t xml:space="preserve">Acima do benchmark</w:t>
            </w:r>
          </w:p>
        </w:tc>
      </w:tr>
    </w:tbl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Fontes: Sales So — SDR Lead Qualification Stats 2025 (salesso.com); RevenueHero — Inbound Demo Conversion Benchmarks 2025 (revenuehero.io); Gradient Works — B2B Sales Benchmarks 2025 (gradient.works)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1B32"/>
          <w:sz w:val="23"/>
          <w:szCs w:val="23"/>
        </w:rPr>
        <w:t xml:space="preserve">3.2 Leitura do resultado atual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Com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68 leads qualificados de 111 captados (61,3%)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, o Projeto JLBV está significativamente acima do benchmark de mercado para leads originados via Meta Ads. Esse número pode ser interpretado de dois ângulos: ou a segmentação dos anúncios está muito boa, atraindo público genuinamente interessado no produto, ou os critérios de qualificação do SDR são relativamente inclusivos — o que não é necessariamente negativo em uma fase inicial de operação, onde perder um lead por qualificação excessivamente rígida tem custo alto.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Vale notar que leads vindos de segmentos muito específicos — como proprietários de farmácias em cidades do interior de Goiás — naturalmente tendem a ter qualificação maior, pois o próprio nicho já filtra. A pesquisa da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RevenueHero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identificou que segmentos de nicho em B2B apresentam taxas de qualificação 15 a 20 pontos percentuais acima da média geral.</w:t>
      </w:r>
    </w:p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p>
      <w:pPr>
        <w:pBdr>
          <w:bottom w:val="single" w:color="704B9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704B9B"/>
          <w:sz w:val="26"/>
          <w:szCs w:val="26"/>
        </w:rPr>
        <w:t xml:space="preserve">4. Taxa de Conversão — Lead para Fechamento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A taxa de conversão de lead para cliente mede quantos dos leads que entraram no funil efetivamente se tornaram clientes pagantes. É a métrica que mais impacta o CAC (Custo de Aquisição de Cliente) e o ROAS da operação.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1B32"/>
          <w:sz w:val="23"/>
          <w:szCs w:val="23"/>
        </w:rPr>
        <w:t xml:space="preserve">4.1 Benchmarks por segmento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O estudo da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Leadster (2025)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aponta que a taxa de conversão mediana no B2B brasileiro é de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2,50%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considerando o total de leads (não apenas qualificados). Para distribuidores e atacadistas, segmento mais próximo do modelo JLBV, a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First Page Sage (2026)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reporta taxas de conversão de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5% a 10%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de lead para fechamento, reflexo do processo mais consultivo e do ticket médio mais elevado em comparação com B2C.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O relatório da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Cortex Intelligence (2025)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reforça que, no B2B nacional, taxas acima de 7% de conversão de lead qualificado para cliente já são consideradas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acima da média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. Empresas com processos estruturados de follow-up e CRM ativo chegam a 12 a 15%.</w:t>
      </w:r>
    </w:p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426"/>
      </w:tblGrid>
      <w:tr>
        <w:tc>
          <w:tcPr>
            <w:tcW w:type="dxa" w:w="3600"/>
            <w:tcBorders>
              <w:top w:val="single" w:color="704B9B" w:sz="1"/>
              <w:left w:val="single" w:color="704B9B" w:sz="1"/>
              <w:bottom w:val="single" w:color="704B9B" w:sz="1"/>
              <w:right w:val="single" w:color="704B9B" w:sz="1"/>
            </w:tcBorders>
            <w:shd w:fill="704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 B2B</w:t>
            </w:r>
          </w:p>
        </w:tc>
        <w:tc>
          <w:tcPr>
            <w:tcW w:type="dxa" w:w="3000"/>
            <w:tcBorders>
              <w:top w:val="single" w:color="704B9B" w:sz="1"/>
              <w:left w:val="single" w:color="704B9B" w:sz="1"/>
              <w:bottom w:val="single" w:color="704B9B" w:sz="1"/>
              <w:right w:val="single" w:color="704B9B" w:sz="1"/>
            </w:tcBorders>
            <w:shd w:fill="704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Conversão Lead → Cliente</w:t>
            </w:r>
          </w:p>
        </w:tc>
        <w:tc>
          <w:tcPr>
            <w:tcW w:type="dxa" w:w="2426"/>
            <w:tcBorders>
              <w:top w:val="single" w:color="704B9B" w:sz="1"/>
              <w:left w:val="single" w:color="704B9B" w:sz="1"/>
              <w:bottom w:val="single" w:color="704B9B" w:sz="1"/>
              <w:right w:val="single" w:color="704B9B" w:sz="1"/>
            </w:tcBorders>
            <w:shd w:fill="704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36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B2B Geral (Brasil)</w:t>
            </w:r>
          </w:p>
        </w:tc>
        <w:tc>
          <w:tcPr>
            <w:tcW w:type="dxa" w:w="30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2,50% (sobre total de leads)</w:t>
            </w:r>
          </w:p>
        </w:tc>
        <w:tc>
          <w:tcPr>
            <w:tcW w:type="dxa" w:w="2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Leadster 2025</w:t>
            </w:r>
          </w:p>
        </w:tc>
      </w:tr>
      <w:tr>
        <w:tc>
          <w:tcPr>
            <w:tcW w:type="dxa" w:w="36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Distribuição / Atacado</w:t>
            </w:r>
          </w:p>
        </w:tc>
        <w:tc>
          <w:tcPr>
            <w:tcW w:type="dxa" w:w="30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5% – 10%</w:t>
            </w:r>
          </w:p>
        </w:tc>
        <w:tc>
          <w:tcPr>
            <w:tcW w:type="dxa" w:w="2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First Page Sage 2026</w:t>
            </w:r>
          </w:p>
        </w:tc>
      </w:tr>
      <w:tr>
        <w:tc>
          <w:tcPr>
            <w:tcW w:type="dxa" w:w="36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Acima da média (B2B BR)</w:t>
            </w:r>
          </w:p>
        </w:tc>
        <w:tc>
          <w:tcPr>
            <w:tcW w:type="dxa" w:w="30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acima de 7%</w:t>
            </w:r>
          </w:p>
        </w:tc>
        <w:tc>
          <w:tcPr>
            <w:tcW w:type="dxa" w:w="2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Cortex Intelligence 2025</w:t>
            </w:r>
          </w:p>
        </w:tc>
      </w:tr>
      <w:tr>
        <w:tc>
          <w:tcPr>
            <w:tcW w:type="dxa" w:w="36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E6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35D"/>
                <w:sz w:val="20"/>
                <w:szCs w:val="20"/>
              </w:rPr>
              <w:t xml:space="preserve">Projeto JLBV (atual)</w:t>
            </w:r>
          </w:p>
        </w:tc>
        <w:tc>
          <w:tcPr>
            <w:tcW w:type="dxa" w:w="30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E6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35D"/>
                <w:sz w:val="20"/>
                <w:szCs w:val="20"/>
              </w:rPr>
              <w:t xml:space="preserve">8,8% (sobre qualificados)</w:t>
            </w:r>
          </w:p>
        </w:tc>
        <w:tc>
          <w:tcPr>
            <w:tcW w:type="dxa" w:w="2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E6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35D"/>
                <w:sz w:val="20"/>
                <w:szCs w:val="20"/>
              </w:rPr>
              <w:t xml:space="preserve">Acima da média</w:t>
            </w:r>
          </w:p>
        </w:tc>
      </w:tr>
    </w:tbl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Fontes: Leadster — Panorama de Geração de Leads B2B Brasil 2025 (leadster.com.br); First Page Sage — B2B Conversion Rates by Industry 2026 (firstpagesage.com); Cortex Intelligence — Taxa de Conversão em Vendas B2B 2025 (cortex-intelligence.com)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1B32"/>
          <w:sz w:val="23"/>
          <w:szCs w:val="23"/>
        </w:rPr>
        <w:t xml:space="preserve">4.2 O gargalo está na negociação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Com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6 fechamentos de 68 qualificados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, a taxa atual de 8,8% está dentro do topo do benchmark para distribuição B2B. O ponto de atenção, porém, está nos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14 leads em negociação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— que representam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R$ 18.716 em pipeline ativo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. Converter mais 3 ou 4 desses leads já colocaria a taxa de conversão acima de 14% e o ROAS em outro patamar.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A pesquisa da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Gradient Works (2025)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identificou que o tempo médio de ciclo de vendas para deals de baixo ticket no B2B é de até 3 meses. O projeto JLBV apresenta média de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13 dias para fechar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— um número excepcionalmente rápido, que indica que quando o vendedor engaja de forma ativa, a decisão de compra é rápida. O desafio está em replicar esse engajamento nos 14 leads que ainda estão no pipeline.</w:t>
      </w:r>
    </w:p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p>
      <w:pPr>
        <w:pBdr>
          <w:bottom w:val="single" w:color="704B9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704B9B"/>
          <w:sz w:val="26"/>
          <w:szCs w:val="26"/>
        </w:rPr>
        <w:t xml:space="preserve">5. Benchmarks de Mídia — Meta Ads B2B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1B32"/>
          <w:sz w:val="23"/>
          <w:szCs w:val="23"/>
        </w:rPr>
        <w:t xml:space="preserve">5.1 CPL (Custo por Lead)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WordStream (2025)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reporta que o CPL médio no Meta Ads para todas as indústrias é de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US$ 27,66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(aproximadamente R$ 138 na cotação atual). Para o mercado brasileiro, com CPMs estruturalmente menores, os valores são significativamente mais baixos. A plataforma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AdAmigo.ai (2026)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aponta que o segmento de saúde e beleza no Meta Ads sofreu inflação de CPM de +38% em 2025, chegando a uma mediana de US$ 20,70 por mil impressões — o que pressionou os CPLs para cima nesse vertical.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O Projeto JLBV opera com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CPL de R$ 25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— abaixo do benchmark brasileiro para B2B de saúde e beleza, que estima-se entre R$ 25 e R$ 60 dependendo da segmentação e do objetivo de campanha. Esse resultado é atribuído ao uso de formulário nativo do Meta (Lead Ads), que reduz a fricção de conversão em comparação a landing pages externas.</w:t>
      </w:r>
    </w:p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800"/>
        <w:gridCol w:w="1426"/>
      </w:tblGrid>
      <w:tr>
        <w:tc>
          <w:tcPr>
            <w:tcW w:type="dxa" w:w="3200"/>
            <w:tcBorders>
              <w:top w:val="single" w:color="704B9B" w:sz="1"/>
              <w:left w:val="single" w:color="704B9B" w:sz="1"/>
              <w:bottom w:val="single" w:color="704B9B" w:sz="1"/>
              <w:right w:val="single" w:color="704B9B" w:sz="1"/>
            </w:tcBorders>
            <w:shd w:fill="704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Mídia</w:t>
            </w:r>
          </w:p>
        </w:tc>
        <w:tc>
          <w:tcPr>
            <w:tcW w:type="dxa" w:w="2600"/>
            <w:tcBorders>
              <w:top w:val="single" w:color="704B9B" w:sz="1"/>
              <w:left w:val="single" w:color="704B9B" w:sz="1"/>
              <w:bottom w:val="single" w:color="704B9B" w:sz="1"/>
              <w:right w:val="single" w:color="704B9B" w:sz="1"/>
            </w:tcBorders>
            <w:shd w:fill="704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de Mercado</w:t>
            </w:r>
          </w:p>
        </w:tc>
        <w:tc>
          <w:tcPr>
            <w:tcW w:type="dxa" w:w="1800"/>
            <w:tcBorders>
              <w:top w:val="single" w:color="704B9B" w:sz="1"/>
              <w:left w:val="single" w:color="704B9B" w:sz="1"/>
              <w:bottom w:val="single" w:color="704B9B" w:sz="1"/>
              <w:right w:val="single" w:color="704B9B" w:sz="1"/>
            </w:tcBorders>
            <w:shd w:fill="704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Projeto JLBV</w:t>
            </w:r>
          </w:p>
        </w:tc>
        <w:tc>
          <w:tcPr>
            <w:tcW w:type="dxa" w:w="1426"/>
            <w:tcBorders>
              <w:top w:val="single" w:color="704B9B" w:sz="1"/>
              <w:left w:val="single" w:color="704B9B" w:sz="1"/>
              <w:bottom w:val="single" w:color="704B9B" w:sz="1"/>
              <w:right w:val="single" w:color="704B9B" w:sz="1"/>
            </w:tcBorders>
            <w:shd w:fill="704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32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CPL médio Meta Ads (global)</w:t>
            </w:r>
          </w:p>
        </w:tc>
        <w:tc>
          <w:tcPr>
            <w:tcW w:type="dxa" w:w="26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US$ 27,66 (~R$ 138)</w:t>
            </w:r>
          </w:p>
        </w:tc>
        <w:tc>
          <w:tcPr>
            <w:tcW w:type="dxa" w:w="18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32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CPL B2B saúde/beleza (BR est.)</w:t>
            </w:r>
          </w:p>
        </w:tc>
        <w:tc>
          <w:tcPr>
            <w:tcW w:type="dxa" w:w="26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R$ 25 – R$ 60</w:t>
            </w:r>
          </w:p>
        </w:tc>
        <w:tc>
          <w:tcPr>
            <w:tcW w:type="dxa" w:w="18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R$ 25</w:t>
            </w:r>
          </w:p>
        </w:tc>
        <w:tc>
          <w:tcPr>
            <w:tcW w:type="dxa" w:w="1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E6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35D"/>
                <w:sz w:val="20"/>
                <w:szCs w:val="20"/>
              </w:rPr>
              <w:t xml:space="preserve">Eficiente</w:t>
            </w:r>
          </w:p>
        </w:tc>
      </w:tr>
      <w:tr>
        <w:tc>
          <w:tcPr>
            <w:tcW w:type="dxa" w:w="32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Taxa de conversão página (B2B)</w:t>
            </w:r>
          </w:p>
        </w:tc>
        <w:tc>
          <w:tcPr>
            <w:tcW w:type="dxa" w:w="26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4,11%</w:t>
            </w:r>
          </w:p>
        </w:tc>
        <w:tc>
          <w:tcPr>
            <w:tcW w:type="dxa" w:w="18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Em apuração</w:t>
            </w:r>
          </w:p>
        </w:tc>
        <w:tc>
          <w:tcPr>
            <w:tcW w:type="dxa" w:w="1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Em monitoramento</w:t>
            </w:r>
          </w:p>
        </w:tc>
      </w:tr>
      <w:tr>
        <w:tc>
          <w:tcPr>
            <w:tcW w:type="dxa" w:w="32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ROAS B2B típico</w:t>
            </w:r>
          </w:p>
        </w:tc>
        <w:tc>
          <w:tcPr>
            <w:tcW w:type="dxa" w:w="26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3x – 5x</w:t>
            </w:r>
          </w:p>
        </w:tc>
        <w:tc>
          <w:tcPr>
            <w:tcW w:type="dxa" w:w="18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E6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35D"/>
                <w:sz w:val="20"/>
                <w:szCs w:val="20"/>
              </w:rPr>
              <w:t xml:space="preserve">5,14x</w:t>
            </w:r>
          </w:p>
        </w:tc>
        <w:tc>
          <w:tcPr>
            <w:tcW w:type="dxa" w:w="1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E6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35D"/>
                <w:sz w:val="20"/>
                <w:szCs w:val="20"/>
              </w:rPr>
              <w:t xml:space="preserve">Acima da média</w:t>
            </w:r>
          </w:p>
        </w:tc>
      </w:tr>
    </w:tbl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Fontes: WordStream — Facebook Ads Benchmarks 2025 (wordstream.com); AdAmigo.ai — Meta Ads Cost Per Lead Benchmarks 2026 (adamigo.ai); Lever Digital — Meta Ad Conversion Benchmarks B2B 2026 (leverdigital.co.uk)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1B32"/>
          <w:sz w:val="23"/>
          <w:szCs w:val="23"/>
        </w:rPr>
        <w:t xml:space="preserve">5.2 ROAS e retorno sobre investimento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ROAS de 5,14x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significa que para cada R$ 1,00 investido em Meta Ads, o projeto gerou R$ 5,14 em receita. Para operações B2B, um ROAS acima de 3x já é considerado positivo pela maioria das referências de mercado, dado o ciclo de venda mais longo e o processo de qualificação intermediário. O resultado atual está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70% acima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do teto inferior do benchmark, o que indica uma operação de mídia bem calibrada para o estágio atual.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Vale ressaltar que o ROAS tende a crescer naturalmente conforme o Lookalike Audience construído com os leads qualificados amadurece no algoritmo do Meta. Com a lista de </w:t>
      </w:r>
      <w:r>
        <w:rPr>
          <w:rFonts w:ascii="Arial" w:cs="Arial" w:eastAsia="Arial" w:hAnsi="Arial"/>
          <w:b/>
          <w:bCs/>
          <w:color w:val="221B32"/>
          <w:sz w:val="22"/>
          <w:szCs w:val="22"/>
        </w:rPr>
        <w:t xml:space="preserve">61 leads qualificados</w:t>
      </w:r>
      <w:r>
        <w:rPr>
          <w:rFonts w:ascii="Arial" w:cs="Arial" w:eastAsia="Arial" w:hAnsi="Arial"/>
          <w:color w:val="221B32"/>
          <w:sz w:val="22"/>
          <w:szCs w:val="22"/>
        </w:rPr>
        <w:t xml:space="preserve"> já formatada para upload, a expectativa é que a audiência similar identifique padrões de comportamento e reduza o CPL nos próximos 30 a 60 dias de veiculação.</w:t>
      </w:r>
    </w:p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p>
      <w:pPr>
        <w:pBdr>
          <w:bottom w:val="single" w:color="704B9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704B9B"/>
          <w:sz w:val="26"/>
          <w:szCs w:val="26"/>
        </w:rPr>
        <w:t xml:space="preserve">6. Painel Comparativo — Projeto vs. Mercado</w:t>
      </w:r>
    </w:p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1900"/>
        <w:gridCol w:w="1426"/>
      </w:tblGrid>
      <w:tr>
        <w:tc>
          <w:tcPr>
            <w:tcW w:type="dxa" w:w="3200"/>
            <w:tcBorders>
              <w:top w:val="single" w:color="704B9B" w:sz="1"/>
              <w:left w:val="single" w:color="704B9B" w:sz="1"/>
              <w:bottom w:val="single" w:color="704B9B" w:sz="1"/>
              <w:right w:val="single" w:color="704B9B" w:sz="1"/>
            </w:tcBorders>
            <w:shd w:fill="704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704B9B" w:sz="1"/>
              <w:left w:val="single" w:color="704B9B" w:sz="1"/>
              <w:bottom w:val="single" w:color="704B9B" w:sz="1"/>
              <w:right w:val="single" w:color="704B9B" w:sz="1"/>
            </w:tcBorders>
            <w:shd w:fill="704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Mercado</w:t>
            </w:r>
          </w:p>
        </w:tc>
        <w:tc>
          <w:tcPr>
            <w:tcW w:type="dxa" w:w="1900"/>
            <w:tcBorders>
              <w:top w:val="single" w:color="704B9B" w:sz="1"/>
              <w:left w:val="single" w:color="704B9B" w:sz="1"/>
              <w:bottom w:val="single" w:color="704B9B" w:sz="1"/>
              <w:right w:val="single" w:color="704B9B" w:sz="1"/>
            </w:tcBorders>
            <w:shd w:fill="704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Projeto JLBV</w:t>
            </w:r>
          </w:p>
        </w:tc>
        <w:tc>
          <w:tcPr>
            <w:tcW w:type="dxa" w:w="1426"/>
            <w:tcBorders>
              <w:top w:val="single" w:color="704B9B" w:sz="1"/>
              <w:left w:val="single" w:color="704B9B" w:sz="1"/>
              <w:bottom w:val="single" w:color="704B9B" w:sz="1"/>
              <w:right w:val="single" w:color="704B9B" w:sz="1"/>
            </w:tcBorders>
            <w:shd w:fill="704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</w:tr>
      <w:tr>
        <w:tc>
          <w:tcPr>
            <w:tcW w:type="dxa" w:w="32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Taxa de qualificação SDR</w:t>
            </w:r>
          </w:p>
        </w:tc>
        <w:tc>
          <w:tcPr>
            <w:tcW w:type="dxa" w:w="25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25% – 45%</w:t>
            </w:r>
          </w:p>
        </w:tc>
        <w:tc>
          <w:tcPr>
            <w:tcW w:type="dxa" w:w="19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61,3%</w:t>
            </w:r>
          </w:p>
        </w:tc>
        <w:tc>
          <w:tcPr>
            <w:tcW w:type="dxa" w:w="1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E6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35D"/>
                <w:sz w:val="20"/>
                <w:szCs w:val="20"/>
              </w:rPr>
              <w:t xml:space="preserve">Topo</w:t>
            </w:r>
          </w:p>
        </w:tc>
      </w:tr>
      <w:tr>
        <w:tc>
          <w:tcPr>
            <w:tcW w:type="dxa" w:w="32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Conversão qualificado → cliente</w:t>
            </w:r>
          </w:p>
        </w:tc>
        <w:tc>
          <w:tcPr>
            <w:tcW w:type="dxa" w:w="25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5% – 10%</w:t>
            </w:r>
          </w:p>
        </w:tc>
        <w:tc>
          <w:tcPr>
            <w:tcW w:type="dxa" w:w="19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8,8%</w:t>
            </w:r>
          </w:p>
        </w:tc>
        <w:tc>
          <w:tcPr>
            <w:tcW w:type="dxa" w:w="1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E6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35D"/>
                <w:sz w:val="20"/>
                <w:szCs w:val="20"/>
              </w:rPr>
              <w:t xml:space="preserve">Acima da média</w:t>
            </w:r>
          </w:p>
        </w:tc>
      </w:tr>
      <w:tr>
        <w:tc>
          <w:tcPr>
            <w:tcW w:type="dxa" w:w="32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CPL Meta Ads (B2B BR)</w:t>
            </w:r>
          </w:p>
        </w:tc>
        <w:tc>
          <w:tcPr>
            <w:tcW w:type="dxa" w:w="25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R$ 25 – R$ 60</w:t>
            </w:r>
          </w:p>
        </w:tc>
        <w:tc>
          <w:tcPr>
            <w:tcW w:type="dxa" w:w="19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R$ 25</w:t>
            </w:r>
          </w:p>
        </w:tc>
        <w:tc>
          <w:tcPr>
            <w:tcW w:type="dxa" w:w="1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E6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35D"/>
                <w:sz w:val="20"/>
                <w:szCs w:val="20"/>
              </w:rPr>
              <w:t xml:space="preserve">Eficiente</w:t>
            </w:r>
          </w:p>
        </w:tc>
      </w:tr>
      <w:tr>
        <w:tc>
          <w:tcPr>
            <w:tcW w:type="dxa" w:w="32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ROAS</w:t>
            </w:r>
          </w:p>
        </w:tc>
        <w:tc>
          <w:tcPr>
            <w:tcW w:type="dxa" w:w="25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3x – 5x</w:t>
            </w:r>
          </w:p>
        </w:tc>
        <w:tc>
          <w:tcPr>
            <w:tcW w:type="dxa" w:w="19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5,14x</w:t>
            </w:r>
          </w:p>
        </w:tc>
        <w:tc>
          <w:tcPr>
            <w:tcW w:type="dxa" w:w="1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E6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35D"/>
                <w:sz w:val="20"/>
                <w:szCs w:val="20"/>
              </w:rPr>
              <w:t xml:space="preserve">Acima da média</w:t>
            </w:r>
          </w:p>
        </w:tc>
      </w:tr>
      <w:tr>
        <w:tc>
          <w:tcPr>
            <w:tcW w:type="dxa" w:w="32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Tempo médio de fechamento</w:t>
            </w:r>
          </w:p>
        </w:tc>
        <w:tc>
          <w:tcPr>
            <w:tcW w:type="dxa" w:w="25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30 – 90 dias</w:t>
            </w:r>
          </w:p>
        </w:tc>
        <w:tc>
          <w:tcPr>
            <w:tcW w:type="dxa" w:w="19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4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13 dias</w:t>
            </w:r>
          </w:p>
        </w:tc>
        <w:tc>
          <w:tcPr>
            <w:tcW w:type="dxa" w:w="1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E6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35D"/>
                <w:sz w:val="20"/>
                <w:szCs w:val="20"/>
              </w:rPr>
              <w:t xml:space="preserve">Excepcional</w:t>
            </w:r>
          </w:p>
        </w:tc>
      </w:tr>
      <w:tr>
        <w:tc>
          <w:tcPr>
            <w:tcW w:type="dxa" w:w="32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B32"/>
                <w:sz w:val="20"/>
                <w:szCs w:val="20"/>
              </w:rPr>
              <w:t xml:space="preserve">Pipeline em aberto</w:t>
            </w:r>
          </w:p>
        </w:tc>
        <w:tc>
          <w:tcPr>
            <w:tcW w:type="dxa" w:w="25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Variável por porte</w:t>
            </w:r>
          </w:p>
        </w:tc>
        <w:tc>
          <w:tcPr>
            <w:tcW w:type="dxa" w:w="1900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R$ 18.716</w:t>
            </w:r>
          </w:p>
        </w:tc>
        <w:tc>
          <w:tcPr>
            <w:tcW w:type="dxa" w:w="1426"/>
            <w:tcBorders>
              <w:top w:val="single" w:color="E8E4F0" w:sz="1"/>
              <w:left w:val="single" w:color="E8E4F0" w:sz="1"/>
              <w:bottom w:val="single" w:color="E8E4F0" w:sz="1"/>
              <w:right w:val="single" w:color="E8E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B32"/>
                <w:sz w:val="20"/>
                <w:szCs w:val="20"/>
              </w:rPr>
              <w:t xml:space="preserve">Monitorar</w:t>
            </w:r>
          </w:p>
        </w:tc>
      </w:tr>
    </w:tbl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p>
      <w:pPr>
        <w:pBdr>
          <w:bottom w:val="single" w:color="704B9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704B9B"/>
          <w:sz w:val="26"/>
          <w:szCs w:val="26"/>
        </w:rPr>
        <w:t xml:space="preserve">7. Conclusão e Próximos Passos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O Projeto SDR JLBV apresenta desempenho acima dos benchmarks de mercado nas principais métricas analisadas. O CPL está no limite inferior do intervalo de mercado, o ROAS supera o teto considerado médio para B2B, e o tempo de fechamento é significativamente menor do que o observado em operações similares.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O ponto que merece atenção não está na geração de lead nem na qualificação — ambas estão bem. Está na conversão dos leads que já estão em negociação. O pipeline de R$ 18.716 represado em 14 leads em negociação representa o maior potencial de ganho imediato sem aumento de investimento em mídia.</w:t>
      </w:r>
    </w:p>
    <w:p>
      <w:pPr>
        <w:spacing w:after="120"/>
        <w:jc w:val="both"/>
      </w:pPr>
      <w:r>
        <w:rPr>
          <w:rFonts w:ascii="Arial" w:cs="Arial" w:eastAsia="Arial" w:hAnsi="Arial"/>
          <w:color w:val="221B32"/>
          <w:sz w:val="22"/>
          <w:szCs w:val="22"/>
        </w:rPr>
        <w:t xml:space="preserve">Para os próximos 30 dias, as ações com maior retorno esperado são: (1) acompanhamento ativo dos 14 leads em negociação com cadência de follow-up definida; (2) ativação da audiência Lookalike com a lista de 61 qualificados no Meta Ads; e (3) manutenção do CPL abaixo de R$ 35 com ajuste de públicos conforme o aprendizado das campanhas ativas.</w:t>
      </w:r>
    </w:p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221B32"/>
          <w:sz w:val="22"/>
          <w:szCs w:val="22"/>
        </w:rPr>
        <w:t xml:space="preserve"/>
      </w:r>
    </w:p>
    <w:p>
      <w:pPr>
        <w:pBdr>
          <w:bottom w:val="single" w:color="704B9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704B9B"/>
          <w:sz w:val="26"/>
          <w:szCs w:val="26"/>
        </w:rPr>
        <w:t xml:space="preserve">Fontes</w:t>
      </w:r>
    </w:p>
    <w:p>
      <w:pPr>
        <w:spacing w:after="80"/>
      </w:pPr>
      <w:hyperlink w:history="1" r:id="rIdfjcevelz-gyolzzaldg4c">
        <w:r>
          <w:rPr>
            <w:rFonts w:ascii="Arial" w:cs="Arial" w:eastAsia="Arial" w:hAnsi="Arial"/>
            <w:color w:val="704B9B"/>
            <w:sz w:val="16"/>
            <w:szCs w:val="16"/>
            <w:u w:val="single"/>
          </w:rPr>
          <w:t xml:space="preserve">Sales So — SDR Lead Qualification Stats 2025</w:t>
        </w:r>
      </w:hyperlink>
    </w:p>
    <w:p>
      <w:pPr>
        <w:spacing w:after="80"/>
      </w:pPr>
      <w:hyperlink w:history="1" r:id="rIdggc-x3lr-o3fgn5n5tvin">
        <w:r>
          <w:rPr>
            <w:rFonts w:ascii="Arial" w:cs="Arial" w:eastAsia="Arial" w:hAnsi="Arial"/>
            <w:color w:val="704B9B"/>
            <w:sz w:val="16"/>
            <w:szCs w:val="16"/>
            <w:u w:val="single"/>
          </w:rPr>
          <w:t xml:space="preserve">RevenueHero — Inbound Demo Conversion Benchmarks 2025</w:t>
        </w:r>
      </w:hyperlink>
    </w:p>
    <w:p>
      <w:pPr>
        <w:spacing w:after="80"/>
      </w:pPr>
      <w:hyperlink w:history="1" r:id="rIdkajbu0cfydjfl84eshsqq">
        <w:r>
          <w:rPr>
            <w:rFonts w:ascii="Arial" w:cs="Arial" w:eastAsia="Arial" w:hAnsi="Arial"/>
            <w:color w:val="704B9B"/>
            <w:sz w:val="16"/>
            <w:szCs w:val="16"/>
            <w:u w:val="single"/>
          </w:rPr>
          <w:t xml:space="preserve">Gradient Works — 2025 B2B Sales Performance Benchmarks</w:t>
        </w:r>
      </w:hyperlink>
    </w:p>
    <w:p>
      <w:pPr>
        <w:spacing w:after="80"/>
      </w:pPr>
      <w:hyperlink w:history="1" r:id="rIdgvdssxi_f3aqxafzzcfym">
        <w:r>
          <w:rPr>
            <w:rFonts w:ascii="Arial" w:cs="Arial" w:eastAsia="Arial" w:hAnsi="Arial"/>
            <w:color w:val="704B9B"/>
            <w:sz w:val="16"/>
            <w:szCs w:val="16"/>
            <w:u w:val="single"/>
          </w:rPr>
          <w:t xml:space="preserve">Leadster — Panorama de Geração de Leads no Brasil 2025</w:t>
        </w:r>
      </w:hyperlink>
    </w:p>
    <w:p>
      <w:pPr>
        <w:spacing w:after="80"/>
      </w:pPr>
      <w:hyperlink w:history="1" r:id="rIddm4dx_qyv_pszcl9ljy9x">
        <w:r>
          <w:rPr>
            <w:rFonts w:ascii="Arial" w:cs="Arial" w:eastAsia="Arial" w:hAnsi="Arial"/>
            <w:color w:val="704B9B"/>
            <w:sz w:val="16"/>
            <w:szCs w:val="16"/>
            <w:u w:val="single"/>
          </w:rPr>
          <w:t xml:space="preserve">First Page Sage — B2B Conversion Rates by Industry 2026</w:t>
        </w:r>
      </w:hyperlink>
    </w:p>
    <w:p>
      <w:pPr>
        <w:spacing w:after="80"/>
      </w:pPr>
      <w:hyperlink w:history="1" r:id="rId8h9bi3mttd3vdget9hr3a">
        <w:r>
          <w:rPr>
            <w:rFonts w:ascii="Arial" w:cs="Arial" w:eastAsia="Arial" w:hAnsi="Arial"/>
            <w:color w:val="704B9B"/>
            <w:sz w:val="16"/>
            <w:szCs w:val="16"/>
            <w:u w:val="single"/>
          </w:rPr>
          <w:t xml:space="preserve">WordStream — Facebook Ads Benchmarks 2025</w:t>
        </w:r>
      </w:hyperlink>
    </w:p>
    <w:p>
      <w:pPr>
        <w:spacing w:after="80"/>
      </w:pPr>
      <w:hyperlink w:history="1" r:id="rIdpyp6dim2etzvh-54_vzac">
        <w:r>
          <w:rPr>
            <w:rFonts w:ascii="Arial" w:cs="Arial" w:eastAsia="Arial" w:hAnsi="Arial"/>
            <w:color w:val="704B9B"/>
            <w:sz w:val="16"/>
            <w:szCs w:val="16"/>
            <w:u w:val="single"/>
          </w:rPr>
          <w:t xml:space="preserve">AdAmigo.ai — Meta Ads Cost Per Lead Benchmarks 2026</w:t>
        </w:r>
      </w:hyperlink>
    </w:p>
    <w:p>
      <w:pPr>
        <w:spacing w:after="80"/>
      </w:pPr>
      <w:hyperlink w:history="1" r:id="rIdnpqcgneqaj_xwuc4wmdit">
        <w:r>
          <w:rPr>
            <w:rFonts w:ascii="Arial" w:cs="Arial" w:eastAsia="Arial" w:hAnsi="Arial"/>
            <w:color w:val="704B9B"/>
            <w:sz w:val="16"/>
            <w:szCs w:val="16"/>
            <w:u w:val="single"/>
          </w:rPr>
          <w:t xml:space="preserve">Lever Digital — Meta Ad Conversion Benchmarks B2B 2026</w:t>
        </w:r>
      </w:hyperlink>
    </w:p>
    <w:p>
      <w:pPr>
        <w:spacing w:after="80"/>
      </w:pPr>
      <w:hyperlink w:history="1" r:id="rIdlvpno1ymdtcmtfuipzryc">
        <w:r>
          <w:rPr>
            <w:rFonts w:ascii="Arial" w:cs="Arial" w:eastAsia="Arial" w:hAnsi="Arial"/>
            <w:color w:val="704B9B"/>
            <w:sz w:val="16"/>
            <w:szCs w:val="16"/>
            <w:u w:val="single"/>
          </w:rPr>
          <w:t xml:space="preserve">Negócios de Beleza / Beauty Fair — Mercado de Beleza e Higiene 2025</w:t>
        </w:r>
      </w:hyperlink>
    </w:p>
    <w:p>
      <w:pPr>
        <w:spacing w:after="80"/>
      </w:pPr>
      <w:hyperlink w:history="1" r:id="rId42mbrskbpm5z6hcpdsa56">
        <w:r>
          <w:rPr>
            <w:rFonts w:ascii="Arial" w:cs="Arial" w:eastAsia="Arial" w:hAnsi="Arial"/>
            <w:color w:val="704B9B"/>
            <w:sz w:val="16"/>
            <w:szCs w:val="16"/>
            <w:u w:val="single"/>
          </w:rPr>
          <w:t xml:space="preserve">Mordor Intelligence — Brazil Cosmetics Products Market 2025</w:t>
        </w:r>
      </w:hyperlink>
    </w:p>
    <w:p>
      <w:pPr>
        <w:spacing w:after="80"/>
      </w:pPr>
      <w:hyperlink w:history="1" r:id="rIdpy8vxbjn_nmorrdmohotk">
        <w:r>
          <w:rPr>
            <w:rFonts w:ascii="Arial" w:cs="Arial" w:eastAsia="Arial" w:hAnsi="Arial"/>
            <w:color w:val="704B9B"/>
            <w:sz w:val="16"/>
            <w:szCs w:val="16"/>
            <w:u w:val="single"/>
          </w:rPr>
          <w:t xml:space="preserve">ABRAS — Setor de beleza e cuidados pessoais crescimento 2025</w:t>
        </w:r>
      </w:hyperlink>
    </w:p>
    <w:p>
      <w:pPr>
        <w:spacing w:after="80"/>
      </w:pPr>
      <w:hyperlink w:history="1" r:id="rId4xecr8skofitpwy4vo1ve">
        <w:r>
          <w:rPr>
            <w:rFonts w:ascii="Arial" w:cs="Arial" w:eastAsia="Arial" w:hAnsi="Arial"/>
            <w:color w:val="704B9B"/>
            <w:sz w:val="16"/>
            <w:szCs w:val="16"/>
            <w:u w:val="single"/>
          </w:rPr>
          <w:t xml:space="preserve">Guia da Farmácia — Beleza impulsiona crescimento do comércio 2025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4F0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4F0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704B9B"/>
        <w:sz w:val="18"/>
        <w:szCs w:val="18"/>
      </w:rPr>
      <w:t xml:space="preserve">Life B Import  |  Projeto SDR JLBV</w:t>
    </w:r>
    <w:r>
      <w:rPr>
        <w:rFonts w:ascii="Arial" w:cs="Arial" w:eastAsia="Arial" w:hAnsi="Arial"/>
        <w:color w:val="888888"/>
        <w:sz w:val="18"/>
        <w:szCs w:val="18"/>
      </w:rPr>
      <w:t xml:space="preserve">	Análise de Benchmarks — Mercado B2B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B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jcevelz-gyolzzaldg4c" Type="http://schemas.openxmlformats.org/officeDocument/2006/relationships/hyperlink" Target="https://salesso.com/blog/lead-qualification-statistics/" TargetMode="External"/><Relationship Id="rIdggc-x3lr-o3fgn5n5tvin" Type="http://schemas.openxmlformats.org/officeDocument/2006/relationships/hyperlink" Target="https://www.revenuehero.io/inbound-conversion-benchmark" TargetMode="External"/><Relationship Id="rIdkajbu0cfydjfl84eshsqq" Type="http://schemas.openxmlformats.org/officeDocument/2006/relationships/hyperlink" Target="https://www.gradient.works/blog/2025-b2b-sales-performance-benchmarks" TargetMode="External"/><Relationship Id="rIdgvdssxi_f3aqxafzzcfym" Type="http://schemas.openxmlformats.org/officeDocument/2006/relationships/hyperlink" Target="https://leadster.com.br/panorama-de-geracao-de-leads-no-brasil-2025/conteudo/b2b/" TargetMode="External"/><Relationship Id="rIddm4dx_qyv_pszcl9ljy9x" Type="http://schemas.openxmlformats.org/officeDocument/2006/relationships/hyperlink" Target="https://firstpagesage.com/reports/b2b-conversion-rates-by-industry-fc/" TargetMode="External"/><Relationship Id="rId8h9bi3mttd3vdget9hr3a" Type="http://schemas.openxmlformats.org/officeDocument/2006/relationships/hyperlink" Target="https://www.wordstream.com/blog/facebook-ads-benchmarks-2025" TargetMode="External"/><Relationship Id="rIdpyp6dim2etzvh-54_vzac" Type="http://schemas.openxmlformats.org/officeDocument/2006/relationships/hyperlink" Target="https://www.adamigo.ai/blog/meta-ads-cost-per-lead-benchmarks-industry-2026" TargetMode="External"/><Relationship Id="rIdnpqcgneqaj_xwuc4wmdit" Type="http://schemas.openxmlformats.org/officeDocument/2006/relationships/hyperlink" Target="https://www.leverdigital.co.uk/post/meta-ad-conversion-benchmarks-for-b2b" TargetMode="External"/><Relationship Id="rIdlvpno1ymdtcmtfuipzryc" Type="http://schemas.openxmlformats.org/officeDocument/2006/relationships/hyperlink" Target="https://negociosdebeleza.beautyfair.com.br/mercado/mercado-de-beleza-e-higiene-tem-movimentado-bilhoes-no-brasil-em-2025/" TargetMode="External"/><Relationship Id="rId42mbrskbpm5z6hcpdsa56" Type="http://schemas.openxmlformats.org/officeDocument/2006/relationships/hyperlink" Target="https://www.mordorintelligence.com/industry-reports/brazil-cosmetics-products-market-industry" TargetMode="External"/><Relationship Id="rIdpy8vxbjn_nmorrdmohotk" Type="http://schemas.openxmlformats.org/officeDocument/2006/relationships/hyperlink" Target="https://www.abras.com.br/clipping/geral/116830/setor-de-beleza-e-cuidados-pessoais-deve-crescer-7-ao-ano-ate-2027-no-brasil-segundo-estudo" TargetMode="External"/><Relationship Id="rId4xecr8skofitpwy4vo1ve" Type="http://schemas.openxmlformats.org/officeDocument/2006/relationships/hyperlink" Target="https://guiadafarmacia.com.br/beleza-impulsiona-crescimento-do-comercio-em-2025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2026-04-25T02:50:46.049Z</dcterms:created>
  <dcterms:modified xsi:type="dcterms:W3CDTF">2026-04-25T02:50:46.051Z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