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Services Agreement</w:t>
      </w:r>
    </w:p>
    <w:p>
      <w:r>
        <w:t>The Supplier shall provide the consulting services described in each Statement of Work with due skill and care.</w:t>
      </w:r>
    </w:p>
    <w:p>
      <w:r>
        <w:t>Invoices are payable within thirty days of receipt. Late payments bear interest at four percent per annum.</w:t>
      </w:r>
    </w:p>
    <w:p>
      <w:pPr>
        <w:pStyle w:val="ListBullet"/>
      </w:pPr>
      <w:r>
        <w:t>Either party may terminate for convenience on sixty days notice.</w:t>
      </w:r>
    </w:p>
    <w:p>
      <w:pPr>
        <w:pStyle w:val="ListBullet"/>
      </w:pPr>
      <w:r>
        <w:t>Liability is capped at the fees paid in the prior twelve months.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Deliverable</w:t>
            </w:r>
          </w:p>
        </w:tc>
        <w:tc>
          <w:tcPr>
            <w:tcW w:type="dxa" w:w="4320"/>
          </w:tcPr>
          <w:p>
            <w:r>
              <w:t>Fee (USD)</w:t>
            </w:r>
          </w:p>
        </w:tc>
      </w:tr>
      <w:tr>
        <w:tc>
          <w:tcPr>
            <w:tcW w:type="dxa" w:w="4320"/>
          </w:tcPr>
          <w:p>
            <w:r>
              <w:t>Discovery workshop</w:t>
            </w:r>
          </w:p>
        </w:tc>
        <w:tc>
          <w:tcPr>
            <w:tcW w:type="dxa" w:w="4320"/>
          </w:tcPr>
          <w:p>
            <w:r>
              <w:t>12,500</w:t>
            </w:r>
          </w:p>
        </w:tc>
      </w:tr>
      <w:tr>
        <w:tc>
          <w:tcPr>
            <w:tcW w:type="dxa" w:w="4320"/>
          </w:tcPr>
          <w:p>
            <w:r>
              <w:t>Implementation</w:t>
            </w:r>
          </w:p>
        </w:tc>
        <w:tc>
          <w:tcPr>
            <w:tcW w:type="dxa" w:w="4320"/>
          </w:tcPr>
          <w:p>
            <w:r>
              <w:t>48,000</w:t>
            </w:r>
          </w:p>
        </w:tc>
      </w:tr>
      <w:tr>
        <w:tc>
          <w:tcPr>
            <w:tcW w:type="dxa" w:w="4320"/>
          </w:tcPr>
          <w:p>
            <w:r>
              <w:t>Support retainer</w:t>
            </w:r>
          </w:p>
        </w:tc>
        <w:tc>
          <w:tcPr>
            <w:tcW w:type="dxa" w:w="4320"/>
          </w:tcPr>
          <w:p>
            <w:r>
              <w:t>3,200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