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745AA" w:rsidRDefault="003745AA" w:rsidP="003745AA">
      <w:pPr>
        <w:autoSpaceDE w:val="0"/>
        <w:autoSpaceDN w:val="0"/>
        <w:adjustRightInd w:val="0"/>
        <w:spacing w:after="0" w:line="360" w:lineRule="auto"/>
        <w:jc w:val="center"/>
        <w:rPr>
          <w:rFonts w:ascii="SourceSansPro-Black" w:hAnsi="SourceSansPro-Black" w:cs="SourceSansPro-Black"/>
          <w:b/>
          <w:bCs/>
          <w:sz w:val="28"/>
          <w:szCs w:val="28"/>
        </w:rPr>
      </w:pPr>
      <w:r w:rsidRPr="003745AA">
        <w:rPr>
          <w:rFonts w:ascii="SourceSansPro-Black" w:hAnsi="SourceSansPro-Black" w:cs="SourceSansPro-Black"/>
          <w:b/>
          <w:bCs/>
          <w:sz w:val="28"/>
          <w:szCs w:val="28"/>
        </w:rPr>
        <w:t>QCM « Epilepsie »</w:t>
      </w:r>
    </w:p>
    <w:p w:rsidR="003745AA" w:rsidRPr="003745AA" w:rsidRDefault="003745AA" w:rsidP="003745AA">
      <w:pPr>
        <w:autoSpaceDE w:val="0"/>
        <w:autoSpaceDN w:val="0"/>
        <w:adjustRightInd w:val="0"/>
        <w:spacing w:after="0" w:line="360" w:lineRule="auto"/>
        <w:jc w:val="center"/>
        <w:rPr>
          <w:rFonts w:ascii="SourceSansPro-Black" w:hAnsi="SourceSansPro-Black" w:cs="SourceSansPro-Black"/>
          <w:b/>
          <w:bCs/>
          <w:sz w:val="28"/>
          <w:szCs w:val="2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01. Un enfant de 8 ans présente des accès stéréotypés d'hallucinations visuelles durant 2 à 3 minutes. Au cours de ces accès, l'enfant ne répond pas.</w:t>
      </w: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De quel type de crises s’agit-il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Absences typiques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Absences atypiques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Crises focales avec phénomènes moteurs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Crises focales avec phénomènes non moteurs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Crises d'hystérie</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02. Parmi les situations suivantes, lesquelles peuvent engendrer une crise convulsive?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Une hyponatrémie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Une hypoglycémie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Une fièvre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Une tumeur cervicale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Une sclérose en plaques</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 xml:space="preserve">03. Concernant le syndrome d'épilepsie absence </w:t>
      </w:r>
      <w:proofErr w:type="spellStart"/>
      <w:r>
        <w:rPr>
          <w:rFonts w:ascii="TwCenMT-Bold" w:hAnsi="TwCenMT-Bold" w:cs="TwCenMT-Bold"/>
          <w:b/>
          <w:bCs/>
          <w:color w:val="000000"/>
        </w:rPr>
        <w:t>del'enfant</w:t>
      </w:r>
      <w:proofErr w:type="spellEnd"/>
      <w:r>
        <w:rPr>
          <w:rFonts w:ascii="TwCenMT-Bold" w:hAnsi="TwCenMT-Bold" w:cs="TwCenMT-Bold"/>
          <w:b/>
          <w:bCs/>
          <w:color w:val="000000"/>
        </w:rPr>
        <w:t xml:space="preserve">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Il survient suite à un traumatisme crânien</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Il se manifeste par des absences atypiques et des myoclonies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Les crises sont déclenchées par la fermeture des yeux</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Les crises tendent à disparaître à l’adolescence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Il s’accompagne d’une agnosie auditive</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04. Concernant les crises d’absences typiques, elles : La/Les RJ</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Se caractérisent par une rupture de contact durant 5 à 10 minutes.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Sont de début et fin brusques.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S'accompagnent de clonies de l’hémiface.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Sont déclenchées par l’hyperpnée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Se voient dans le syndrome de Lennox-Gastaut.</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05. Parmi les crises épileptiques suivantes, lesquelles peuvent se voir au cours du syndrome d'épilepsie myoclonique juvénile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Les crises toniques axiales.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B. Les crises </w:t>
      </w:r>
      <w:proofErr w:type="spellStart"/>
      <w:r>
        <w:rPr>
          <w:rFonts w:ascii="TwCenMT-Regular" w:hAnsi="TwCenMT-Regular" w:cs="TwCenMT-Regular"/>
          <w:color w:val="000000"/>
        </w:rPr>
        <w:t>tonico</w:t>
      </w:r>
      <w:proofErr w:type="spellEnd"/>
      <w:r>
        <w:rPr>
          <w:rFonts w:ascii="TwCenMT-Regular" w:hAnsi="TwCenMT-Regular" w:cs="TwCenMT-Regular"/>
          <w:color w:val="000000"/>
        </w:rPr>
        <w:t>-Cloniques généralisées.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lastRenderedPageBreak/>
        <w:t>C. Les crises atoniques.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Les spasmes en flexion.</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Les absences typiques</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 xml:space="preserve">06. A propos de l’épilepsie à paroxysmes </w:t>
      </w:r>
      <w:proofErr w:type="spellStart"/>
      <w:r>
        <w:rPr>
          <w:rFonts w:ascii="TwCenMT-Bold" w:hAnsi="TwCenMT-Bold" w:cs="TwCenMT-Bold"/>
          <w:b/>
          <w:bCs/>
          <w:color w:val="000000"/>
        </w:rPr>
        <w:t>rolandiques</w:t>
      </w:r>
      <w:proofErr w:type="spellEnd"/>
      <w:r>
        <w:rPr>
          <w:rFonts w:ascii="TwCenMT-Bold" w:hAnsi="TwCenMT-Bold" w:cs="TwCenMT-Bold"/>
          <w:b/>
          <w:bCs/>
          <w:color w:val="000000"/>
        </w:rPr>
        <w:t xml:space="preserve"> : La RJ</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Il s’agit d’une épilepsie généralisée idiopathique.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Elle survient chez le nourrisson avant l'âge de 9 mois.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C. Elle se manifeste par des crises à localisation </w:t>
      </w:r>
      <w:proofErr w:type="spellStart"/>
      <w:r>
        <w:rPr>
          <w:rFonts w:ascii="TwCenMT-Regular" w:hAnsi="TwCenMT-Regular" w:cs="TwCenMT-Regular"/>
          <w:color w:val="000000"/>
        </w:rPr>
        <w:t>orofaciale</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D. Elle est pharmaco-résistante nécessitant le recours à une </w:t>
      </w:r>
      <w:proofErr w:type="spellStart"/>
      <w:r>
        <w:rPr>
          <w:rFonts w:ascii="TwCenMT-Regular" w:hAnsi="TwCenMT-Regular" w:cs="TwCenMT-Regular"/>
          <w:color w:val="000000"/>
        </w:rPr>
        <w:t>polythérapie</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Sans traitement, elle évolue vers un syndrome de Lennox-Gastaut.</w:t>
      </w:r>
    </w:p>
    <w:p w:rsidR="00A24010" w:rsidRDefault="00A24010" w:rsidP="003745AA">
      <w:pPr>
        <w:autoSpaceDE w:val="0"/>
        <w:autoSpaceDN w:val="0"/>
        <w:adjustRightInd w:val="0"/>
        <w:spacing w:after="0" w:line="360" w:lineRule="auto"/>
        <w:rPr>
          <w:rFonts w:ascii="TwCenMT-Bold" w:hAnsi="TwCenMT-Bold" w:cs="TwCenMT-Bold"/>
          <w:b/>
          <w:bCs/>
          <w:color w:val="000000"/>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07. Le syndrome de West se caractérise par : La RJ</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Un pronostic favorable.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B. </w:t>
      </w:r>
      <w:proofErr w:type="gramStart"/>
      <w:r>
        <w:rPr>
          <w:rFonts w:ascii="TwCenMT-Regular" w:hAnsi="TwCenMT-Regular" w:cs="TwCenMT-Regular"/>
          <w:color w:val="000000"/>
        </w:rPr>
        <w:t>Des crises atoniques</w:t>
      </w:r>
      <w:proofErr w:type="gramEnd"/>
      <w:r>
        <w:rPr>
          <w:rFonts w:ascii="TwCenMT-Regular" w:hAnsi="TwCenMT-Regular" w:cs="TwCenMT-Regular"/>
          <w:color w:val="000000"/>
        </w:rPr>
        <w:t xml:space="preserve"> </w:t>
      </w:r>
      <w:proofErr w:type="spellStart"/>
      <w:r>
        <w:rPr>
          <w:rFonts w:ascii="TwCenMT-Regular" w:hAnsi="TwCenMT-Regular" w:cs="TwCenMT-Regular"/>
          <w:color w:val="000000"/>
        </w:rPr>
        <w:t>morphéique</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Une agnosie auditive verbale.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Des pointes ondes continues pendant le sommeil à l’EEG</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Une perte des acquisitions antérieures.</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08. Quels sont le(s) produits(s) parmi les suivants qui sont classées antiépileptiques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A. </w:t>
      </w:r>
      <w:proofErr w:type="spellStart"/>
      <w:r>
        <w:rPr>
          <w:rFonts w:ascii="TwCenMT-Regular" w:hAnsi="TwCenMT-Regular" w:cs="TwCenMT-Regular"/>
          <w:color w:val="000000"/>
        </w:rPr>
        <w:t>Ethosuxmide</w:t>
      </w:r>
      <w:proofErr w:type="spellEnd"/>
      <w:r>
        <w:rPr>
          <w:rFonts w:ascii="TwCenMT-Regular" w:hAnsi="TwCenMT-Regular" w:cs="TwCenMT-Regular"/>
          <w:color w:val="000000"/>
        </w:rPr>
        <w:t xml:space="preserve"> (</w:t>
      </w:r>
      <w:proofErr w:type="spellStart"/>
      <w:r>
        <w:rPr>
          <w:rFonts w:ascii="TwCenMT-Regular" w:hAnsi="TwCenMT-Regular" w:cs="TwCenMT-Regular"/>
          <w:color w:val="000000"/>
        </w:rPr>
        <w:t>Zarontin</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B. </w:t>
      </w:r>
      <w:proofErr w:type="spellStart"/>
      <w:r>
        <w:rPr>
          <w:rFonts w:ascii="TwCenMT-Regular" w:hAnsi="TwCenMT-Regular" w:cs="TwCenMT-Regular"/>
          <w:color w:val="000000"/>
        </w:rPr>
        <w:t>Valproate</w:t>
      </w:r>
      <w:proofErr w:type="spellEnd"/>
      <w:r>
        <w:rPr>
          <w:rFonts w:ascii="TwCenMT-Regular" w:hAnsi="TwCenMT-Regular" w:cs="TwCenMT-Regular"/>
          <w:color w:val="000000"/>
        </w:rPr>
        <w:t xml:space="preserve"> de sodium (</w:t>
      </w:r>
      <w:proofErr w:type="spellStart"/>
      <w:r>
        <w:rPr>
          <w:rFonts w:ascii="TwCenMT-Regular" w:hAnsi="TwCenMT-Regular" w:cs="TwCenMT-Regular"/>
          <w:color w:val="000000"/>
        </w:rPr>
        <w:t>Depakine</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Dextromoramide (Palfium).</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Sulpiride (</w:t>
      </w:r>
      <w:proofErr w:type="spellStart"/>
      <w:r>
        <w:rPr>
          <w:rFonts w:ascii="TwCenMT-Regular" w:hAnsi="TwCenMT-Regular" w:cs="TwCenMT-Regular"/>
          <w:color w:val="000000"/>
        </w:rPr>
        <w:t>Dogmatil</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E. </w:t>
      </w:r>
      <w:proofErr w:type="spellStart"/>
      <w:r>
        <w:rPr>
          <w:rFonts w:ascii="TwCenMT-Regular" w:hAnsi="TwCenMT-Regular" w:cs="TwCenMT-Regular"/>
          <w:color w:val="000000"/>
        </w:rPr>
        <w:t>Haloperidol</w:t>
      </w:r>
      <w:proofErr w:type="spellEnd"/>
      <w:r>
        <w:rPr>
          <w:rFonts w:ascii="TwCenMT-Regular" w:hAnsi="TwCenMT-Regular" w:cs="TwCenMT-Regular"/>
          <w:color w:val="000000"/>
        </w:rPr>
        <w:t xml:space="preserve"> (</w:t>
      </w:r>
      <w:proofErr w:type="spellStart"/>
      <w:r>
        <w:rPr>
          <w:rFonts w:ascii="TwCenMT-Regular" w:hAnsi="TwCenMT-Regular" w:cs="TwCenMT-Regular"/>
          <w:color w:val="000000"/>
        </w:rPr>
        <w:t>Haldol</w:t>
      </w:r>
      <w:proofErr w:type="spellEnd"/>
      <w:r>
        <w:rPr>
          <w:rFonts w:ascii="TwCenMT-Regular" w:hAnsi="TwCenMT-Regular" w:cs="TwCenMT-Regular"/>
          <w:color w:val="000000"/>
        </w:rPr>
        <w:t>).</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 xml:space="preserve">09. Retenez parmi les propositions ci-dessous quelle(s) est (sont) celle(s) </w:t>
      </w:r>
      <w:proofErr w:type="gramStart"/>
      <w:r>
        <w:rPr>
          <w:rFonts w:ascii="TwCenMT-Bold" w:hAnsi="TwCenMT-Bold" w:cs="TwCenMT-Bold"/>
          <w:b/>
          <w:bCs/>
          <w:color w:val="000000"/>
        </w:rPr>
        <w:t>est(</w:t>
      </w:r>
      <w:proofErr w:type="gramEnd"/>
      <w:r>
        <w:rPr>
          <w:rFonts w:ascii="TwCenMT-Bold" w:hAnsi="TwCenMT-Bold" w:cs="TwCenMT-Bold"/>
          <w:b/>
          <w:bCs/>
          <w:color w:val="000000"/>
        </w:rPr>
        <w:t>sont) conforme(s) au cadre de l’épilepsie généralisée primaire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Scanner cérébral normal.</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Le père et le cousin du patient sont épileptiques.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Crises consistant en absences petit mal typique.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Foyer de pointes-ondes temporal unilatérale à l’E.E.G.</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Notion d’une souffrance néonatale.</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10. Les absences petits mal : La/Les RJ</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Peuvent ne durer que quelques secondes.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Peuvent se répéter un grand nombre de fois au cours d'une journée.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S'accompagnent de pointe sondes à l'EEG.</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lastRenderedPageBreak/>
        <w:t>D. Entrainent des perturbations électriques au rythme de 6/sec.</w:t>
      </w:r>
    </w:p>
    <w:p w:rsidR="00A24010" w:rsidRDefault="00A24010" w:rsidP="003745AA">
      <w:pPr>
        <w:autoSpaceDE w:val="0"/>
        <w:autoSpaceDN w:val="0"/>
        <w:adjustRightInd w:val="0"/>
        <w:spacing w:after="0" w:line="360" w:lineRule="auto"/>
        <w:rPr>
          <w:rFonts w:ascii="TwCenMT-Regular" w:hAnsi="TwCenMT-Regular" w:cs="TwCenMT-Regular"/>
          <w:color w:val="000000"/>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11. Parmi les crises épileptiques suivantes, quelles sont ou quelle est celle (s) qui sont des crises généralisées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A. Crise </w:t>
      </w:r>
      <w:proofErr w:type="spellStart"/>
      <w:r>
        <w:rPr>
          <w:rFonts w:ascii="TwCenMT-Regular" w:hAnsi="TwCenMT-Regular" w:cs="TwCenMT-Regular"/>
          <w:color w:val="000000"/>
        </w:rPr>
        <w:t>somatomotrice</w:t>
      </w:r>
      <w:proofErr w:type="spellEnd"/>
      <w:r>
        <w:rPr>
          <w:rFonts w:ascii="TwCenMT-Regular" w:hAnsi="TwCenMT-Regular" w:cs="TwCenMT-Regular"/>
          <w:color w:val="000000"/>
        </w:rPr>
        <w:t xml:space="preserve"> bravais-jacksonienne.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Crise grand mal</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Crise petit mal.</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Spasmes en flexion.</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E. Crise </w:t>
      </w:r>
      <w:proofErr w:type="spellStart"/>
      <w:r>
        <w:rPr>
          <w:rFonts w:ascii="TwCenMT-Regular" w:hAnsi="TwCenMT-Regular" w:cs="TwCenMT-Regular"/>
          <w:color w:val="000000"/>
        </w:rPr>
        <w:t>adversive</w:t>
      </w:r>
      <w:proofErr w:type="spellEnd"/>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12. La crise d’absence typique : La/Les RJ</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Se caractérise par une rupture de contact de plus de 30secondes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Est de début et de fin brusque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S’accompagne de clonies de l’hémiface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Est déclenchée chez un enfant soufflant sur un tourniquet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Peut s’accompagner de mouvements de mâchonnements</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13. Parmi les situations suivantes, lesquelles peuvent se manifester par une crise d’épilepsie ? La/Les RJ</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Une hypoglycémie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Une overdose en cocaïne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Une crise myasthénique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Une polyradiculonévrite aigue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Une insuffisance rénale</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14. Devant la persistance des crises épileptiques chez un patient sous une première monothérapie bien conduite, il faut : La/Les RJ</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Associer d’emblée une deuxième antiépileptique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Proposer un traitement chirurgical</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Proposer un régime cétogène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Faire un dosage plasmatique de l’antiépileptique en cours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Administrer un bolus de corticoïdes</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15. Une patiente de 29 ans présente des épisodes d'hallucinations auditives durant 30 secondes, suivis d'une perte du contact avec regard hagard et mâchonnements durant 1 à 2 minutes. Ces manifestations vous évoquent-elles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Une psychose.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lastRenderedPageBreak/>
        <w:t>B. Des crises épileptiques focales simples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Des crises épileptiques focales complexes.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Des absences avec automatismes.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Des accidents ischémiques transitoires.</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16. Quels examens préconisez-vous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Un ECG avec échographie cardiaque,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Un fond d'</w:t>
      </w:r>
      <w:proofErr w:type="spellStart"/>
      <w:r>
        <w:rPr>
          <w:rFonts w:ascii="TwCenMT-Regular" w:hAnsi="TwCenMT-Regular" w:cs="TwCenMT-Regular"/>
          <w:color w:val="000000"/>
        </w:rPr>
        <w:t>oeil</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Une électro-encéphalographie.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Une IRM cérébrale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Des potentiels évoqués auditifs.</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17. Lequel de ces traitements préconisez-vous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A. </w:t>
      </w:r>
      <w:proofErr w:type="spellStart"/>
      <w:r>
        <w:rPr>
          <w:rFonts w:ascii="TwCenMT-Regular" w:hAnsi="TwCenMT-Regular" w:cs="TwCenMT-Regular"/>
          <w:color w:val="000000"/>
        </w:rPr>
        <w:t>Carbamazépine</w:t>
      </w:r>
      <w:proofErr w:type="spellEnd"/>
      <w:r>
        <w:rPr>
          <w:rFonts w:ascii="TwCenMT-Regular" w:hAnsi="TwCenMT-Regular" w:cs="TwCenMT-Regular"/>
          <w:color w:val="000000"/>
        </w:rPr>
        <w:t xml:space="preserve"> (</w:t>
      </w:r>
      <w:proofErr w:type="spellStart"/>
      <w:r>
        <w:rPr>
          <w:rFonts w:ascii="TwCenMT-Regular" w:hAnsi="TwCenMT-Regular" w:cs="TwCenMT-Regular"/>
          <w:color w:val="000000"/>
        </w:rPr>
        <w:t>Tégrétol</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B. </w:t>
      </w:r>
      <w:proofErr w:type="spellStart"/>
      <w:r>
        <w:rPr>
          <w:rFonts w:ascii="TwCenMT-Regular" w:hAnsi="TwCenMT-Regular" w:cs="TwCenMT-Regular"/>
          <w:color w:val="000000"/>
        </w:rPr>
        <w:t>Ethosuximide</w:t>
      </w:r>
      <w:proofErr w:type="spellEnd"/>
      <w:r>
        <w:rPr>
          <w:rFonts w:ascii="TwCenMT-Regular" w:hAnsi="TwCenMT-Regular" w:cs="TwCenMT-Regular"/>
          <w:color w:val="000000"/>
        </w:rPr>
        <w:t xml:space="preserve"> (</w:t>
      </w:r>
      <w:proofErr w:type="spellStart"/>
      <w:r>
        <w:rPr>
          <w:rFonts w:ascii="TwCenMT-Regular" w:hAnsi="TwCenMT-Regular" w:cs="TwCenMT-Regular"/>
          <w:color w:val="000000"/>
        </w:rPr>
        <w:t>Zarontin</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Un neuroleptique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Un antidépresseur.</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Aspirine 100mg/j.</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18. Une crise d'épilepsie peut se manifester par : Les RJ</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Des douleurs abdominales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Une tachycardie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Un phénomène de la roue dentée,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Des hallucinations olfactives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Une impression de déjà-vu.</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19. Parmi les syndromes épileptiques suivants, lesquels peuvent comporter des crises d’absence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A. Le syndrome de </w:t>
      </w:r>
      <w:proofErr w:type="spellStart"/>
      <w:r>
        <w:rPr>
          <w:rFonts w:ascii="TwCenMT-Regular" w:hAnsi="TwCenMT-Regular" w:cs="TwCenMT-Regular"/>
          <w:color w:val="000000"/>
        </w:rPr>
        <w:t>Jeavons</w:t>
      </w:r>
      <w:proofErr w:type="spellEnd"/>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Le syndrome de West.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Le syndrome de Lennox Gastaut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D. Le syndrome de </w:t>
      </w:r>
      <w:proofErr w:type="spellStart"/>
      <w:r>
        <w:rPr>
          <w:rFonts w:ascii="TwCenMT-Regular" w:hAnsi="TwCenMT-Regular" w:cs="TwCenMT-Regular"/>
          <w:color w:val="000000"/>
        </w:rPr>
        <w:t>Panayiotopoulos</w:t>
      </w:r>
      <w:proofErr w:type="spellEnd"/>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L’épilepsie myoclonique juvénile.</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P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 xml:space="preserve">20. Quel est le traitement de choix de l’épilepsie myoclonique juvénile chez la femme en âge de </w:t>
      </w:r>
      <w:r>
        <w:rPr>
          <w:rFonts w:ascii="TwCenMT-Bold" w:hAnsi="TwCenMT-Bold" w:cs="TwCenMT-Bold"/>
          <w:b/>
          <w:bCs/>
          <w:color w:val="000000"/>
          <w:sz w:val="21"/>
          <w:szCs w:val="21"/>
        </w:rPr>
        <w:t>procurer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A. </w:t>
      </w:r>
      <w:proofErr w:type="spellStart"/>
      <w:r>
        <w:rPr>
          <w:rFonts w:ascii="TwCenMT-Regular" w:hAnsi="TwCenMT-Regular" w:cs="TwCenMT-Regular"/>
          <w:color w:val="000000"/>
        </w:rPr>
        <w:t>Valproates</w:t>
      </w:r>
      <w:proofErr w:type="spellEnd"/>
      <w:r>
        <w:rPr>
          <w:rFonts w:ascii="TwCenMT-Regular" w:hAnsi="TwCenMT-Regular" w:cs="TwCenMT-Regular"/>
          <w:color w:val="000000"/>
        </w:rPr>
        <w:t xml:space="preserve"> de sodium (</w:t>
      </w:r>
      <w:proofErr w:type="spellStart"/>
      <w:r>
        <w:rPr>
          <w:rFonts w:ascii="TwCenMT-Regular" w:hAnsi="TwCenMT-Regular" w:cs="TwCenMT-Regular"/>
          <w:color w:val="000000"/>
        </w:rPr>
        <w:t>Dépakine</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Phénobarbital (Gardénal®)</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lastRenderedPageBreak/>
        <w:t xml:space="preserve">C. </w:t>
      </w:r>
      <w:proofErr w:type="spellStart"/>
      <w:r>
        <w:rPr>
          <w:rFonts w:ascii="TwCenMT-Regular" w:hAnsi="TwCenMT-Regular" w:cs="TwCenMT-Regular"/>
          <w:color w:val="000000"/>
        </w:rPr>
        <w:t>Carbamazépine</w:t>
      </w:r>
      <w:proofErr w:type="spellEnd"/>
      <w:r>
        <w:rPr>
          <w:rFonts w:ascii="TwCenMT-Regular" w:hAnsi="TwCenMT-Regular" w:cs="TwCenMT-Regular"/>
          <w:color w:val="000000"/>
        </w:rPr>
        <w:t xml:space="preserve"> (</w:t>
      </w:r>
      <w:proofErr w:type="spellStart"/>
      <w:r>
        <w:rPr>
          <w:rFonts w:ascii="TwCenMT-Regular" w:hAnsi="TwCenMT-Regular" w:cs="TwCenMT-Regular"/>
          <w:color w:val="000000"/>
        </w:rPr>
        <w:t>Tégrétol</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D. </w:t>
      </w:r>
      <w:proofErr w:type="spellStart"/>
      <w:r>
        <w:rPr>
          <w:rFonts w:ascii="TwCenMT-Regular" w:hAnsi="TwCenMT-Regular" w:cs="TwCenMT-Regular"/>
          <w:color w:val="000000"/>
        </w:rPr>
        <w:t>Lévétiracétam</w:t>
      </w:r>
      <w:proofErr w:type="spellEnd"/>
      <w:r>
        <w:rPr>
          <w:rFonts w:ascii="TwCenMT-Regular" w:hAnsi="TwCenMT-Regular" w:cs="TwCenMT-Regular"/>
          <w:color w:val="000000"/>
        </w:rPr>
        <w:t xml:space="preserve"> (</w:t>
      </w:r>
      <w:proofErr w:type="spellStart"/>
      <w:r>
        <w:rPr>
          <w:rFonts w:ascii="TwCenMT-Regular" w:hAnsi="TwCenMT-Regular" w:cs="TwCenMT-Regular"/>
          <w:color w:val="000000"/>
        </w:rPr>
        <w:t>Keppra</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E. </w:t>
      </w:r>
      <w:proofErr w:type="spellStart"/>
      <w:r>
        <w:rPr>
          <w:rFonts w:ascii="TwCenMT-Regular" w:hAnsi="TwCenMT-Regular" w:cs="TwCenMT-Regular"/>
          <w:color w:val="000000"/>
        </w:rPr>
        <w:t>Lamotrigine</w:t>
      </w:r>
      <w:proofErr w:type="spellEnd"/>
      <w:r>
        <w:rPr>
          <w:rFonts w:ascii="TwCenMT-Regular" w:hAnsi="TwCenMT-Regular" w:cs="TwCenMT-Regular"/>
          <w:color w:val="000000"/>
        </w:rPr>
        <w:t xml:space="preserve"> (</w:t>
      </w:r>
      <w:proofErr w:type="spellStart"/>
      <w:r>
        <w:rPr>
          <w:rFonts w:ascii="TwCenMT-Regular" w:hAnsi="TwCenMT-Regular" w:cs="TwCenMT-Regular"/>
          <w:color w:val="000000"/>
        </w:rPr>
        <w:t>Lamictal</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 xml:space="preserve">21. Une jeune fille de 15 ans se présente en consultation pour une première crise </w:t>
      </w:r>
      <w:proofErr w:type="spellStart"/>
      <w:r>
        <w:rPr>
          <w:rFonts w:ascii="TwCenMT-Bold" w:hAnsi="TwCenMT-Bold" w:cs="TwCenMT-Bold"/>
          <w:b/>
          <w:bCs/>
          <w:color w:val="000000"/>
        </w:rPr>
        <w:t>tonicoclonique</w:t>
      </w:r>
      <w:proofErr w:type="spellEnd"/>
      <w:r>
        <w:rPr>
          <w:rFonts w:ascii="TwCenMT-Bold" w:hAnsi="TwCenMT-Bold" w:cs="TwCenMT-Bold"/>
          <w:b/>
          <w:bCs/>
          <w:color w:val="000000"/>
        </w:rPr>
        <w:t xml:space="preserve"> généralisée. D'après sa mère, </w:t>
      </w:r>
      <w:proofErr w:type="spellStart"/>
      <w:r>
        <w:rPr>
          <w:rFonts w:ascii="TwCenMT-Bold" w:hAnsi="TwCenMT-Bold" w:cs="TwCenMT-Bold"/>
          <w:b/>
          <w:bCs/>
          <w:color w:val="000000"/>
        </w:rPr>
        <w:t>ll</w:t>
      </w:r>
      <w:proofErr w:type="spellEnd"/>
      <w:r>
        <w:rPr>
          <w:rFonts w:ascii="TwCenMT-Bold" w:hAnsi="TwCenMT-Bold" w:cs="TwCenMT-Bold"/>
          <w:b/>
          <w:bCs/>
          <w:color w:val="000000"/>
        </w:rPr>
        <w:t xml:space="preserve"> lui arrive depuis quelques mois de projeter involontairement le matin les couverts du petit déjeuner. Parfois au lever, elle se retrouve brutalement au sol en toute conscience, la chute s'accompagne de brèves secousses des jambes. Par ailleurs, sa mère rapporte des épisodes brefs de rupture du contact avec fixité du regard et arrêt de l'activité en cours.</w:t>
      </w: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 De quels types de crises s'agit-il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Cloniques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Myocloniques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Atoniques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D. </w:t>
      </w:r>
      <w:proofErr w:type="spellStart"/>
      <w:r>
        <w:rPr>
          <w:rFonts w:ascii="TwCenMT-Regular" w:hAnsi="TwCenMT-Regular" w:cs="TwCenMT-Regular"/>
          <w:color w:val="000000"/>
        </w:rPr>
        <w:t>Akinétiques</w:t>
      </w:r>
      <w:proofErr w:type="spellEnd"/>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Absences</w:t>
      </w:r>
    </w:p>
    <w:p w:rsidR="003745AA" w:rsidRDefault="003745AA"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sz w:val="21"/>
          <w:szCs w:val="21"/>
        </w:rPr>
      </w:pPr>
      <w:r>
        <w:rPr>
          <w:rFonts w:ascii="TwCenMT-Bold" w:hAnsi="TwCenMT-Bold" w:cs="TwCenMT-Bold"/>
          <w:b/>
          <w:bCs/>
          <w:color w:val="000000"/>
        </w:rPr>
        <w:t xml:space="preserve">22. </w:t>
      </w:r>
      <w:r>
        <w:rPr>
          <w:rFonts w:ascii="TwCenMT-Bold" w:hAnsi="TwCenMT-Bold" w:cs="TwCenMT-Bold"/>
          <w:b/>
          <w:bCs/>
          <w:color w:val="000000"/>
          <w:sz w:val="21"/>
          <w:szCs w:val="21"/>
        </w:rPr>
        <w:t>Quel est le diagnostic syndromique le plus probable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A. Syndrome de </w:t>
      </w:r>
      <w:proofErr w:type="spellStart"/>
      <w:r>
        <w:rPr>
          <w:rFonts w:ascii="TwCenMT-Regular" w:hAnsi="TwCenMT-Regular" w:cs="TwCenMT-Regular"/>
          <w:color w:val="000000"/>
        </w:rPr>
        <w:t>Jeavons</w:t>
      </w:r>
      <w:proofErr w:type="spellEnd"/>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Epilepsie absence de l'enfant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Epilepsie myoclonique juvénile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Epilepsie de la face interne du lobe temporal</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Syndrome de Lennox-Gastaut</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23. Parmi les anomalies électriques suivantes, lesquelles peut-on retrouver à l'EEG chez cette patiente?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Des décharges de pointes ondes à 3 Hz lors de la stimulation lumineuse intermittente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B. Des pointes </w:t>
      </w:r>
      <w:proofErr w:type="spellStart"/>
      <w:r>
        <w:rPr>
          <w:rFonts w:ascii="TwCenMT-Regular" w:hAnsi="TwCenMT-Regular" w:cs="TwCenMT-Regular"/>
          <w:color w:val="000000"/>
        </w:rPr>
        <w:t>centro</w:t>
      </w:r>
      <w:proofErr w:type="spellEnd"/>
      <w:r>
        <w:rPr>
          <w:rFonts w:ascii="TwCenMT-Regular" w:hAnsi="TwCenMT-Regular" w:cs="TwCenMT-Regular"/>
          <w:color w:val="000000"/>
        </w:rPr>
        <w:t xml:space="preserve"> temporales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Une hypsarythmie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Des pointes ondes continues occupant 85% du tracé de sommeil lent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E. Des décharges de poly </w:t>
      </w:r>
      <w:proofErr w:type="gramStart"/>
      <w:r>
        <w:rPr>
          <w:rFonts w:ascii="TwCenMT-Regular" w:hAnsi="TwCenMT-Regular" w:cs="TwCenMT-Regular"/>
          <w:color w:val="000000"/>
        </w:rPr>
        <w:t>pointes</w:t>
      </w:r>
      <w:proofErr w:type="gramEnd"/>
      <w:r>
        <w:rPr>
          <w:rFonts w:ascii="TwCenMT-Regular" w:hAnsi="TwCenMT-Regular" w:cs="TwCenMT-Regular"/>
          <w:color w:val="000000"/>
        </w:rPr>
        <w:t xml:space="preserve"> ondes bilatérales symétriques et synchrones.</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 xml:space="preserve">24. Parmi les médicaments suivants, lequel </w:t>
      </w:r>
      <w:proofErr w:type="spellStart"/>
      <w:r>
        <w:rPr>
          <w:rFonts w:ascii="TwCenMT-Bold" w:hAnsi="TwCenMT-Bold" w:cs="TwCenMT-Bold"/>
          <w:b/>
          <w:bCs/>
          <w:color w:val="000000"/>
        </w:rPr>
        <w:t>proposeriezvous</w:t>
      </w:r>
      <w:proofErr w:type="spellEnd"/>
      <w:r>
        <w:rPr>
          <w:rFonts w:ascii="TwCenMT-Bold" w:hAnsi="TwCenMT-Bold" w:cs="TwCenMT-Bold"/>
          <w:b/>
          <w:bCs/>
          <w:color w:val="000000"/>
        </w:rPr>
        <w:t xml:space="preserve"> en première intention?</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A. </w:t>
      </w:r>
      <w:proofErr w:type="spellStart"/>
      <w:r>
        <w:rPr>
          <w:rFonts w:ascii="TwCenMT-Regular" w:hAnsi="TwCenMT-Regular" w:cs="TwCenMT-Regular"/>
          <w:color w:val="000000"/>
        </w:rPr>
        <w:t>Valproate</w:t>
      </w:r>
      <w:proofErr w:type="spellEnd"/>
      <w:r>
        <w:rPr>
          <w:rFonts w:ascii="TwCenMT-Regular" w:hAnsi="TwCenMT-Regular" w:cs="TwCenMT-Regular"/>
          <w:color w:val="000000"/>
        </w:rPr>
        <w:t xml:space="preserve"> de sodium (</w:t>
      </w:r>
      <w:proofErr w:type="spellStart"/>
      <w:r>
        <w:rPr>
          <w:rFonts w:ascii="TwCenMT-Regular" w:hAnsi="TwCenMT-Regular" w:cs="TwCenMT-Regular"/>
          <w:color w:val="000000"/>
        </w:rPr>
        <w:t>Dépakine</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B. </w:t>
      </w:r>
      <w:proofErr w:type="spellStart"/>
      <w:r>
        <w:rPr>
          <w:rFonts w:ascii="TwCenMT-Regular" w:hAnsi="TwCenMT-Regular" w:cs="TwCenMT-Regular"/>
          <w:color w:val="000000"/>
        </w:rPr>
        <w:t>Lévétiracétam</w:t>
      </w:r>
      <w:proofErr w:type="spellEnd"/>
      <w:r>
        <w:rPr>
          <w:rFonts w:ascii="TwCenMT-Regular" w:hAnsi="TwCenMT-Regular" w:cs="TwCenMT-Regular"/>
          <w:color w:val="000000"/>
        </w:rPr>
        <w:t xml:space="preserve"> (</w:t>
      </w:r>
      <w:proofErr w:type="spellStart"/>
      <w:r>
        <w:rPr>
          <w:rFonts w:ascii="TwCenMT-Regular" w:hAnsi="TwCenMT-Regular" w:cs="TwCenMT-Regular"/>
          <w:color w:val="000000"/>
        </w:rPr>
        <w:t>Keppra</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C. </w:t>
      </w:r>
      <w:proofErr w:type="spellStart"/>
      <w:r>
        <w:rPr>
          <w:rFonts w:ascii="TwCenMT-Regular" w:hAnsi="TwCenMT-Regular" w:cs="TwCenMT-Regular"/>
          <w:color w:val="000000"/>
        </w:rPr>
        <w:t>Carbamazépine</w:t>
      </w:r>
      <w:proofErr w:type="spellEnd"/>
      <w:r>
        <w:rPr>
          <w:rFonts w:ascii="TwCenMT-Regular" w:hAnsi="TwCenMT-Regular" w:cs="TwCenMT-Regular"/>
          <w:color w:val="000000"/>
        </w:rPr>
        <w:t xml:space="preserve"> (</w:t>
      </w:r>
      <w:proofErr w:type="spellStart"/>
      <w:r>
        <w:rPr>
          <w:rFonts w:ascii="TwCenMT-Regular" w:hAnsi="TwCenMT-Regular" w:cs="TwCenMT-Regular"/>
          <w:color w:val="000000"/>
        </w:rPr>
        <w:t>Tégrétole</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Phénobarbital (</w:t>
      </w:r>
      <w:proofErr w:type="spellStart"/>
      <w:r>
        <w:rPr>
          <w:rFonts w:ascii="TwCenMT-Regular" w:hAnsi="TwCenMT-Regular" w:cs="TwCenMT-Regular"/>
          <w:color w:val="000000"/>
        </w:rPr>
        <w:t>Gardenale</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lastRenderedPageBreak/>
        <w:t xml:space="preserve">E. </w:t>
      </w:r>
      <w:proofErr w:type="spellStart"/>
      <w:r>
        <w:rPr>
          <w:rFonts w:ascii="TwCenMT-Regular" w:hAnsi="TwCenMT-Regular" w:cs="TwCenMT-Regular"/>
          <w:color w:val="000000"/>
        </w:rPr>
        <w:t>Lamotrigine</w:t>
      </w:r>
      <w:proofErr w:type="spellEnd"/>
      <w:r>
        <w:rPr>
          <w:rFonts w:ascii="TwCenMT-Regular" w:hAnsi="TwCenMT-Regular" w:cs="TwCenMT-Regular"/>
          <w:color w:val="000000"/>
        </w:rPr>
        <w:t xml:space="preserve"> (</w:t>
      </w:r>
      <w:proofErr w:type="spellStart"/>
      <w:r>
        <w:rPr>
          <w:rFonts w:ascii="TwCenMT-Regular" w:hAnsi="TwCenMT-Regular" w:cs="TwCenMT-Regular"/>
          <w:color w:val="000000"/>
        </w:rPr>
        <w:t>Lamictal</w:t>
      </w:r>
      <w:proofErr w:type="spellEnd"/>
      <w:r>
        <w:rPr>
          <w:rFonts w:ascii="TwCenMT-Regular" w:hAnsi="TwCenMT-Regular" w:cs="TwCenMT-Regular"/>
          <w:color w:val="000000"/>
        </w:rPr>
        <w:t>®)</w:t>
      </w:r>
    </w:p>
    <w:p w:rsidR="00A24010" w:rsidRDefault="00A24010" w:rsidP="003745AA">
      <w:pPr>
        <w:autoSpaceDE w:val="0"/>
        <w:autoSpaceDN w:val="0"/>
        <w:adjustRightInd w:val="0"/>
        <w:spacing w:after="0" w:line="360" w:lineRule="auto"/>
        <w:rPr>
          <w:rFonts w:ascii="TwCenMT-Regular" w:hAnsi="TwCenMT-Regular" w:cs="TwCenMT-Regular"/>
          <w:color w:val="000000"/>
        </w:rPr>
      </w:pPr>
    </w:p>
    <w:p w:rsidR="003745AA" w:rsidRDefault="003745AA" w:rsidP="003745AA">
      <w:pPr>
        <w:autoSpaceDE w:val="0"/>
        <w:autoSpaceDN w:val="0"/>
        <w:adjustRightInd w:val="0"/>
        <w:spacing w:after="0" w:line="360" w:lineRule="auto"/>
        <w:rPr>
          <w:rFonts w:ascii="TwCenMT-BoldItalic" w:hAnsi="TwCenMT-BoldItalic" w:cs="TwCenMT-BoldItalic"/>
          <w:b/>
          <w:bCs/>
          <w:i/>
          <w:iCs/>
          <w:color w:val="000000"/>
        </w:rPr>
      </w:pPr>
      <w:r>
        <w:rPr>
          <w:rFonts w:ascii="TwCenMT-Bold" w:hAnsi="TwCenMT-Bold" w:cs="TwCenMT-Bold"/>
          <w:b/>
          <w:bCs/>
          <w:color w:val="000000"/>
        </w:rPr>
        <w:t xml:space="preserve">25. </w:t>
      </w:r>
      <w:r>
        <w:rPr>
          <w:rFonts w:ascii="TwCenMT-BoldItalic" w:hAnsi="TwCenMT-BoldItalic" w:cs="TwCenMT-BoldItalic"/>
          <w:b/>
          <w:bCs/>
          <w:i/>
          <w:iCs/>
          <w:color w:val="000000"/>
        </w:rPr>
        <w:t xml:space="preserve">Deux mois après l'instauration du traitement, la patiente a présenté une deuxième crise </w:t>
      </w:r>
      <w:proofErr w:type="spellStart"/>
      <w:r>
        <w:rPr>
          <w:rFonts w:ascii="TwCenMT-BoldItalic" w:hAnsi="TwCenMT-BoldItalic" w:cs="TwCenMT-BoldItalic"/>
          <w:b/>
          <w:bCs/>
          <w:i/>
          <w:iCs/>
          <w:color w:val="000000"/>
        </w:rPr>
        <w:t>tonico</w:t>
      </w:r>
      <w:proofErr w:type="spellEnd"/>
      <w:r>
        <w:rPr>
          <w:rFonts w:ascii="TwCenMT-BoldItalic" w:hAnsi="TwCenMT-BoldItalic" w:cs="TwCenMT-BoldItalic"/>
          <w:b/>
          <w:bCs/>
          <w:i/>
          <w:iCs/>
          <w:color w:val="000000"/>
        </w:rPr>
        <w:t>-clonique généralisée.</w:t>
      </w: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 Quelle serait votre conduite à tenir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Vous associez un autre antiépileptique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Vous proposez le régime cétogène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Vous proposez un traitement chirurgical</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Vous refaites l'électroencéphalographie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E. Vous demandez un dosage plasmatique </w:t>
      </w:r>
      <w:proofErr w:type="spellStart"/>
      <w:r>
        <w:rPr>
          <w:rFonts w:ascii="TwCenMT-Regular" w:hAnsi="TwCenMT-Regular" w:cs="TwCenMT-Regular"/>
          <w:color w:val="000000"/>
        </w:rPr>
        <w:t>del'antiépileptique</w:t>
      </w:r>
      <w:proofErr w:type="spellEnd"/>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Pr="003745AA" w:rsidRDefault="003745AA" w:rsidP="003745AA">
      <w:pPr>
        <w:autoSpaceDE w:val="0"/>
        <w:autoSpaceDN w:val="0"/>
        <w:adjustRightInd w:val="0"/>
        <w:spacing w:after="0" w:line="360" w:lineRule="auto"/>
        <w:rPr>
          <w:rFonts w:ascii="TwCenMT-BoldItalic" w:hAnsi="TwCenMT-BoldItalic" w:cs="TwCenMT-BoldItalic"/>
          <w:b/>
          <w:bCs/>
          <w:i/>
          <w:iCs/>
          <w:color w:val="000000"/>
        </w:rPr>
      </w:pPr>
      <w:r>
        <w:rPr>
          <w:rFonts w:ascii="TwCenMT-Bold" w:hAnsi="TwCenMT-Bold" w:cs="TwCenMT-Bold"/>
          <w:b/>
          <w:bCs/>
          <w:color w:val="000000"/>
        </w:rPr>
        <w:t xml:space="preserve">26. </w:t>
      </w:r>
      <w:r>
        <w:rPr>
          <w:rFonts w:ascii="TwCenMT-BoldItalic" w:hAnsi="TwCenMT-BoldItalic" w:cs="TwCenMT-BoldItalic"/>
          <w:b/>
          <w:bCs/>
          <w:i/>
          <w:iCs/>
          <w:color w:val="000000"/>
        </w:rPr>
        <w:t xml:space="preserve">Après 3 ans de suivi, la patiente n'a plus refait de crises sous faible dose d'antiépileptique. </w:t>
      </w:r>
      <w:r>
        <w:rPr>
          <w:rFonts w:ascii="TwCenMT-Bold" w:hAnsi="TwCenMT-Bold" w:cs="TwCenMT-Bold"/>
          <w:b/>
          <w:bCs/>
          <w:color w:val="000000"/>
        </w:rPr>
        <w:t>Que préconisez-vous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Arrêter le traitement d'emblée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Arrêter le traitement après contrôle EEG</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Arrêter le traitement après contrôle IRM</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Maintenir le traitement pendant 2 ans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Maintenir le traitement à vie</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27. A propos des crises d'absence : Les RJ</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Elles sont définies par une rupture brève du contact, associée à des automatismes moteurs complexes,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B. Elles sont favorisées par </w:t>
      </w:r>
      <w:proofErr w:type="spellStart"/>
      <w:r>
        <w:rPr>
          <w:rFonts w:ascii="TwCenMT-Regular" w:hAnsi="TwCenMT-Regular" w:cs="TwCenMT-Regular"/>
          <w:color w:val="000000"/>
        </w:rPr>
        <w:t>I'hyperpnée</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Elles s'accompagnent de crises atoniques lors du syndrome de Lennox-Gastaut.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D. Elles se manifestent à l'EEG par une décharge </w:t>
      </w:r>
      <w:proofErr w:type="spellStart"/>
      <w:r>
        <w:rPr>
          <w:rFonts w:ascii="TwCenMT-Regular" w:hAnsi="TwCenMT-Regular" w:cs="TwCenMT-Regular"/>
          <w:color w:val="000000"/>
        </w:rPr>
        <w:t>bifrontale</w:t>
      </w:r>
      <w:proofErr w:type="spellEnd"/>
      <w:r>
        <w:rPr>
          <w:rFonts w:ascii="TwCenMT-Regular" w:hAnsi="TwCenMT-Regular" w:cs="TwCenMT-Regular"/>
          <w:color w:val="000000"/>
        </w:rPr>
        <w:t xml:space="preserve"> de pointes-ondes à 3 Hz.</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E. Elles peuvent disparaître sous </w:t>
      </w:r>
      <w:proofErr w:type="spellStart"/>
      <w:r>
        <w:rPr>
          <w:rFonts w:ascii="TwCenMT-Regular" w:hAnsi="TwCenMT-Regular" w:cs="TwCenMT-Regular"/>
          <w:color w:val="000000"/>
        </w:rPr>
        <w:t>Lamotrigine</w:t>
      </w:r>
      <w:proofErr w:type="spellEnd"/>
      <w:r>
        <w:rPr>
          <w:rFonts w:ascii="TwCenMT-Regular" w:hAnsi="TwCenMT-Regular" w:cs="TwCenMT-Regular"/>
          <w:color w:val="000000"/>
        </w:rPr>
        <w:t>.</w:t>
      </w:r>
    </w:p>
    <w:p w:rsidR="00A24010" w:rsidRDefault="00A24010" w:rsidP="003745AA">
      <w:pPr>
        <w:autoSpaceDE w:val="0"/>
        <w:autoSpaceDN w:val="0"/>
        <w:adjustRightInd w:val="0"/>
        <w:spacing w:after="0" w:line="360" w:lineRule="auto"/>
        <w:rPr>
          <w:rFonts w:ascii="TwCenMT-Bold" w:hAnsi="TwCenMT-Bold" w:cs="TwCenMT-Bold"/>
          <w:b/>
          <w:bCs/>
          <w:color w:val="000000"/>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 xml:space="preserve">28. Lors de 'épilepsie de la face </w:t>
      </w:r>
      <w:proofErr w:type="spellStart"/>
      <w:r>
        <w:rPr>
          <w:rFonts w:ascii="TwCenMT-Bold" w:hAnsi="TwCenMT-Bold" w:cs="TwCenMT-Bold"/>
          <w:b/>
          <w:bCs/>
          <w:color w:val="000000"/>
        </w:rPr>
        <w:t>mésiale</w:t>
      </w:r>
      <w:proofErr w:type="spellEnd"/>
      <w:r>
        <w:rPr>
          <w:rFonts w:ascii="TwCenMT-Bold" w:hAnsi="TwCenMT-Bold" w:cs="TwCenMT-Bold"/>
          <w:b/>
          <w:bCs/>
          <w:color w:val="000000"/>
        </w:rPr>
        <w:t xml:space="preserve"> du lobe temporal : Les RJ</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On retrouve souvent des antécédents de convulsions fébriles simples,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B. Les crises sont toujours </w:t>
      </w:r>
      <w:proofErr w:type="spellStart"/>
      <w:r>
        <w:rPr>
          <w:rFonts w:ascii="TwCenMT-Regular" w:hAnsi="TwCenMT-Regular" w:cs="TwCenMT-Regular"/>
          <w:color w:val="000000"/>
        </w:rPr>
        <w:t>morphéiques</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La généralisation secondaire est rare,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L'IRM Cérébrale met en évidence une atrophie temporale diffuse.</w:t>
      </w:r>
    </w:p>
    <w:p w:rsidR="003745AA" w:rsidRDefault="003745AA" w:rsidP="003745AA">
      <w:pPr>
        <w:autoSpaceDE w:val="0"/>
        <w:autoSpaceDN w:val="0"/>
        <w:adjustRightInd w:val="0"/>
        <w:spacing w:after="0" w:line="360" w:lineRule="auto"/>
        <w:rPr>
          <w:rFonts w:ascii="TwCenMT-Regular" w:hAnsi="TwCenMT-Regular" w:cs="TwCenMT-Regular"/>
          <w:color w:val="000000"/>
          <w:sz w:val="21"/>
          <w:szCs w:val="21"/>
        </w:rPr>
      </w:pPr>
      <w:r>
        <w:rPr>
          <w:rFonts w:ascii="TwCenMT-Regular" w:hAnsi="TwCenMT-Regular" w:cs="TwCenMT-Regular"/>
          <w:color w:val="000000"/>
        </w:rPr>
        <w:t xml:space="preserve">E. </w:t>
      </w:r>
      <w:r>
        <w:rPr>
          <w:rFonts w:ascii="TwCenMT-Regular" w:hAnsi="TwCenMT-Regular" w:cs="TwCenMT-Regular"/>
          <w:color w:val="000000"/>
          <w:sz w:val="21"/>
          <w:szCs w:val="21"/>
        </w:rPr>
        <w:t>Le recours à la chirurgie est indispensable dans certains cas.</w:t>
      </w:r>
    </w:p>
    <w:p w:rsidR="00A24010" w:rsidRDefault="00A24010"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29. Les épilepsies généralisées idiopathiques se caractérisent par : Les RJ</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La présence d'anomalies à l'imagerie cérébrale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Une prédisposition génétique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lastRenderedPageBreak/>
        <w:t>C. Des crises âge-dépendantes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Une pharmaco-résistance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Un retard des acquisitions psychomotrices</w:t>
      </w:r>
    </w:p>
    <w:p w:rsidR="003745AA" w:rsidRDefault="003745AA" w:rsidP="003745AA">
      <w:pPr>
        <w:autoSpaceDE w:val="0"/>
        <w:autoSpaceDN w:val="0"/>
        <w:adjustRightInd w:val="0"/>
        <w:spacing w:after="0" w:line="360" w:lineRule="auto"/>
        <w:rPr>
          <w:rFonts w:ascii="Calibri-Bold" w:hAnsi="Calibri-Bold" w:cs="Calibri-Bold"/>
          <w:b/>
          <w:bCs/>
          <w:color w:val="000000"/>
          <w:sz w:val="18"/>
          <w:szCs w:val="18"/>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 xml:space="preserve">30. Parmi les signes cliniques suivants, lesquels orientent une crise généralisée </w:t>
      </w:r>
      <w:proofErr w:type="spellStart"/>
      <w:r>
        <w:rPr>
          <w:rFonts w:ascii="TwCenMT-Bold" w:hAnsi="TwCenMT-Bold" w:cs="TwCenMT-Bold"/>
          <w:b/>
          <w:bCs/>
          <w:color w:val="000000"/>
        </w:rPr>
        <w:t>tonico</w:t>
      </w:r>
      <w:proofErr w:type="spellEnd"/>
      <w:r>
        <w:rPr>
          <w:rFonts w:ascii="TwCenMT-Bold" w:hAnsi="TwCenMT-Bold" w:cs="TwCenMT-Bold"/>
          <w:b/>
          <w:bCs/>
          <w:color w:val="000000"/>
        </w:rPr>
        <w:t>-clonique ? Les RJ</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Une révulsion des globes oculaires.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Une morsure des lèvres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Une rétention urinaire.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Une hypersécrétion bronchique et salivaire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Une reprise immédiate de la conscience.</w:t>
      </w:r>
    </w:p>
    <w:p w:rsidR="00A24010" w:rsidRDefault="00A24010" w:rsidP="003745AA">
      <w:pPr>
        <w:autoSpaceDE w:val="0"/>
        <w:autoSpaceDN w:val="0"/>
        <w:adjustRightInd w:val="0"/>
        <w:spacing w:after="0" w:line="360" w:lineRule="auto"/>
        <w:rPr>
          <w:rFonts w:ascii="TwCenMT-Regular" w:hAnsi="TwCenMT-Regular" w:cs="TwCenMT-Regular"/>
          <w:color w:val="000000"/>
        </w:rPr>
      </w:pPr>
    </w:p>
    <w:p w:rsidR="003745AA" w:rsidRDefault="003745AA" w:rsidP="00A24010">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31. Le choix d'un mé</w:t>
      </w:r>
      <w:r w:rsidR="00A24010">
        <w:rPr>
          <w:rFonts w:ascii="TwCenMT-Bold" w:hAnsi="TwCenMT-Bold" w:cs="TwCenMT-Bold"/>
          <w:b/>
          <w:bCs/>
          <w:color w:val="000000"/>
        </w:rPr>
        <w:t xml:space="preserve">dicament antiépileptique dépend des différents types de crises et/ou du syndrome </w:t>
      </w:r>
      <w:r>
        <w:rPr>
          <w:rFonts w:ascii="TwCenMT-Bold" w:hAnsi="TwCenMT-Bold" w:cs="TwCenMT-Bold"/>
          <w:b/>
          <w:bCs/>
          <w:color w:val="000000"/>
        </w:rPr>
        <w:t>épileptique suspecté : Les RJ</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l'</w:t>
      </w:r>
      <w:proofErr w:type="spellStart"/>
      <w:r>
        <w:rPr>
          <w:rFonts w:ascii="TwCenMT-Regular" w:hAnsi="TwCenMT-Regular" w:cs="TwCenMT-Regular"/>
          <w:color w:val="000000"/>
        </w:rPr>
        <w:t>ethosuximide</w:t>
      </w:r>
      <w:proofErr w:type="spellEnd"/>
      <w:r>
        <w:rPr>
          <w:rFonts w:ascii="TwCenMT-Regular" w:hAnsi="TwCenMT-Regular" w:cs="TwCenMT-Regular"/>
          <w:color w:val="000000"/>
        </w:rPr>
        <w:t xml:space="preserve"> (</w:t>
      </w:r>
      <w:proofErr w:type="spellStart"/>
      <w:r>
        <w:rPr>
          <w:rFonts w:ascii="TwCenMT-Regular" w:hAnsi="TwCenMT-Regular" w:cs="TwCenMT-Regular"/>
          <w:color w:val="000000"/>
        </w:rPr>
        <w:t>zarontin</w:t>
      </w:r>
      <w:proofErr w:type="spellEnd"/>
      <w:r>
        <w:rPr>
          <w:rFonts w:ascii="TwCenMT-Regular" w:hAnsi="TwCenMT-Regular" w:cs="TwCenMT-Regular"/>
          <w:color w:val="000000"/>
        </w:rPr>
        <w:t>®) est act</w:t>
      </w:r>
      <w:r w:rsidR="00A24010">
        <w:rPr>
          <w:rFonts w:ascii="TwCenMT-Regular" w:hAnsi="TwCenMT-Regular" w:cs="TwCenMT-Regular"/>
          <w:color w:val="000000"/>
        </w:rPr>
        <w:t xml:space="preserve">if sur les </w:t>
      </w:r>
      <w:proofErr w:type="spellStart"/>
      <w:r w:rsidR="00A24010">
        <w:rPr>
          <w:rFonts w:ascii="TwCenMT-Regular" w:hAnsi="TwCenMT-Regular" w:cs="TwCenMT-Regular"/>
          <w:color w:val="000000"/>
        </w:rPr>
        <w:t>crisestonicoconiques</w:t>
      </w:r>
      <w:proofErr w:type="spellEnd"/>
      <w:r w:rsidR="00A24010">
        <w:rPr>
          <w:rFonts w:ascii="TwCenMT-Regular" w:hAnsi="TwCenMT-Regular" w:cs="TwCenMT-Regular"/>
          <w:color w:val="000000"/>
        </w:rPr>
        <w:t xml:space="preserve"> </w:t>
      </w:r>
      <w:r>
        <w:rPr>
          <w:rFonts w:ascii="TwCenMT-Regular" w:hAnsi="TwCenMT-Regular" w:cs="TwCenMT-Regular"/>
          <w:color w:val="000000"/>
        </w:rPr>
        <w:t>généralisées</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B. La </w:t>
      </w:r>
      <w:proofErr w:type="spellStart"/>
      <w:r>
        <w:rPr>
          <w:rFonts w:ascii="TwCenMT-Regular" w:hAnsi="TwCenMT-Regular" w:cs="TwCenMT-Regular"/>
          <w:color w:val="000000"/>
        </w:rPr>
        <w:t>carbamazépine</w:t>
      </w:r>
      <w:proofErr w:type="spellEnd"/>
      <w:r>
        <w:rPr>
          <w:rFonts w:ascii="TwCenMT-Regular" w:hAnsi="TwCenMT-Regular" w:cs="TwCenMT-Regular"/>
          <w:color w:val="000000"/>
        </w:rPr>
        <w:t xml:space="preserve"> (</w:t>
      </w:r>
      <w:proofErr w:type="spellStart"/>
      <w:proofErr w:type="gramStart"/>
      <w:r>
        <w:rPr>
          <w:rFonts w:ascii="TwCenMT-Regular" w:hAnsi="TwCenMT-Regular" w:cs="TwCenMT-Regular"/>
          <w:color w:val="000000"/>
        </w:rPr>
        <w:t>Tegre</w:t>
      </w:r>
      <w:r w:rsidR="00A24010">
        <w:rPr>
          <w:rFonts w:ascii="TwCenMT-Regular" w:hAnsi="TwCenMT-Regular" w:cs="TwCenMT-Regular"/>
          <w:color w:val="000000"/>
        </w:rPr>
        <w:t>tol</w:t>
      </w:r>
      <w:proofErr w:type="spellEnd"/>
      <w:r w:rsidR="00A24010">
        <w:rPr>
          <w:rFonts w:ascii="TwCenMT-Regular" w:hAnsi="TwCenMT-Regular" w:cs="TwCenMT-Regular"/>
          <w:color w:val="000000"/>
        </w:rPr>
        <w:t xml:space="preserve"> )</w:t>
      </w:r>
      <w:proofErr w:type="gramEnd"/>
      <w:r w:rsidR="00A24010">
        <w:rPr>
          <w:rFonts w:ascii="TwCenMT-Regular" w:hAnsi="TwCenMT-Regular" w:cs="TwCenMT-Regular"/>
          <w:color w:val="000000"/>
        </w:rPr>
        <w:t xml:space="preserve"> est active sur crises </w:t>
      </w:r>
      <w:proofErr w:type="spellStart"/>
      <w:r w:rsidR="00A24010">
        <w:rPr>
          <w:rFonts w:ascii="TwCenMT-Regular" w:hAnsi="TwCenMT-Regular" w:cs="TwCenMT-Regular"/>
          <w:color w:val="000000"/>
        </w:rPr>
        <w:t>les</w:t>
      </w:r>
      <w:r>
        <w:rPr>
          <w:rFonts w:ascii="TwCenMT-Regular" w:hAnsi="TwCenMT-Regular" w:cs="TwCenMT-Regular"/>
          <w:color w:val="000000"/>
        </w:rPr>
        <w:t>focales</w:t>
      </w:r>
      <w:proofErr w:type="spellEnd"/>
      <w:r>
        <w:rPr>
          <w:rFonts w:ascii="TwCenMT-Regular" w:hAnsi="TwCenMT-Regular" w:cs="TwCenMT-Regular"/>
          <w:color w:val="000000"/>
        </w:rPr>
        <w: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C. Le </w:t>
      </w:r>
      <w:proofErr w:type="spellStart"/>
      <w:r>
        <w:rPr>
          <w:rFonts w:ascii="TwCenMT-Regular" w:hAnsi="TwCenMT-Regular" w:cs="TwCenMT-Regular"/>
          <w:color w:val="000000"/>
        </w:rPr>
        <w:t>phenobarbital</w:t>
      </w:r>
      <w:proofErr w:type="spellEnd"/>
      <w:r>
        <w:rPr>
          <w:rFonts w:ascii="TwCenMT-Regular" w:hAnsi="TwCenMT-Regular" w:cs="TwCenMT-Regular"/>
          <w:color w:val="000000"/>
        </w:rPr>
        <w:t xml:space="preserve"> (</w:t>
      </w:r>
      <w:proofErr w:type="spellStart"/>
      <w:proofErr w:type="gramStart"/>
      <w:r>
        <w:rPr>
          <w:rFonts w:ascii="TwCenMT-Regular" w:hAnsi="TwCenMT-Regular" w:cs="TwCenMT-Regular"/>
          <w:color w:val="000000"/>
        </w:rPr>
        <w:t>Gardenal</w:t>
      </w:r>
      <w:proofErr w:type="spellEnd"/>
      <w:r>
        <w:rPr>
          <w:rFonts w:ascii="TwCenMT-Regular" w:hAnsi="TwCenMT-Regular" w:cs="TwCenMT-Regular"/>
          <w:color w:val="000000"/>
        </w:rPr>
        <w:t xml:space="preserve"> )</w:t>
      </w:r>
      <w:proofErr w:type="gramEnd"/>
      <w:r>
        <w:rPr>
          <w:rFonts w:ascii="TwCenMT-Regular" w:hAnsi="TwCenMT-Regular" w:cs="TwCenMT-Regular"/>
          <w:color w:val="000000"/>
        </w:rPr>
        <w:t xml:space="preserve"> est actifs sur les absences</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D. Les </w:t>
      </w:r>
      <w:proofErr w:type="spellStart"/>
      <w:r>
        <w:rPr>
          <w:rFonts w:ascii="TwCenMT-Regular" w:hAnsi="TwCenMT-Regular" w:cs="TwCenMT-Regular"/>
          <w:color w:val="000000"/>
        </w:rPr>
        <w:t>Benzo</w:t>
      </w:r>
      <w:r w:rsidR="00A24010">
        <w:rPr>
          <w:rFonts w:ascii="TwCenMT-Regular" w:hAnsi="TwCenMT-Regular" w:cs="TwCenMT-Regular"/>
          <w:color w:val="000000"/>
        </w:rPr>
        <w:t>dazépines</w:t>
      </w:r>
      <w:proofErr w:type="spellEnd"/>
      <w:r w:rsidR="00A24010">
        <w:rPr>
          <w:rFonts w:ascii="TwCenMT-Regular" w:hAnsi="TwCenMT-Regular" w:cs="TwCenMT-Regular"/>
          <w:color w:val="000000"/>
        </w:rPr>
        <w:t xml:space="preserve"> injectables (diazépam </w:t>
      </w:r>
      <w:proofErr w:type="spellStart"/>
      <w:r>
        <w:rPr>
          <w:rFonts w:ascii="TwCenMT-Regular" w:hAnsi="TwCenMT-Regular" w:cs="TwCenMT-Regular"/>
          <w:color w:val="000000"/>
        </w:rPr>
        <w:t>clonadiazépam</w:t>
      </w:r>
      <w:proofErr w:type="spellEnd"/>
      <w:r>
        <w:rPr>
          <w:rFonts w:ascii="TwCenMT-Regular" w:hAnsi="TwCenMT-Regular" w:cs="TwCenMT-Regular"/>
          <w:color w:val="000000"/>
        </w:rPr>
        <w:t>) sont actifs sur les ét</w:t>
      </w:r>
      <w:r w:rsidR="00A24010">
        <w:rPr>
          <w:rFonts w:ascii="TwCenMT-Regular" w:hAnsi="TwCenMT-Regular" w:cs="TwCenMT-Regular"/>
          <w:color w:val="000000"/>
        </w:rPr>
        <w:t xml:space="preserve">ats de mal </w:t>
      </w:r>
      <w:r>
        <w:rPr>
          <w:rFonts w:ascii="TwCenMT-Regular" w:hAnsi="TwCenMT-Regular" w:cs="TwCenMT-Regular"/>
          <w:color w:val="000000"/>
        </w:rPr>
        <w:t>épileptiques</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E. Le </w:t>
      </w:r>
      <w:proofErr w:type="spellStart"/>
      <w:r>
        <w:rPr>
          <w:rFonts w:ascii="TwCenMT-Regular" w:hAnsi="TwCenMT-Regular" w:cs="TwCenMT-Regular"/>
          <w:color w:val="000000"/>
        </w:rPr>
        <w:t>valproate</w:t>
      </w:r>
      <w:proofErr w:type="spellEnd"/>
      <w:r>
        <w:rPr>
          <w:rFonts w:ascii="TwCenMT-Regular" w:hAnsi="TwCenMT-Regular" w:cs="TwCenMT-Regular"/>
          <w:color w:val="000000"/>
        </w:rPr>
        <w:t xml:space="preserve"> de sodi</w:t>
      </w:r>
      <w:r w:rsidR="00A24010">
        <w:rPr>
          <w:rFonts w:ascii="TwCenMT-Regular" w:hAnsi="TwCenMT-Regular" w:cs="TwCenMT-Regular"/>
          <w:color w:val="000000"/>
        </w:rPr>
        <w:t>um (</w:t>
      </w:r>
      <w:proofErr w:type="spellStart"/>
      <w:r w:rsidR="00A24010">
        <w:rPr>
          <w:rFonts w:ascii="TwCenMT-Regular" w:hAnsi="TwCenMT-Regular" w:cs="TwCenMT-Regular"/>
          <w:color w:val="000000"/>
        </w:rPr>
        <w:t>Dépakine</w:t>
      </w:r>
      <w:proofErr w:type="spellEnd"/>
      <w:r w:rsidR="00A24010">
        <w:rPr>
          <w:rFonts w:ascii="TwCenMT-Regular" w:hAnsi="TwCenMT-Regular" w:cs="TwCenMT-Regular"/>
          <w:color w:val="000000"/>
        </w:rPr>
        <w:t xml:space="preserve">) est actif sur les </w:t>
      </w:r>
      <w:r>
        <w:rPr>
          <w:rFonts w:ascii="TwCenMT-Regular" w:hAnsi="TwCenMT-Regular" w:cs="TwCenMT-Regular"/>
          <w:color w:val="000000"/>
        </w:rPr>
        <w:t>myoclonies</w:t>
      </w:r>
    </w:p>
    <w:p w:rsidR="00A24010" w:rsidRDefault="00A24010" w:rsidP="00A24010">
      <w:pPr>
        <w:autoSpaceDE w:val="0"/>
        <w:autoSpaceDN w:val="0"/>
        <w:adjustRightInd w:val="0"/>
        <w:spacing w:after="0" w:line="360" w:lineRule="auto"/>
        <w:rPr>
          <w:rFonts w:ascii="TwCenMT-Regular" w:hAnsi="TwCenMT-Regular" w:cs="TwCenMT-Regular"/>
          <w:color w:val="000000"/>
        </w:rPr>
      </w:pPr>
    </w:p>
    <w:p w:rsidR="003745AA" w:rsidRDefault="003745AA" w:rsidP="00A24010">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32. Les myoclonies m</w:t>
      </w:r>
      <w:r w:rsidR="00A24010">
        <w:rPr>
          <w:rFonts w:ascii="TwCenMT-Bold" w:hAnsi="TwCenMT-Bold" w:cs="TwCenMT-Bold"/>
          <w:b/>
          <w:bCs/>
          <w:color w:val="000000"/>
        </w:rPr>
        <w:t xml:space="preserve">assives d'origine épileptique : </w:t>
      </w:r>
      <w:r>
        <w:rPr>
          <w:rFonts w:ascii="TwCenMT-Bold" w:hAnsi="TwCenMT-Bold" w:cs="TwCenMT-Bold"/>
          <w:b/>
          <w:bCs/>
          <w:color w:val="000000"/>
        </w:rPr>
        <w:t>cochez la ou les réponses justes)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S'accompagnent d'une perte de conscience très brève.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Peuvent occasionner des chutes brutales</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Sont fréquen</w:t>
      </w:r>
      <w:r w:rsidR="00A24010">
        <w:rPr>
          <w:rFonts w:ascii="TwCenMT-Regular" w:hAnsi="TwCenMT-Regular" w:cs="TwCenMT-Regular"/>
          <w:color w:val="000000"/>
        </w:rPr>
        <w:t xml:space="preserve">tes lors de la somnolence et de </w:t>
      </w:r>
      <w:r>
        <w:rPr>
          <w:rFonts w:ascii="TwCenMT-Regular" w:hAnsi="TwCenMT-Regular" w:cs="TwCenMT-Regular"/>
          <w:color w:val="000000"/>
        </w:rPr>
        <w:t>l'endormissement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S'accompagnent d'une confusion post critique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Sont favorisées par la stimulation lumineuse intermittente</w:t>
      </w:r>
    </w:p>
    <w:p w:rsidR="00A24010" w:rsidRDefault="00A24010" w:rsidP="003745AA">
      <w:pPr>
        <w:autoSpaceDE w:val="0"/>
        <w:autoSpaceDN w:val="0"/>
        <w:adjustRightInd w:val="0"/>
        <w:spacing w:after="0" w:line="360" w:lineRule="auto"/>
        <w:rPr>
          <w:rFonts w:ascii="TwCenMT-Regular" w:hAnsi="TwCenMT-Regular" w:cs="TwCenMT-Regular"/>
          <w:color w:val="000000"/>
        </w:rPr>
      </w:pPr>
    </w:p>
    <w:p w:rsidR="003745AA" w:rsidRDefault="003745AA" w:rsidP="00A24010">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33. Les crises focales ave</w:t>
      </w:r>
      <w:r w:rsidR="00A24010">
        <w:rPr>
          <w:rFonts w:ascii="TwCenMT-Bold" w:hAnsi="TwCenMT-Bold" w:cs="TwCenMT-Bold"/>
          <w:b/>
          <w:bCs/>
          <w:color w:val="000000"/>
        </w:rPr>
        <w:t xml:space="preserve">c altération de la conscience : (cochez la ou les réponses </w:t>
      </w:r>
      <w:r>
        <w:rPr>
          <w:rFonts w:ascii="TwCenMT-Bold" w:hAnsi="TwCenMT-Bold" w:cs="TwCenMT-Bold"/>
          <w:b/>
          <w:bCs/>
          <w:color w:val="000000"/>
        </w:rPr>
        <w:t>justes)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Se terminent toujours par une rupture du contact.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Entrainent souvent une réaction d'arrêt moteur</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Sont exclusivement d'origine temporale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D. Peuvent comporter des automatismes </w:t>
      </w:r>
      <w:proofErr w:type="spellStart"/>
      <w:r>
        <w:rPr>
          <w:rFonts w:ascii="TwCenMT-Regular" w:hAnsi="TwCenMT-Regular" w:cs="TwCenMT-Regular"/>
          <w:color w:val="000000"/>
        </w:rPr>
        <w:t>oro</w:t>
      </w:r>
      <w:proofErr w:type="spellEnd"/>
      <w:r>
        <w:rPr>
          <w:rFonts w:ascii="TwCenMT-Regular" w:hAnsi="TwCenMT-Regular" w:cs="TwCenMT-Regular"/>
          <w:color w:val="000000"/>
        </w:rPr>
        <w:t>-alimentaires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E. Ne se transforment jamais en crises généralisées </w:t>
      </w:r>
      <w:proofErr w:type="spellStart"/>
      <w:r>
        <w:rPr>
          <w:rFonts w:ascii="TwCenMT-Regular" w:hAnsi="TwCenMT-Regular" w:cs="TwCenMT-Regular"/>
          <w:color w:val="000000"/>
        </w:rPr>
        <w:t>tonicocloniques</w:t>
      </w:r>
      <w:proofErr w:type="spellEnd"/>
    </w:p>
    <w:p w:rsidR="00A24010" w:rsidRDefault="00A24010" w:rsidP="003745AA">
      <w:pPr>
        <w:autoSpaceDE w:val="0"/>
        <w:autoSpaceDN w:val="0"/>
        <w:adjustRightInd w:val="0"/>
        <w:spacing w:after="0" w:line="360" w:lineRule="auto"/>
        <w:rPr>
          <w:rFonts w:ascii="TwCenMT-Regular" w:hAnsi="TwCenMT-Regular" w:cs="TwCenMT-Regular"/>
          <w:color w:val="000000"/>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34. Le syndrome de West se caractérise par : La/Les RJ</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lastRenderedPageBreak/>
        <w:t>A. Un pronostic toujours péjoratif</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Des crises hypertoniques généralisées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Une aphasie progressive</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Un aspect de poi</w:t>
      </w:r>
      <w:r w:rsidR="00A24010">
        <w:rPr>
          <w:rFonts w:ascii="TwCenMT-Regular" w:hAnsi="TwCenMT-Regular" w:cs="TwCenMT-Regular"/>
          <w:color w:val="000000"/>
        </w:rPr>
        <w:t xml:space="preserve">ntes ondes continues pendant le </w:t>
      </w:r>
      <w:r>
        <w:rPr>
          <w:rFonts w:ascii="TwCenMT-Regular" w:hAnsi="TwCenMT-Regular" w:cs="TwCenMT-Regular"/>
          <w:color w:val="000000"/>
        </w:rPr>
        <w:t>sommeil à l'EEG</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Une perte des acquisitions antérieures de l'enfant</w:t>
      </w:r>
    </w:p>
    <w:p w:rsidR="00A24010" w:rsidRDefault="00A24010" w:rsidP="003745AA">
      <w:pPr>
        <w:autoSpaceDE w:val="0"/>
        <w:autoSpaceDN w:val="0"/>
        <w:adjustRightInd w:val="0"/>
        <w:spacing w:after="0" w:line="360" w:lineRule="auto"/>
        <w:rPr>
          <w:rFonts w:ascii="TwCenMT-Regular" w:hAnsi="TwCenMT-Regular" w:cs="TwCenMT-Regular"/>
          <w:color w:val="000000"/>
        </w:rPr>
      </w:pPr>
    </w:p>
    <w:p w:rsidR="003745AA" w:rsidRDefault="003745AA" w:rsidP="00A24010">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 xml:space="preserve">35. La </w:t>
      </w:r>
      <w:proofErr w:type="spellStart"/>
      <w:r>
        <w:rPr>
          <w:rFonts w:ascii="TwCenMT-Bold" w:hAnsi="TwCenMT-Bold" w:cs="TwCenMT-Bold"/>
          <w:b/>
          <w:bCs/>
          <w:color w:val="000000"/>
        </w:rPr>
        <w:t>carbamazépine</w:t>
      </w:r>
      <w:proofErr w:type="spellEnd"/>
      <w:r>
        <w:rPr>
          <w:rFonts w:ascii="TwCenMT-Bold" w:hAnsi="TwCenMT-Bold" w:cs="TwCenMT-Bold"/>
          <w:b/>
          <w:bCs/>
          <w:color w:val="000000"/>
        </w:rPr>
        <w:t xml:space="preserve"> (</w:t>
      </w:r>
      <w:proofErr w:type="spellStart"/>
      <w:r>
        <w:rPr>
          <w:rFonts w:ascii="TwCenMT-Bold" w:hAnsi="TwCenMT-Bold" w:cs="TwCenMT-Bold"/>
          <w:b/>
          <w:bCs/>
          <w:color w:val="000000"/>
        </w:rPr>
        <w:t>Tégr</w:t>
      </w:r>
      <w:r w:rsidR="00A24010">
        <w:rPr>
          <w:rFonts w:ascii="TwCenMT-Bold" w:hAnsi="TwCenMT-Bold" w:cs="TwCenMT-Bold"/>
          <w:b/>
          <w:bCs/>
          <w:color w:val="000000"/>
        </w:rPr>
        <w:t>étol</w:t>
      </w:r>
      <w:proofErr w:type="spellEnd"/>
      <w:r w:rsidR="00A24010">
        <w:rPr>
          <w:rFonts w:ascii="TwCenMT-Bold" w:hAnsi="TwCenMT-Bold" w:cs="TwCenMT-Bold"/>
          <w:b/>
          <w:bCs/>
          <w:color w:val="000000"/>
        </w:rPr>
        <w:t xml:space="preserve">) est active sur les crises </w:t>
      </w:r>
      <w:r>
        <w:rPr>
          <w:rFonts w:ascii="TwCenMT-Bold" w:hAnsi="TwCenMT-Bold" w:cs="TwCenMT-Bold"/>
          <w:b/>
          <w:bCs/>
          <w:color w:val="000000"/>
        </w:rPr>
        <w:t>suivantes, lesquelles?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Les crises motrices Bravais Jacksoniennes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Les absences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C. Les crises généralisées </w:t>
      </w:r>
      <w:proofErr w:type="spellStart"/>
      <w:r>
        <w:rPr>
          <w:rFonts w:ascii="TwCenMT-Regular" w:hAnsi="TwCenMT-Regular" w:cs="TwCenMT-Regular"/>
          <w:color w:val="000000"/>
        </w:rPr>
        <w:t>tonico</w:t>
      </w:r>
      <w:proofErr w:type="spellEnd"/>
      <w:r>
        <w:rPr>
          <w:rFonts w:ascii="TwCenMT-Regular" w:hAnsi="TwCenMT-Regular" w:cs="TwCenMT-Regular"/>
          <w:color w:val="000000"/>
        </w:rPr>
        <w:t>-cloniques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Les myoclonies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Les spasmes en flexion</w:t>
      </w:r>
    </w:p>
    <w:p w:rsidR="003745AA" w:rsidRDefault="003745AA" w:rsidP="00A24010">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36. La mise en route d</w:t>
      </w:r>
      <w:r w:rsidR="00A24010">
        <w:rPr>
          <w:rFonts w:ascii="TwCenMT-Bold" w:hAnsi="TwCenMT-Bold" w:cs="TwCenMT-Bold"/>
          <w:b/>
          <w:bCs/>
          <w:color w:val="000000"/>
        </w:rPr>
        <w:t xml:space="preserve">'un traitement anti épileptique obéit aux règles suivantes, </w:t>
      </w:r>
      <w:r>
        <w:rPr>
          <w:rFonts w:ascii="TwCenMT-Bold" w:hAnsi="TwCenMT-Bold" w:cs="TwCenMT-Bold"/>
          <w:b/>
          <w:bCs/>
          <w:color w:val="000000"/>
        </w:rPr>
        <w:t>lesquelles ?</w:t>
      </w:r>
    </w:p>
    <w:p w:rsidR="00A24010" w:rsidRDefault="00A24010" w:rsidP="00A24010">
      <w:pPr>
        <w:autoSpaceDE w:val="0"/>
        <w:autoSpaceDN w:val="0"/>
        <w:adjustRightInd w:val="0"/>
        <w:spacing w:after="0" w:line="360" w:lineRule="auto"/>
        <w:rPr>
          <w:rFonts w:ascii="TwCenMT-Bold" w:hAnsi="TwCenMT-Bold" w:cs="TwCenMT-Bold"/>
          <w:b/>
          <w:bCs/>
          <w:color w:val="000000"/>
        </w:rPr>
      </w:pP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Pas de traitement d'épreuve.</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Choisir le méd</w:t>
      </w:r>
      <w:r w:rsidR="00A24010">
        <w:rPr>
          <w:rFonts w:ascii="TwCenMT-Regular" w:hAnsi="TwCenMT-Regular" w:cs="TwCenMT-Regular"/>
          <w:color w:val="000000"/>
        </w:rPr>
        <w:t xml:space="preserve">icament en fonction du syndrome </w:t>
      </w:r>
      <w:r>
        <w:rPr>
          <w:rFonts w:ascii="TwCenMT-Regular" w:hAnsi="TwCenMT-Regular" w:cs="TwCenMT-Regular"/>
          <w:color w:val="000000"/>
        </w:rPr>
        <w:t>épileptique.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Commencer par une bithérapie synergique.</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Débuter par la posol</w:t>
      </w:r>
      <w:r w:rsidR="00A24010">
        <w:rPr>
          <w:rFonts w:ascii="TwCenMT-Regular" w:hAnsi="TwCenMT-Regular" w:cs="TwCenMT-Regular"/>
          <w:color w:val="000000"/>
        </w:rPr>
        <w:t xml:space="preserve">ogie maximale conseillée, selon </w:t>
      </w:r>
      <w:r>
        <w:rPr>
          <w:rFonts w:ascii="TwCenMT-Regular" w:hAnsi="TwCenMT-Regular" w:cs="TwCenMT-Regular"/>
          <w:color w:val="000000"/>
        </w:rPr>
        <w:t>l'âge et le poids du patient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Choisir des molécules à libération standard.</w:t>
      </w:r>
    </w:p>
    <w:p w:rsidR="003745AA" w:rsidRDefault="003745AA" w:rsidP="00A24010">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37. Au cours de l'épile</w:t>
      </w:r>
      <w:r w:rsidR="00A24010">
        <w:rPr>
          <w:rFonts w:ascii="TwCenMT-Bold" w:hAnsi="TwCenMT-Bold" w:cs="TwCenMT-Bold"/>
          <w:b/>
          <w:bCs/>
          <w:color w:val="000000"/>
        </w:rPr>
        <w:t xml:space="preserve">psie de la face </w:t>
      </w:r>
      <w:proofErr w:type="spellStart"/>
      <w:r w:rsidR="00A24010">
        <w:rPr>
          <w:rFonts w:ascii="TwCenMT-Bold" w:hAnsi="TwCenMT-Bold" w:cs="TwCenMT-Bold"/>
          <w:b/>
          <w:bCs/>
          <w:color w:val="000000"/>
        </w:rPr>
        <w:t>mésiale</w:t>
      </w:r>
      <w:proofErr w:type="spellEnd"/>
      <w:r w:rsidR="00A24010">
        <w:rPr>
          <w:rFonts w:ascii="TwCenMT-Bold" w:hAnsi="TwCenMT-Bold" w:cs="TwCenMT-Bold"/>
          <w:b/>
          <w:bCs/>
          <w:color w:val="000000"/>
        </w:rPr>
        <w:t xml:space="preserve"> du lobe </w:t>
      </w:r>
      <w:r>
        <w:rPr>
          <w:rFonts w:ascii="TwCenMT-Bold" w:hAnsi="TwCenMT-Bold" w:cs="TwCenMT-Bold"/>
          <w:b/>
          <w:bCs/>
          <w:color w:val="000000"/>
        </w:rPr>
        <w:t>temporale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A. Les automatismes moteurs sont fréquents </w:t>
      </w:r>
      <w:proofErr w:type="spellStart"/>
      <w:r>
        <w:rPr>
          <w:rFonts w:ascii="TwCenMT-Regular" w:hAnsi="TwCenMT-Regular" w:cs="TwCenMT-Regular"/>
          <w:color w:val="000000"/>
        </w:rPr>
        <w:t>Iors</w:t>
      </w:r>
      <w:proofErr w:type="spellEnd"/>
      <w:r>
        <w:rPr>
          <w:rFonts w:ascii="TwCenMT-Regular" w:hAnsi="TwCenMT-Regular" w:cs="TwCenMT-Regular"/>
          <w:color w:val="000000"/>
        </w:rPr>
        <w:t xml:space="preserve"> de la crise.</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On retrouve souvent dan</w:t>
      </w:r>
      <w:r w:rsidR="00A24010">
        <w:rPr>
          <w:rFonts w:ascii="TwCenMT-Regular" w:hAnsi="TwCenMT-Regular" w:cs="TwCenMT-Regular"/>
          <w:color w:val="000000"/>
        </w:rPr>
        <w:t xml:space="preserve">s les antécédentes la notion de </w:t>
      </w:r>
      <w:r>
        <w:rPr>
          <w:rFonts w:ascii="TwCenMT-Regular" w:hAnsi="TwCenMT-Regular" w:cs="TwCenMT-Regular"/>
          <w:color w:val="000000"/>
        </w:rPr>
        <w:t>convulsions fébriles simples</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C. L'IRM cérébrale peut </w:t>
      </w:r>
      <w:r w:rsidR="00A24010">
        <w:rPr>
          <w:rFonts w:ascii="TwCenMT-Regular" w:hAnsi="TwCenMT-Regular" w:cs="TwCenMT-Regular"/>
          <w:color w:val="000000"/>
        </w:rPr>
        <w:t xml:space="preserve">mettre en évidence une atrophie </w:t>
      </w:r>
      <w:proofErr w:type="spellStart"/>
      <w:r>
        <w:rPr>
          <w:rFonts w:ascii="TwCenMT-Regular" w:hAnsi="TwCenMT-Regular" w:cs="TwCenMT-Regular"/>
          <w:color w:val="000000"/>
        </w:rPr>
        <w:t>rolandique</w:t>
      </w:r>
      <w:proofErr w:type="spellEnd"/>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La pharmaco-résistance est exceptionnelle</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Le début de la crise c</w:t>
      </w:r>
      <w:r w:rsidR="00A24010">
        <w:rPr>
          <w:rFonts w:ascii="TwCenMT-Regular" w:hAnsi="TwCenMT-Regular" w:cs="TwCenMT-Regular"/>
          <w:color w:val="000000"/>
        </w:rPr>
        <w:t xml:space="preserve">omporte une attitude dystonique </w:t>
      </w:r>
      <w:r>
        <w:rPr>
          <w:rFonts w:ascii="TwCenMT-Regular" w:hAnsi="TwCenMT-Regular" w:cs="TwCenMT-Regular"/>
          <w:color w:val="000000"/>
        </w:rPr>
        <w:t>du membre supérieur</w:t>
      </w:r>
    </w:p>
    <w:p w:rsidR="00A24010" w:rsidRDefault="00A24010" w:rsidP="00A24010">
      <w:pPr>
        <w:autoSpaceDE w:val="0"/>
        <w:autoSpaceDN w:val="0"/>
        <w:adjustRightInd w:val="0"/>
        <w:spacing w:after="0" w:line="360" w:lineRule="auto"/>
        <w:rPr>
          <w:rFonts w:ascii="TwCenMT-Regular" w:hAnsi="TwCenMT-Regular" w:cs="TwCenMT-Regular"/>
          <w:color w:val="000000"/>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38. A propos du syndrome de West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Le rythme de fond est normal à l'EEG</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Le pronostic est le plus souvent favorable sous traitement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Les spasmes infantiles sont le plus souvent en extension</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La régression psychomotrice est de règle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Il fait partie des épilepsies focales symptomatiques</w:t>
      </w:r>
    </w:p>
    <w:p w:rsidR="00A24010" w:rsidRDefault="00A24010" w:rsidP="003745AA">
      <w:pPr>
        <w:autoSpaceDE w:val="0"/>
        <w:autoSpaceDN w:val="0"/>
        <w:adjustRightInd w:val="0"/>
        <w:spacing w:after="0" w:line="360" w:lineRule="auto"/>
        <w:rPr>
          <w:rFonts w:ascii="TwCenMT-Regular" w:hAnsi="TwCenMT-Regular" w:cs="TwCenMT-Regular"/>
          <w:color w:val="000000"/>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39. Au cours du syndrome de Lennox Gastaut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A. L'EEG Inter-critique comporte une </w:t>
      </w:r>
      <w:proofErr w:type="spellStart"/>
      <w:r>
        <w:rPr>
          <w:rFonts w:ascii="TwCenMT-Regular" w:hAnsi="TwCenMT-Regular" w:cs="TwCenMT-Regular"/>
          <w:color w:val="000000"/>
        </w:rPr>
        <w:t>hypsarythme</w:t>
      </w:r>
      <w:proofErr w:type="spellEnd"/>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Une évolution secondai</w:t>
      </w:r>
      <w:r w:rsidR="00A24010">
        <w:rPr>
          <w:rFonts w:ascii="TwCenMT-Regular" w:hAnsi="TwCenMT-Regular" w:cs="TwCenMT-Regular"/>
          <w:color w:val="000000"/>
        </w:rPr>
        <w:t xml:space="preserve">re vers un syndrome de WEST est </w:t>
      </w:r>
      <w:r>
        <w:rPr>
          <w:rFonts w:ascii="TwCenMT-Regular" w:hAnsi="TwCenMT-Regular" w:cs="TwCenMT-Regular"/>
          <w:color w:val="000000"/>
        </w:rPr>
        <w:t>possible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lastRenderedPageBreak/>
        <w:t>C. La pharmaco sensibilité est fréquente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L'Age de début se situe entre le 4</w:t>
      </w:r>
      <w:r>
        <w:rPr>
          <w:rFonts w:ascii="TwCenMT-Regular" w:hAnsi="TwCenMT-Regular" w:cs="TwCenMT-Regular"/>
          <w:color w:val="000000"/>
          <w:sz w:val="14"/>
          <w:szCs w:val="14"/>
        </w:rPr>
        <w:t xml:space="preserve">ème </w:t>
      </w:r>
      <w:r>
        <w:rPr>
          <w:rFonts w:ascii="TwCenMT-Regular" w:hAnsi="TwCenMT-Regular" w:cs="TwCenMT-Regular"/>
          <w:color w:val="000000"/>
        </w:rPr>
        <w:t>et le 7</w:t>
      </w:r>
      <w:r>
        <w:rPr>
          <w:rFonts w:ascii="TwCenMT-Regular" w:hAnsi="TwCenMT-Regular" w:cs="TwCenMT-Regular"/>
          <w:color w:val="000000"/>
          <w:sz w:val="14"/>
          <w:szCs w:val="14"/>
        </w:rPr>
        <w:t xml:space="preserve">ème </w:t>
      </w:r>
      <w:r>
        <w:rPr>
          <w:rFonts w:ascii="TwCenMT-Regular" w:hAnsi="TwCenMT-Regular" w:cs="TwCenMT-Regular"/>
          <w:color w:val="000000"/>
        </w:rPr>
        <w:t>mois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Les crises toniques et les crises atoniques sont évocatrices</w:t>
      </w:r>
    </w:p>
    <w:p w:rsidR="00A24010" w:rsidRDefault="00A24010" w:rsidP="003745AA">
      <w:pPr>
        <w:autoSpaceDE w:val="0"/>
        <w:autoSpaceDN w:val="0"/>
        <w:adjustRightInd w:val="0"/>
        <w:spacing w:after="0" w:line="360" w:lineRule="auto"/>
        <w:rPr>
          <w:rFonts w:ascii="TwCenMT-Regular" w:hAnsi="TwCenMT-Regular" w:cs="TwCenMT-Regular"/>
          <w:color w:val="000000"/>
        </w:rPr>
      </w:pPr>
    </w:p>
    <w:p w:rsidR="003745AA" w:rsidRDefault="003745AA" w:rsidP="00A24010">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40. Parmi les éti</w:t>
      </w:r>
      <w:r w:rsidR="00A24010">
        <w:rPr>
          <w:rFonts w:ascii="TwCenMT-Bold" w:hAnsi="TwCenMT-Bold" w:cs="TwCenMT-Bold"/>
          <w:b/>
          <w:bCs/>
          <w:color w:val="000000"/>
        </w:rPr>
        <w:t xml:space="preserve">ologies sous citées, lesquelles </w:t>
      </w:r>
      <w:proofErr w:type="gramStart"/>
      <w:r>
        <w:rPr>
          <w:rFonts w:ascii="TwCenMT-Bold" w:hAnsi="TwCenMT-Bold" w:cs="TwCenMT-Bold"/>
          <w:b/>
          <w:bCs/>
          <w:color w:val="000000"/>
        </w:rPr>
        <w:t>comportent</w:t>
      </w:r>
      <w:proofErr w:type="gramEnd"/>
      <w:r>
        <w:rPr>
          <w:rFonts w:ascii="TwCenMT-Bold" w:hAnsi="TwCenMT-Bold" w:cs="TwCenMT-Bold"/>
          <w:b/>
          <w:bCs/>
          <w:color w:val="000000"/>
        </w:rPr>
        <w:t xml:space="preserve"> des crises focales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Les intoxications aux antidépresseurs tricycliques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Les encéphalites herpétiques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Les méningiomes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L'hypertension intracrânienne idiopathique</w:t>
      </w:r>
    </w:p>
    <w:p w:rsidR="00A24010"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w:t>
      </w:r>
      <w:r w:rsidR="00A24010">
        <w:rPr>
          <w:rFonts w:ascii="TwCenMT-Regular" w:hAnsi="TwCenMT-Regular" w:cs="TwCenMT-Regular"/>
          <w:color w:val="000000"/>
        </w:rPr>
        <w:t>. Les hypocalcémies</w:t>
      </w:r>
    </w:p>
    <w:p w:rsidR="00A24010" w:rsidRDefault="00A24010" w:rsidP="00A24010">
      <w:pPr>
        <w:autoSpaceDE w:val="0"/>
        <w:autoSpaceDN w:val="0"/>
        <w:adjustRightInd w:val="0"/>
        <w:spacing w:after="0" w:line="360" w:lineRule="auto"/>
        <w:rPr>
          <w:rFonts w:ascii="TwCenMT-Regular" w:hAnsi="TwCenMT-Regular" w:cs="TwCenMT-Regular"/>
          <w:color w:val="000000"/>
        </w:rPr>
      </w:pPr>
    </w:p>
    <w:p w:rsidR="003745AA" w:rsidRPr="00A24010" w:rsidRDefault="003745AA" w:rsidP="00A24010">
      <w:pPr>
        <w:autoSpaceDE w:val="0"/>
        <w:autoSpaceDN w:val="0"/>
        <w:adjustRightInd w:val="0"/>
        <w:spacing w:after="0" w:line="360" w:lineRule="auto"/>
        <w:rPr>
          <w:rFonts w:ascii="TwCenMT-Regular" w:hAnsi="TwCenMT-Regular" w:cs="TwCenMT-Regular"/>
          <w:color w:val="000000"/>
        </w:rPr>
      </w:pPr>
      <w:r>
        <w:rPr>
          <w:rFonts w:ascii="TwCenMT-Bold" w:hAnsi="TwCenMT-Bold" w:cs="TwCenMT-Bold"/>
          <w:b/>
          <w:bCs/>
          <w:color w:val="000000"/>
        </w:rPr>
        <w:t xml:space="preserve">41. En cas de désir de </w:t>
      </w:r>
      <w:r w:rsidR="00A24010">
        <w:rPr>
          <w:rFonts w:ascii="TwCenMT-Bold" w:hAnsi="TwCenMT-Bold" w:cs="TwCenMT-Bold"/>
          <w:b/>
          <w:bCs/>
          <w:color w:val="000000"/>
        </w:rPr>
        <w:t>grossesse, chez une épileptique connue i</w:t>
      </w:r>
      <w:r>
        <w:rPr>
          <w:rFonts w:ascii="TwCenMT-Bold" w:hAnsi="TwCenMT-Bold" w:cs="TwCenMT-Bold"/>
          <w:b/>
          <w:bCs/>
          <w:color w:val="000000"/>
        </w:rPr>
        <w:t>l faut:</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Réduire la dose du médicament antiépileptique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Arrêter le médicament antiépileptique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C. Favorisée la prescription du </w:t>
      </w:r>
      <w:proofErr w:type="spellStart"/>
      <w:r>
        <w:rPr>
          <w:rFonts w:ascii="TwCenMT-Regular" w:hAnsi="TwCenMT-Regular" w:cs="TwCenMT-Regular"/>
          <w:color w:val="000000"/>
        </w:rPr>
        <w:t>lamictal</w:t>
      </w:r>
      <w:proofErr w:type="spellEnd"/>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Faire une supplémentation en acide folique</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Evi</w:t>
      </w:r>
      <w:r w:rsidR="00A24010">
        <w:rPr>
          <w:rFonts w:ascii="TwCenMT-Regular" w:hAnsi="TwCenMT-Regular" w:cs="TwCenMT-Regular"/>
          <w:color w:val="000000"/>
        </w:rPr>
        <w:t xml:space="preserve">ter la prescription du </w:t>
      </w:r>
      <w:proofErr w:type="spellStart"/>
      <w:r w:rsidR="00A24010">
        <w:rPr>
          <w:rFonts w:ascii="TwCenMT-Regular" w:hAnsi="TwCenMT-Regular" w:cs="TwCenMT-Regular"/>
          <w:color w:val="000000"/>
        </w:rPr>
        <w:t>Dépakine</w:t>
      </w:r>
      <w:proofErr w:type="spellEnd"/>
    </w:p>
    <w:p w:rsidR="00A24010" w:rsidRPr="00A24010" w:rsidRDefault="00A24010" w:rsidP="00A24010">
      <w:pPr>
        <w:autoSpaceDE w:val="0"/>
        <w:autoSpaceDN w:val="0"/>
        <w:adjustRightInd w:val="0"/>
        <w:spacing w:after="0" w:line="360" w:lineRule="auto"/>
        <w:rPr>
          <w:rFonts w:ascii="TwCenMT-Regular" w:hAnsi="TwCenMT-Regular" w:cs="TwCenMT-Regular"/>
          <w:color w:val="000000"/>
        </w:rPr>
      </w:pPr>
    </w:p>
    <w:p w:rsidR="003745AA" w:rsidRDefault="003745AA" w:rsidP="00A24010">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42. Parmi les crises</w:t>
      </w:r>
      <w:r w:rsidR="00A24010">
        <w:rPr>
          <w:rFonts w:ascii="TwCenMT-Bold" w:hAnsi="TwCenMT-Bold" w:cs="TwCenMT-Bold"/>
          <w:b/>
          <w:bCs/>
          <w:color w:val="000000"/>
        </w:rPr>
        <w:t xml:space="preserve"> épileptiques généralisées sous </w:t>
      </w:r>
      <w:r>
        <w:rPr>
          <w:rFonts w:ascii="TwCenMT-Bold" w:hAnsi="TwCenMT-Bold" w:cs="TwCenMT-Bold"/>
          <w:b/>
          <w:bCs/>
          <w:color w:val="000000"/>
        </w:rPr>
        <w:t>citées, une ne comport</w:t>
      </w:r>
      <w:r w:rsidR="00A24010">
        <w:rPr>
          <w:rFonts w:ascii="TwCenMT-Bold" w:hAnsi="TwCenMT-Bold" w:cs="TwCenMT-Bold"/>
          <w:b/>
          <w:bCs/>
          <w:color w:val="000000"/>
        </w:rPr>
        <w:t xml:space="preserve">e pas de perte de connaissance, </w:t>
      </w:r>
      <w:r>
        <w:rPr>
          <w:rFonts w:ascii="TwCenMT-Bold" w:hAnsi="TwCenMT-Bold" w:cs="TwCenMT-Bold"/>
          <w:b/>
          <w:bCs/>
          <w:color w:val="000000"/>
        </w:rPr>
        <w:t>laquelle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A. Les crises généralisées </w:t>
      </w:r>
      <w:proofErr w:type="spellStart"/>
      <w:r>
        <w:rPr>
          <w:rFonts w:ascii="TwCenMT-Regular" w:hAnsi="TwCenMT-Regular" w:cs="TwCenMT-Regular"/>
          <w:color w:val="000000"/>
        </w:rPr>
        <w:t>tonico</w:t>
      </w:r>
      <w:proofErr w:type="spellEnd"/>
      <w:r>
        <w:rPr>
          <w:rFonts w:ascii="TwCenMT-Regular" w:hAnsi="TwCenMT-Regular" w:cs="TwCenMT-Regular"/>
          <w:color w:val="000000"/>
        </w:rPr>
        <w:t>-cloniques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Les crises toniques généralisées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Les myoclonies massives et bilatérales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Les crises d'absence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Les crises cloniques</w:t>
      </w:r>
    </w:p>
    <w:p w:rsidR="00A24010" w:rsidRDefault="00A24010" w:rsidP="003745AA">
      <w:pPr>
        <w:autoSpaceDE w:val="0"/>
        <w:autoSpaceDN w:val="0"/>
        <w:adjustRightInd w:val="0"/>
        <w:spacing w:after="0" w:line="360" w:lineRule="auto"/>
        <w:rPr>
          <w:rFonts w:ascii="TwCenMT-Regular" w:hAnsi="TwCenMT-Regular" w:cs="TwCenMT-Regular"/>
          <w:color w:val="000000"/>
        </w:rPr>
      </w:pPr>
    </w:p>
    <w:p w:rsidR="003745AA" w:rsidRDefault="003745AA" w:rsidP="00A24010">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43. Quelles sont (quel est) les principaux (le princip</w:t>
      </w:r>
      <w:r w:rsidR="00A24010">
        <w:rPr>
          <w:rFonts w:ascii="TwCenMT-Bold" w:hAnsi="TwCenMT-Bold" w:cs="TwCenMT-Bold"/>
          <w:b/>
          <w:bCs/>
          <w:color w:val="000000"/>
        </w:rPr>
        <w:t xml:space="preserve">al) </w:t>
      </w:r>
      <w:r>
        <w:rPr>
          <w:rFonts w:ascii="TwCenMT-Bold" w:hAnsi="TwCenMT-Bold" w:cs="TwCenMT-Bold"/>
          <w:b/>
          <w:bCs/>
          <w:color w:val="000000"/>
        </w:rPr>
        <w:t>diagnostics différentie</w:t>
      </w:r>
      <w:r w:rsidR="00A24010">
        <w:rPr>
          <w:rFonts w:ascii="TwCenMT-Bold" w:hAnsi="TwCenMT-Bold" w:cs="TwCenMT-Bold"/>
          <w:b/>
          <w:bCs/>
          <w:color w:val="000000"/>
        </w:rPr>
        <w:t xml:space="preserve">ls devant une crise épileptique </w:t>
      </w:r>
      <w:r>
        <w:rPr>
          <w:rFonts w:ascii="TwCenMT-Bold" w:hAnsi="TwCenMT-Bold" w:cs="TwCenMT-Bold"/>
          <w:b/>
          <w:bCs/>
          <w:color w:val="000000"/>
        </w:rPr>
        <w:t>focale sans altération de la conscience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Un accident vasculaire cérébral ischémique constitué</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Une crise de migraine avec aura</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C. Les syncopes</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 xml:space="preserve">D. Des </w:t>
      </w:r>
      <w:proofErr w:type="spellStart"/>
      <w:r>
        <w:rPr>
          <w:rFonts w:ascii="TwCenMT-Regular" w:hAnsi="TwCenMT-Regular" w:cs="TwCenMT-Regular"/>
          <w:color w:val="000000"/>
        </w:rPr>
        <w:t>parasomnies</w:t>
      </w:r>
      <w:proofErr w:type="spellEnd"/>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Une crise d'angoisse</w:t>
      </w:r>
    </w:p>
    <w:p w:rsidR="00A24010" w:rsidRDefault="00A24010" w:rsidP="003745AA">
      <w:pPr>
        <w:autoSpaceDE w:val="0"/>
        <w:autoSpaceDN w:val="0"/>
        <w:adjustRightInd w:val="0"/>
        <w:spacing w:after="0" w:line="360" w:lineRule="auto"/>
        <w:rPr>
          <w:rFonts w:ascii="TwCenMT-Regular" w:hAnsi="TwCenMT-Regular" w:cs="TwCenMT-Regular"/>
          <w:color w:val="000000"/>
        </w:rPr>
      </w:pPr>
    </w:p>
    <w:p w:rsidR="003745AA" w:rsidRDefault="003745AA" w:rsidP="003745AA">
      <w:pPr>
        <w:autoSpaceDE w:val="0"/>
        <w:autoSpaceDN w:val="0"/>
        <w:adjustRightInd w:val="0"/>
        <w:spacing w:after="0" w:line="360" w:lineRule="auto"/>
        <w:rPr>
          <w:rFonts w:ascii="TwCenMT-Bold" w:hAnsi="TwCenMT-Bold" w:cs="TwCenMT-Bold"/>
          <w:b/>
          <w:bCs/>
          <w:color w:val="000000"/>
        </w:rPr>
      </w:pPr>
      <w:r>
        <w:rPr>
          <w:rFonts w:ascii="TwCenMT-Bold" w:hAnsi="TwCenMT-Bold" w:cs="TwCenMT-Bold"/>
          <w:b/>
          <w:bCs/>
          <w:color w:val="000000"/>
        </w:rPr>
        <w:t xml:space="preserve">44. L’épilepsie à paroxysmes </w:t>
      </w:r>
      <w:proofErr w:type="spellStart"/>
      <w:r>
        <w:rPr>
          <w:rFonts w:ascii="TwCenMT-Bold" w:hAnsi="TwCenMT-Bold" w:cs="TwCenMT-Bold"/>
          <w:b/>
          <w:bCs/>
          <w:color w:val="000000"/>
        </w:rPr>
        <w:t>rolandique</w:t>
      </w:r>
      <w:proofErr w:type="spellEnd"/>
      <w:r>
        <w:rPr>
          <w:rFonts w:ascii="TwCenMT-Bold" w:hAnsi="TwCenMT-Bold" w:cs="TwCenMT-Bold"/>
          <w:b/>
          <w:bCs/>
          <w:color w:val="000000"/>
        </w:rPr>
        <w:t xml:space="preserve"> :</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A. Est rare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B. Est une forme sévère de l'épilepsie de l'enfant</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lastRenderedPageBreak/>
        <w:t>C. Comporte des cris</w:t>
      </w:r>
      <w:r w:rsidR="00A24010">
        <w:rPr>
          <w:rFonts w:ascii="TwCenMT-Regular" w:hAnsi="TwCenMT-Regular" w:cs="TwCenMT-Regular"/>
          <w:color w:val="000000"/>
        </w:rPr>
        <w:t xml:space="preserve">es épileptiques qui surviennent </w:t>
      </w:r>
      <w:r>
        <w:rPr>
          <w:rFonts w:ascii="TwCenMT-Regular" w:hAnsi="TwCenMT-Regular" w:cs="TwCenMT-Regular"/>
          <w:color w:val="000000"/>
        </w:rPr>
        <w:t>principalement durant le jour</w:t>
      </w:r>
    </w:p>
    <w:p w:rsidR="003745AA" w:rsidRDefault="003745AA" w:rsidP="00A24010">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D. Peut-être secondaire à une lésio</w:t>
      </w:r>
      <w:r w:rsidR="00A24010">
        <w:rPr>
          <w:rFonts w:ascii="TwCenMT-Regular" w:hAnsi="TwCenMT-Regular" w:cs="TwCenMT-Regular"/>
          <w:color w:val="000000"/>
        </w:rPr>
        <w:t xml:space="preserve">n au niveau de l'air </w:t>
      </w:r>
      <w:r>
        <w:rPr>
          <w:rFonts w:ascii="TwCenMT-Regular" w:hAnsi="TwCenMT-Regular" w:cs="TwCenMT-Regular"/>
          <w:color w:val="000000"/>
        </w:rPr>
        <w:t>motrice</w:t>
      </w:r>
    </w:p>
    <w:p w:rsidR="003745AA" w:rsidRDefault="003745AA" w:rsidP="003745AA">
      <w:pPr>
        <w:autoSpaceDE w:val="0"/>
        <w:autoSpaceDN w:val="0"/>
        <w:adjustRightInd w:val="0"/>
        <w:spacing w:after="0" w:line="360" w:lineRule="auto"/>
        <w:rPr>
          <w:rFonts w:ascii="TwCenMT-Regular" w:hAnsi="TwCenMT-Regular" w:cs="TwCenMT-Regular"/>
          <w:color w:val="000000"/>
        </w:rPr>
      </w:pPr>
      <w:r>
        <w:rPr>
          <w:rFonts w:ascii="TwCenMT-Regular" w:hAnsi="TwCenMT-Regular" w:cs="TwCenMT-Regular"/>
          <w:color w:val="000000"/>
        </w:rPr>
        <w:t>E. Survient entre 3 et 13 ans</w:t>
      </w:r>
    </w:p>
    <w:p w:rsidR="0033736E" w:rsidRDefault="0033736E" w:rsidP="00A24010"/>
    <w:p w:rsidR="00A24010" w:rsidRDefault="00A24010" w:rsidP="00A24010">
      <w:pPr>
        <w:rPr>
          <w:b/>
          <w:bCs/>
          <w:sz w:val="28"/>
          <w:szCs w:val="28"/>
        </w:rPr>
      </w:pPr>
      <w:bookmarkStart w:id="0" w:name="_GoBack"/>
      <w:bookmarkEnd w:id="0"/>
      <w:r w:rsidRPr="00A24010">
        <w:rPr>
          <w:b/>
          <w:bCs/>
          <w:sz w:val="28"/>
          <w:szCs w:val="28"/>
        </w:rPr>
        <w:t xml:space="preserve">Réponses : </w:t>
      </w:r>
    </w:p>
    <w:p w:rsidR="00A24010" w:rsidRPr="0033736E" w:rsidRDefault="00A24010" w:rsidP="00A24010">
      <w:pPr>
        <w:pStyle w:val="Paragraphedeliste"/>
        <w:numPr>
          <w:ilvl w:val="0"/>
          <w:numId w:val="1"/>
        </w:numPr>
        <w:rPr>
          <w:sz w:val="28"/>
          <w:szCs w:val="28"/>
        </w:rPr>
      </w:pPr>
      <w:r w:rsidRPr="0033736E">
        <w:rPr>
          <w:sz w:val="28"/>
          <w:szCs w:val="28"/>
        </w:rPr>
        <w:t>D</w:t>
      </w:r>
    </w:p>
    <w:p w:rsidR="00A24010" w:rsidRPr="0033736E" w:rsidRDefault="00A24010" w:rsidP="00A24010">
      <w:pPr>
        <w:pStyle w:val="Paragraphedeliste"/>
        <w:numPr>
          <w:ilvl w:val="0"/>
          <w:numId w:val="1"/>
        </w:numPr>
        <w:rPr>
          <w:sz w:val="28"/>
          <w:szCs w:val="28"/>
        </w:rPr>
      </w:pPr>
      <w:r w:rsidRPr="0033736E">
        <w:rPr>
          <w:sz w:val="28"/>
          <w:szCs w:val="28"/>
        </w:rPr>
        <w:t>ABCE</w:t>
      </w:r>
    </w:p>
    <w:p w:rsidR="00A24010" w:rsidRPr="0033736E" w:rsidRDefault="00A24010" w:rsidP="00A24010">
      <w:pPr>
        <w:pStyle w:val="Paragraphedeliste"/>
        <w:numPr>
          <w:ilvl w:val="0"/>
          <w:numId w:val="1"/>
        </w:numPr>
        <w:rPr>
          <w:sz w:val="28"/>
          <w:szCs w:val="28"/>
        </w:rPr>
      </w:pPr>
      <w:r w:rsidRPr="0033736E">
        <w:rPr>
          <w:sz w:val="28"/>
          <w:szCs w:val="28"/>
        </w:rPr>
        <w:t>D</w:t>
      </w:r>
    </w:p>
    <w:p w:rsidR="00A24010" w:rsidRPr="0033736E" w:rsidRDefault="0033736E" w:rsidP="00A24010">
      <w:pPr>
        <w:pStyle w:val="Paragraphedeliste"/>
        <w:numPr>
          <w:ilvl w:val="0"/>
          <w:numId w:val="1"/>
        </w:numPr>
        <w:rPr>
          <w:sz w:val="28"/>
          <w:szCs w:val="28"/>
        </w:rPr>
      </w:pPr>
      <w:r w:rsidRPr="0033736E">
        <w:rPr>
          <w:sz w:val="28"/>
          <w:szCs w:val="28"/>
        </w:rPr>
        <w:t>BD</w:t>
      </w:r>
    </w:p>
    <w:p w:rsidR="0033736E" w:rsidRPr="0033736E" w:rsidRDefault="0033736E" w:rsidP="00A24010">
      <w:pPr>
        <w:pStyle w:val="Paragraphedeliste"/>
        <w:numPr>
          <w:ilvl w:val="0"/>
          <w:numId w:val="1"/>
        </w:numPr>
        <w:rPr>
          <w:sz w:val="28"/>
          <w:szCs w:val="28"/>
        </w:rPr>
      </w:pPr>
      <w:r w:rsidRPr="0033736E">
        <w:rPr>
          <w:sz w:val="28"/>
          <w:szCs w:val="28"/>
        </w:rPr>
        <w:t>BE</w:t>
      </w:r>
    </w:p>
    <w:p w:rsidR="0033736E" w:rsidRPr="0033736E" w:rsidRDefault="0033736E" w:rsidP="00A24010">
      <w:pPr>
        <w:pStyle w:val="Paragraphedeliste"/>
        <w:numPr>
          <w:ilvl w:val="0"/>
          <w:numId w:val="1"/>
        </w:numPr>
        <w:rPr>
          <w:sz w:val="28"/>
          <w:szCs w:val="28"/>
        </w:rPr>
      </w:pPr>
      <w:r w:rsidRPr="0033736E">
        <w:rPr>
          <w:sz w:val="28"/>
          <w:szCs w:val="28"/>
        </w:rPr>
        <w:t>C</w:t>
      </w:r>
    </w:p>
    <w:p w:rsidR="0033736E" w:rsidRPr="0033736E" w:rsidRDefault="0033736E" w:rsidP="00A24010">
      <w:pPr>
        <w:pStyle w:val="Paragraphedeliste"/>
        <w:numPr>
          <w:ilvl w:val="0"/>
          <w:numId w:val="1"/>
        </w:numPr>
        <w:rPr>
          <w:sz w:val="28"/>
          <w:szCs w:val="28"/>
        </w:rPr>
      </w:pPr>
      <w:r w:rsidRPr="0033736E">
        <w:rPr>
          <w:sz w:val="28"/>
          <w:szCs w:val="28"/>
        </w:rPr>
        <w:t>E</w:t>
      </w:r>
    </w:p>
    <w:p w:rsidR="0033736E" w:rsidRPr="0033736E" w:rsidRDefault="0033736E" w:rsidP="00A24010">
      <w:pPr>
        <w:pStyle w:val="Paragraphedeliste"/>
        <w:numPr>
          <w:ilvl w:val="0"/>
          <w:numId w:val="1"/>
        </w:numPr>
        <w:rPr>
          <w:sz w:val="28"/>
          <w:szCs w:val="28"/>
        </w:rPr>
      </w:pPr>
      <w:r w:rsidRPr="0033736E">
        <w:rPr>
          <w:sz w:val="28"/>
          <w:szCs w:val="28"/>
        </w:rPr>
        <w:t>AB</w:t>
      </w:r>
    </w:p>
    <w:p w:rsidR="0033736E" w:rsidRPr="0033736E" w:rsidRDefault="0033736E" w:rsidP="00A24010">
      <w:pPr>
        <w:pStyle w:val="Paragraphedeliste"/>
        <w:numPr>
          <w:ilvl w:val="0"/>
          <w:numId w:val="1"/>
        </w:numPr>
        <w:rPr>
          <w:sz w:val="28"/>
          <w:szCs w:val="28"/>
        </w:rPr>
      </w:pPr>
      <w:r w:rsidRPr="0033736E">
        <w:rPr>
          <w:sz w:val="28"/>
          <w:szCs w:val="28"/>
        </w:rPr>
        <w:t>ABC</w:t>
      </w:r>
    </w:p>
    <w:p w:rsidR="0033736E" w:rsidRPr="0033736E" w:rsidRDefault="0033736E" w:rsidP="00A24010">
      <w:pPr>
        <w:pStyle w:val="Paragraphedeliste"/>
        <w:numPr>
          <w:ilvl w:val="0"/>
          <w:numId w:val="1"/>
        </w:numPr>
        <w:rPr>
          <w:sz w:val="28"/>
          <w:szCs w:val="28"/>
        </w:rPr>
      </w:pPr>
      <w:r w:rsidRPr="0033736E">
        <w:rPr>
          <w:sz w:val="28"/>
          <w:szCs w:val="28"/>
        </w:rPr>
        <w:t>ABC</w:t>
      </w:r>
    </w:p>
    <w:p w:rsidR="0033736E" w:rsidRPr="0033736E" w:rsidRDefault="0033736E" w:rsidP="00A24010">
      <w:pPr>
        <w:pStyle w:val="Paragraphedeliste"/>
        <w:numPr>
          <w:ilvl w:val="0"/>
          <w:numId w:val="1"/>
        </w:numPr>
        <w:rPr>
          <w:sz w:val="28"/>
          <w:szCs w:val="28"/>
        </w:rPr>
      </w:pPr>
      <w:r w:rsidRPr="0033736E">
        <w:rPr>
          <w:sz w:val="28"/>
          <w:szCs w:val="28"/>
        </w:rPr>
        <w:t>BCD</w:t>
      </w:r>
    </w:p>
    <w:p w:rsidR="0033736E" w:rsidRPr="0033736E" w:rsidRDefault="0033736E" w:rsidP="00A24010">
      <w:pPr>
        <w:pStyle w:val="Paragraphedeliste"/>
        <w:numPr>
          <w:ilvl w:val="0"/>
          <w:numId w:val="1"/>
        </w:numPr>
        <w:rPr>
          <w:sz w:val="28"/>
          <w:szCs w:val="28"/>
        </w:rPr>
      </w:pPr>
      <w:r w:rsidRPr="0033736E">
        <w:rPr>
          <w:sz w:val="28"/>
          <w:szCs w:val="28"/>
        </w:rPr>
        <w:t>BDE</w:t>
      </w:r>
    </w:p>
    <w:p w:rsidR="0033736E" w:rsidRPr="0033736E" w:rsidRDefault="0033736E" w:rsidP="00A24010">
      <w:pPr>
        <w:pStyle w:val="Paragraphedeliste"/>
        <w:numPr>
          <w:ilvl w:val="0"/>
          <w:numId w:val="1"/>
        </w:numPr>
        <w:rPr>
          <w:sz w:val="28"/>
          <w:szCs w:val="28"/>
        </w:rPr>
      </w:pPr>
      <w:r w:rsidRPr="0033736E">
        <w:rPr>
          <w:sz w:val="28"/>
          <w:szCs w:val="28"/>
        </w:rPr>
        <w:t>ABE</w:t>
      </w:r>
    </w:p>
    <w:p w:rsidR="0033736E" w:rsidRPr="0033736E" w:rsidRDefault="0033736E" w:rsidP="00A24010">
      <w:pPr>
        <w:pStyle w:val="Paragraphedeliste"/>
        <w:numPr>
          <w:ilvl w:val="0"/>
          <w:numId w:val="1"/>
        </w:numPr>
        <w:rPr>
          <w:sz w:val="28"/>
          <w:szCs w:val="28"/>
        </w:rPr>
      </w:pPr>
      <w:r w:rsidRPr="0033736E">
        <w:rPr>
          <w:sz w:val="28"/>
          <w:szCs w:val="28"/>
        </w:rPr>
        <w:t>D</w:t>
      </w:r>
    </w:p>
    <w:p w:rsidR="0033736E" w:rsidRPr="0033736E" w:rsidRDefault="0033736E" w:rsidP="00A24010">
      <w:pPr>
        <w:pStyle w:val="Paragraphedeliste"/>
        <w:numPr>
          <w:ilvl w:val="0"/>
          <w:numId w:val="1"/>
        </w:numPr>
        <w:rPr>
          <w:sz w:val="28"/>
          <w:szCs w:val="28"/>
        </w:rPr>
      </w:pPr>
      <w:r w:rsidRPr="0033736E">
        <w:rPr>
          <w:sz w:val="28"/>
          <w:szCs w:val="28"/>
        </w:rPr>
        <w:t>C</w:t>
      </w:r>
    </w:p>
    <w:p w:rsidR="0033736E" w:rsidRPr="0033736E" w:rsidRDefault="0033736E" w:rsidP="00A24010">
      <w:pPr>
        <w:pStyle w:val="Paragraphedeliste"/>
        <w:numPr>
          <w:ilvl w:val="0"/>
          <w:numId w:val="1"/>
        </w:numPr>
        <w:rPr>
          <w:sz w:val="28"/>
          <w:szCs w:val="28"/>
        </w:rPr>
      </w:pPr>
      <w:r w:rsidRPr="0033736E">
        <w:rPr>
          <w:sz w:val="28"/>
          <w:szCs w:val="28"/>
        </w:rPr>
        <w:t>CD</w:t>
      </w:r>
    </w:p>
    <w:p w:rsidR="0033736E" w:rsidRPr="0033736E" w:rsidRDefault="0033736E" w:rsidP="00A24010">
      <w:pPr>
        <w:pStyle w:val="Paragraphedeliste"/>
        <w:numPr>
          <w:ilvl w:val="0"/>
          <w:numId w:val="1"/>
        </w:numPr>
        <w:rPr>
          <w:sz w:val="28"/>
          <w:szCs w:val="28"/>
        </w:rPr>
      </w:pPr>
      <w:r w:rsidRPr="0033736E">
        <w:rPr>
          <w:sz w:val="28"/>
          <w:szCs w:val="28"/>
        </w:rPr>
        <w:t>A</w:t>
      </w:r>
    </w:p>
    <w:p w:rsidR="0033736E" w:rsidRPr="0033736E" w:rsidRDefault="0033736E" w:rsidP="00A24010">
      <w:pPr>
        <w:pStyle w:val="Paragraphedeliste"/>
        <w:numPr>
          <w:ilvl w:val="0"/>
          <w:numId w:val="1"/>
        </w:numPr>
        <w:rPr>
          <w:sz w:val="28"/>
          <w:szCs w:val="28"/>
        </w:rPr>
      </w:pPr>
      <w:r w:rsidRPr="0033736E">
        <w:rPr>
          <w:sz w:val="28"/>
          <w:szCs w:val="28"/>
        </w:rPr>
        <w:t>ABDE</w:t>
      </w:r>
    </w:p>
    <w:p w:rsidR="0033736E" w:rsidRPr="0033736E" w:rsidRDefault="0033736E" w:rsidP="00A24010">
      <w:pPr>
        <w:pStyle w:val="Paragraphedeliste"/>
        <w:numPr>
          <w:ilvl w:val="0"/>
          <w:numId w:val="1"/>
        </w:numPr>
        <w:rPr>
          <w:sz w:val="28"/>
          <w:szCs w:val="28"/>
        </w:rPr>
      </w:pPr>
      <w:r w:rsidRPr="0033736E">
        <w:rPr>
          <w:sz w:val="28"/>
          <w:szCs w:val="28"/>
        </w:rPr>
        <w:t>ACE</w:t>
      </w:r>
    </w:p>
    <w:p w:rsidR="0033736E" w:rsidRPr="0033736E" w:rsidRDefault="0033736E" w:rsidP="00A24010">
      <w:pPr>
        <w:pStyle w:val="Paragraphedeliste"/>
        <w:numPr>
          <w:ilvl w:val="0"/>
          <w:numId w:val="1"/>
        </w:numPr>
        <w:rPr>
          <w:sz w:val="28"/>
          <w:szCs w:val="28"/>
        </w:rPr>
      </w:pPr>
      <w:r w:rsidRPr="0033736E">
        <w:rPr>
          <w:sz w:val="28"/>
          <w:szCs w:val="28"/>
        </w:rPr>
        <w:t>D</w:t>
      </w:r>
    </w:p>
    <w:p w:rsidR="0033736E" w:rsidRPr="0033736E" w:rsidRDefault="0033736E" w:rsidP="00A24010">
      <w:pPr>
        <w:pStyle w:val="Paragraphedeliste"/>
        <w:numPr>
          <w:ilvl w:val="0"/>
          <w:numId w:val="1"/>
        </w:numPr>
        <w:rPr>
          <w:sz w:val="28"/>
          <w:szCs w:val="28"/>
        </w:rPr>
      </w:pPr>
      <w:r w:rsidRPr="0033736E">
        <w:rPr>
          <w:sz w:val="28"/>
          <w:szCs w:val="28"/>
        </w:rPr>
        <w:t>BE</w:t>
      </w:r>
    </w:p>
    <w:p w:rsidR="0033736E" w:rsidRPr="0033736E" w:rsidRDefault="0033736E" w:rsidP="00A24010">
      <w:pPr>
        <w:pStyle w:val="Paragraphedeliste"/>
        <w:numPr>
          <w:ilvl w:val="0"/>
          <w:numId w:val="1"/>
        </w:numPr>
        <w:rPr>
          <w:sz w:val="28"/>
          <w:szCs w:val="28"/>
        </w:rPr>
      </w:pPr>
      <w:r w:rsidRPr="0033736E">
        <w:rPr>
          <w:sz w:val="28"/>
          <w:szCs w:val="28"/>
        </w:rPr>
        <w:t>C</w:t>
      </w:r>
    </w:p>
    <w:p w:rsidR="0033736E" w:rsidRPr="0033736E" w:rsidRDefault="0033736E" w:rsidP="00A24010">
      <w:pPr>
        <w:pStyle w:val="Paragraphedeliste"/>
        <w:numPr>
          <w:ilvl w:val="0"/>
          <w:numId w:val="1"/>
        </w:numPr>
        <w:rPr>
          <w:sz w:val="28"/>
          <w:szCs w:val="28"/>
        </w:rPr>
      </w:pPr>
      <w:r w:rsidRPr="0033736E">
        <w:rPr>
          <w:sz w:val="28"/>
          <w:szCs w:val="28"/>
        </w:rPr>
        <w:t>AE</w:t>
      </w:r>
    </w:p>
    <w:p w:rsidR="0033736E" w:rsidRPr="0033736E" w:rsidRDefault="0033736E" w:rsidP="00A24010">
      <w:pPr>
        <w:pStyle w:val="Paragraphedeliste"/>
        <w:numPr>
          <w:ilvl w:val="0"/>
          <w:numId w:val="1"/>
        </w:numPr>
        <w:rPr>
          <w:sz w:val="28"/>
          <w:szCs w:val="28"/>
        </w:rPr>
      </w:pPr>
      <w:r w:rsidRPr="0033736E">
        <w:rPr>
          <w:sz w:val="28"/>
          <w:szCs w:val="28"/>
        </w:rPr>
        <w:t>B</w:t>
      </w:r>
    </w:p>
    <w:p w:rsidR="0033736E" w:rsidRPr="0033736E" w:rsidRDefault="0033736E" w:rsidP="00A24010">
      <w:pPr>
        <w:pStyle w:val="Paragraphedeliste"/>
        <w:numPr>
          <w:ilvl w:val="0"/>
          <w:numId w:val="1"/>
        </w:numPr>
        <w:rPr>
          <w:sz w:val="28"/>
          <w:szCs w:val="28"/>
        </w:rPr>
      </w:pPr>
      <w:r w:rsidRPr="0033736E">
        <w:rPr>
          <w:sz w:val="28"/>
          <w:szCs w:val="28"/>
        </w:rPr>
        <w:t>E</w:t>
      </w:r>
    </w:p>
    <w:p w:rsidR="0033736E" w:rsidRPr="0033736E" w:rsidRDefault="0033736E" w:rsidP="00A24010">
      <w:pPr>
        <w:pStyle w:val="Paragraphedeliste"/>
        <w:numPr>
          <w:ilvl w:val="0"/>
          <w:numId w:val="1"/>
        </w:numPr>
        <w:rPr>
          <w:sz w:val="28"/>
          <w:szCs w:val="28"/>
        </w:rPr>
      </w:pPr>
      <w:r w:rsidRPr="0033736E">
        <w:rPr>
          <w:sz w:val="28"/>
          <w:szCs w:val="28"/>
        </w:rPr>
        <w:t>E</w:t>
      </w:r>
    </w:p>
    <w:p w:rsidR="0033736E" w:rsidRPr="0033736E" w:rsidRDefault="0033736E" w:rsidP="00A24010">
      <w:pPr>
        <w:pStyle w:val="Paragraphedeliste"/>
        <w:numPr>
          <w:ilvl w:val="0"/>
          <w:numId w:val="1"/>
        </w:numPr>
        <w:rPr>
          <w:sz w:val="28"/>
          <w:szCs w:val="28"/>
        </w:rPr>
      </w:pPr>
      <w:r w:rsidRPr="0033736E">
        <w:rPr>
          <w:sz w:val="28"/>
          <w:szCs w:val="28"/>
        </w:rPr>
        <w:t>BCE</w:t>
      </w:r>
    </w:p>
    <w:p w:rsidR="0033736E" w:rsidRPr="0033736E" w:rsidRDefault="0033736E" w:rsidP="00A24010">
      <w:pPr>
        <w:pStyle w:val="Paragraphedeliste"/>
        <w:numPr>
          <w:ilvl w:val="0"/>
          <w:numId w:val="1"/>
        </w:numPr>
        <w:rPr>
          <w:sz w:val="28"/>
          <w:szCs w:val="28"/>
        </w:rPr>
      </w:pPr>
      <w:r w:rsidRPr="0033736E">
        <w:rPr>
          <w:sz w:val="28"/>
          <w:szCs w:val="28"/>
        </w:rPr>
        <w:t>CE</w:t>
      </w:r>
    </w:p>
    <w:p w:rsidR="0033736E" w:rsidRPr="0033736E" w:rsidRDefault="0033736E" w:rsidP="00A24010">
      <w:pPr>
        <w:pStyle w:val="Paragraphedeliste"/>
        <w:numPr>
          <w:ilvl w:val="0"/>
          <w:numId w:val="1"/>
        </w:numPr>
        <w:rPr>
          <w:sz w:val="28"/>
          <w:szCs w:val="28"/>
        </w:rPr>
      </w:pPr>
      <w:r w:rsidRPr="0033736E">
        <w:rPr>
          <w:sz w:val="28"/>
          <w:szCs w:val="28"/>
        </w:rPr>
        <w:t>BC</w:t>
      </w:r>
    </w:p>
    <w:p w:rsidR="0033736E" w:rsidRPr="0033736E" w:rsidRDefault="0033736E" w:rsidP="00A24010">
      <w:pPr>
        <w:pStyle w:val="Paragraphedeliste"/>
        <w:numPr>
          <w:ilvl w:val="0"/>
          <w:numId w:val="1"/>
        </w:numPr>
        <w:rPr>
          <w:sz w:val="28"/>
          <w:szCs w:val="28"/>
        </w:rPr>
      </w:pPr>
      <w:r w:rsidRPr="0033736E">
        <w:rPr>
          <w:sz w:val="28"/>
          <w:szCs w:val="28"/>
        </w:rPr>
        <w:t>AD</w:t>
      </w:r>
    </w:p>
    <w:p w:rsidR="0033736E" w:rsidRPr="0033736E" w:rsidRDefault="0033736E" w:rsidP="00A24010">
      <w:pPr>
        <w:pStyle w:val="Paragraphedeliste"/>
        <w:numPr>
          <w:ilvl w:val="0"/>
          <w:numId w:val="1"/>
        </w:numPr>
        <w:rPr>
          <w:sz w:val="28"/>
          <w:szCs w:val="28"/>
        </w:rPr>
      </w:pPr>
      <w:r w:rsidRPr="0033736E">
        <w:rPr>
          <w:sz w:val="28"/>
          <w:szCs w:val="28"/>
        </w:rPr>
        <w:t>ABDE</w:t>
      </w:r>
    </w:p>
    <w:p w:rsidR="0033736E" w:rsidRPr="0033736E" w:rsidRDefault="0033736E" w:rsidP="00A24010">
      <w:pPr>
        <w:pStyle w:val="Paragraphedeliste"/>
        <w:numPr>
          <w:ilvl w:val="0"/>
          <w:numId w:val="1"/>
        </w:numPr>
        <w:rPr>
          <w:sz w:val="28"/>
          <w:szCs w:val="28"/>
        </w:rPr>
      </w:pPr>
      <w:r w:rsidRPr="0033736E">
        <w:rPr>
          <w:sz w:val="28"/>
          <w:szCs w:val="28"/>
        </w:rPr>
        <w:t>BE</w:t>
      </w:r>
    </w:p>
    <w:p w:rsidR="0033736E" w:rsidRPr="0033736E" w:rsidRDefault="0033736E" w:rsidP="00A24010">
      <w:pPr>
        <w:pStyle w:val="Paragraphedeliste"/>
        <w:numPr>
          <w:ilvl w:val="0"/>
          <w:numId w:val="1"/>
        </w:numPr>
        <w:rPr>
          <w:sz w:val="28"/>
          <w:szCs w:val="28"/>
        </w:rPr>
      </w:pPr>
      <w:r w:rsidRPr="0033736E">
        <w:rPr>
          <w:sz w:val="28"/>
          <w:szCs w:val="28"/>
        </w:rPr>
        <w:lastRenderedPageBreak/>
        <w:t>BD</w:t>
      </w:r>
    </w:p>
    <w:p w:rsidR="0033736E" w:rsidRPr="0033736E" w:rsidRDefault="0033736E" w:rsidP="00A24010">
      <w:pPr>
        <w:pStyle w:val="Paragraphedeliste"/>
        <w:numPr>
          <w:ilvl w:val="0"/>
          <w:numId w:val="1"/>
        </w:numPr>
        <w:rPr>
          <w:sz w:val="28"/>
          <w:szCs w:val="28"/>
        </w:rPr>
      </w:pPr>
      <w:r w:rsidRPr="0033736E">
        <w:rPr>
          <w:sz w:val="28"/>
          <w:szCs w:val="28"/>
        </w:rPr>
        <w:t>E</w:t>
      </w:r>
    </w:p>
    <w:p w:rsidR="0033736E" w:rsidRPr="0033736E" w:rsidRDefault="0033736E" w:rsidP="00A24010">
      <w:pPr>
        <w:pStyle w:val="Paragraphedeliste"/>
        <w:numPr>
          <w:ilvl w:val="0"/>
          <w:numId w:val="1"/>
        </w:numPr>
        <w:rPr>
          <w:sz w:val="28"/>
          <w:szCs w:val="28"/>
        </w:rPr>
      </w:pPr>
      <w:r w:rsidRPr="0033736E">
        <w:rPr>
          <w:sz w:val="28"/>
          <w:szCs w:val="28"/>
        </w:rPr>
        <w:t>AC</w:t>
      </w:r>
    </w:p>
    <w:p w:rsidR="0033736E" w:rsidRPr="0033736E" w:rsidRDefault="0033736E" w:rsidP="00A24010">
      <w:pPr>
        <w:pStyle w:val="Paragraphedeliste"/>
        <w:numPr>
          <w:ilvl w:val="0"/>
          <w:numId w:val="1"/>
        </w:numPr>
        <w:rPr>
          <w:sz w:val="28"/>
          <w:szCs w:val="28"/>
        </w:rPr>
      </w:pPr>
      <w:r w:rsidRPr="0033736E">
        <w:rPr>
          <w:sz w:val="28"/>
          <w:szCs w:val="28"/>
        </w:rPr>
        <w:t>AB</w:t>
      </w:r>
    </w:p>
    <w:p w:rsidR="0033736E" w:rsidRPr="0033736E" w:rsidRDefault="0033736E" w:rsidP="00A24010">
      <w:pPr>
        <w:pStyle w:val="Paragraphedeliste"/>
        <w:numPr>
          <w:ilvl w:val="0"/>
          <w:numId w:val="1"/>
        </w:numPr>
        <w:rPr>
          <w:sz w:val="28"/>
          <w:szCs w:val="28"/>
        </w:rPr>
      </w:pPr>
      <w:r w:rsidRPr="0033736E">
        <w:rPr>
          <w:sz w:val="28"/>
          <w:szCs w:val="28"/>
        </w:rPr>
        <w:t>A</w:t>
      </w:r>
    </w:p>
    <w:p w:rsidR="0033736E" w:rsidRPr="0033736E" w:rsidRDefault="0033736E" w:rsidP="00A24010">
      <w:pPr>
        <w:pStyle w:val="Paragraphedeliste"/>
        <w:numPr>
          <w:ilvl w:val="0"/>
          <w:numId w:val="1"/>
        </w:numPr>
        <w:rPr>
          <w:sz w:val="28"/>
          <w:szCs w:val="28"/>
        </w:rPr>
      </w:pPr>
      <w:r w:rsidRPr="0033736E">
        <w:rPr>
          <w:sz w:val="28"/>
          <w:szCs w:val="28"/>
        </w:rPr>
        <w:t>D</w:t>
      </w:r>
    </w:p>
    <w:p w:rsidR="0033736E" w:rsidRPr="0033736E" w:rsidRDefault="0033736E" w:rsidP="00A24010">
      <w:pPr>
        <w:pStyle w:val="Paragraphedeliste"/>
        <w:numPr>
          <w:ilvl w:val="0"/>
          <w:numId w:val="1"/>
        </w:numPr>
        <w:rPr>
          <w:sz w:val="28"/>
          <w:szCs w:val="28"/>
        </w:rPr>
      </w:pPr>
      <w:r w:rsidRPr="0033736E">
        <w:rPr>
          <w:sz w:val="28"/>
          <w:szCs w:val="28"/>
        </w:rPr>
        <w:t>E</w:t>
      </w:r>
    </w:p>
    <w:p w:rsidR="0033736E" w:rsidRPr="0033736E" w:rsidRDefault="0033736E" w:rsidP="00A24010">
      <w:pPr>
        <w:pStyle w:val="Paragraphedeliste"/>
        <w:numPr>
          <w:ilvl w:val="0"/>
          <w:numId w:val="1"/>
        </w:numPr>
        <w:rPr>
          <w:sz w:val="28"/>
          <w:szCs w:val="28"/>
        </w:rPr>
      </w:pPr>
      <w:r w:rsidRPr="0033736E">
        <w:rPr>
          <w:sz w:val="28"/>
          <w:szCs w:val="28"/>
        </w:rPr>
        <w:t>BC</w:t>
      </w:r>
    </w:p>
    <w:p w:rsidR="0033736E" w:rsidRPr="0033736E" w:rsidRDefault="0033736E" w:rsidP="00A24010">
      <w:pPr>
        <w:pStyle w:val="Paragraphedeliste"/>
        <w:numPr>
          <w:ilvl w:val="0"/>
          <w:numId w:val="1"/>
        </w:numPr>
        <w:rPr>
          <w:sz w:val="28"/>
          <w:szCs w:val="28"/>
        </w:rPr>
      </w:pPr>
      <w:r w:rsidRPr="0033736E">
        <w:rPr>
          <w:sz w:val="28"/>
          <w:szCs w:val="28"/>
        </w:rPr>
        <w:t>ACDE</w:t>
      </w:r>
    </w:p>
    <w:p w:rsidR="0033736E" w:rsidRPr="0033736E" w:rsidRDefault="0033736E" w:rsidP="00A24010">
      <w:pPr>
        <w:pStyle w:val="Paragraphedeliste"/>
        <w:numPr>
          <w:ilvl w:val="0"/>
          <w:numId w:val="1"/>
        </w:numPr>
        <w:rPr>
          <w:sz w:val="28"/>
          <w:szCs w:val="28"/>
        </w:rPr>
      </w:pPr>
      <w:r w:rsidRPr="0033736E">
        <w:rPr>
          <w:sz w:val="28"/>
          <w:szCs w:val="28"/>
        </w:rPr>
        <w:t>C</w:t>
      </w:r>
    </w:p>
    <w:p w:rsidR="0033736E" w:rsidRPr="0033736E" w:rsidRDefault="0033736E" w:rsidP="00A24010">
      <w:pPr>
        <w:pStyle w:val="Paragraphedeliste"/>
        <w:numPr>
          <w:ilvl w:val="0"/>
          <w:numId w:val="1"/>
        </w:numPr>
        <w:rPr>
          <w:sz w:val="28"/>
          <w:szCs w:val="28"/>
        </w:rPr>
      </w:pPr>
      <w:r w:rsidRPr="0033736E">
        <w:rPr>
          <w:sz w:val="28"/>
          <w:szCs w:val="28"/>
        </w:rPr>
        <w:t>C</w:t>
      </w:r>
    </w:p>
    <w:p w:rsidR="0033736E" w:rsidRPr="0033736E" w:rsidRDefault="0033736E" w:rsidP="00A24010">
      <w:pPr>
        <w:pStyle w:val="Paragraphedeliste"/>
        <w:numPr>
          <w:ilvl w:val="0"/>
          <w:numId w:val="1"/>
        </w:numPr>
        <w:rPr>
          <w:sz w:val="28"/>
          <w:szCs w:val="28"/>
        </w:rPr>
      </w:pPr>
      <w:r w:rsidRPr="0033736E">
        <w:rPr>
          <w:sz w:val="28"/>
          <w:szCs w:val="28"/>
        </w:rPr>
        <w:t>E</w:t>
      </w:r>
    </w:p>
    <w:p w:rsidR="00A24010" w:rsidRPr="0033736E" w:rsidRDefault="00A24010" w:rsidP="00A24010"/>
    <w:sectPr w:rsidR="00A24010" w:rsidRPr="003373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ourceSansPro-Black">
    <w:panose1 w:val="00000000000000000000"/>
    <w:charset w:val="00"/>
    <w:family w:val="auto"/>
    <w:notTrueType/>
    <w:pitch w:val="default"/>
    <w:sig w:usb0="00000003" w:usb1="00000000" w:usb2="00000000" w:usb3="00000000" w:csb0="00000001" w:csb1="00000000"/>
  </w:font>
  <w:font w:name="TwCenMT-Bold">
    <w:panose1 w:val="00000000000000000000"/>
    <w:charset w:val="00"/>
    <w:family w:val="auto"/>
    <w:notTrueType/>
    <w:pitch w:val="default"/>
    <w:sig w:usb0="00000003" w:usb1="00000000" w:usb2="00000000" w:usb3="00000000" w:csb0="00000001" w:csb1="00000000"/>
  </w:font>
  <w:font w:name="TwCenMT-Regular">
    <w:panose1 w:val="00000000000000000000"/>
    <w:charset w:val="00"/>
    <w:family w:val="auto"/>
    <w:notTrueType/>
    <w:pitch w:val="default"/>
    <w:sig w:usb0="00000003" w:usb1="00000000" w:usb2="00000000" w:usb3="00000000" w:csb0="00000001" w:csb1="00000000"/>
  </w:font>
  <w:font w:name="Calibri-Bold">
    <w:panose1 w:val="00000000000000000000"/>
    <w:charset w:val="00"/>
    <w:family w:val="auto"/>
    <w:notTrueType/>
    <w:pitch w:val="default"/>
    <w:sig w:usb0="00000003" w:usb1="00000000" w:usb2="00000000" w:usb3="00000000" w:csb0="00000001" w:csb1="00000000"/>
  </w:font>
  <w:font w:name="TwCenMT-BoldItalic">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0A52EA6"/>
    <w:multiLevelType w:val="hybridMultilevel"/>
    <w:tmpl w:val="AE92CB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5AA"/>
    <w:rsid w:val="000B1BC4"/>
    <w:rsid w:val="0033736E"/>
    <w:rsid w:val="003745AA"/>
    <w:rsid w:val="00A24010"/>
    <w:rsid w:val="00C70A9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BBF14A-140B-4585-8596-70ABBF2C1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A240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11</Pages>
  <Words>2111</Words>
  <Characters>11612</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Zineb Takdenti</dc:creator>
  <cp:keywords/>
  <dc:description/>
  <cp:lastModifiedBy>Zineb Takdenti</cp:lastModifiedBy>
  <cp:revision>1</cp:revision>
  <dcterms:created xsi:type="dcterms:W3CDTF">2023-09-04T16:06:00Z</dcterms:created>
  <dcterms:modified xsi:type="dcterms:W3CDTF">2023-09-04T16:31:00Z</dcterms:modified>
</cp:coreProperties>
</file>