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62B" w:rsidRDefault="000B062B" w:rsidP="000B062B">
      <w:pPr>
        <w:jc w:val="center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sz w:val="32"/>
          <w:szCs w:val="32"/>
          <w:lang w:val="fr-FR"/>
        </w:rPr>
        <w:t>QCM</w:t>
      </w:r>
      <w:r w:rsidR="000E7F4D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« Cancer colorectal »</w:t>
      </w:r>
    </w:p>
    <w:p w:rsidR="000B062B" w:rsidRPr="000B062B" w:rsidRDefault="000B062B" w:rsidP="000B062B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B062B" w:rsidRDefault="000B062B" w:rsidP="000B062B">
      <w:pPr>
        <w:rPr>
          <w:rFonts w:asciiTheme="majorBidi" w:hAnsiTheme="majorBidi" w:cstheme="majorBidi"/>
          <w:sz w:val="32"/>
          <w:szCs w:val="32"/>
          <w:lang w:val="fr-FR"/>
        </w:rPr>
      </w:pPr>
    </w:p>
    <w:p w:rsidR="000B062B" w:rsidRPr="000E7F4D" w:rsidRDefault="000B062B" w:rsidP="000B062B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QCM1-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>A propos des polyposes (jusqu’à 5 réponses)</w:t>
      </w:r>
    </w:p>
    <w:p w:rsidR="000B062B" w:rsidRPr="000E7F4D" w:rsidRDefault="000B062B" w:rsidP="000B06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Les patients atteints d’un syndrome de Lynch sont à risque de développer un cancer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, par dégénérescence d’un des nombreux polypes coliques induits par cette mutation génétique.</w:t>
      </w:r>
    </w:p>
    <w:p w:rsidR="000B062B" w:rsidRPr="000E7F4D" w:rsidRDefault="000B062B" w:rsidP="000B06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faut rechercher une mutation du gène APC en cas de suspicion de polypose adénomateuse familiale(PAF).</w:t>
      </w:r>
    </w:p>
    <w:p w:rsidR="000B062B" w:rsidRPr="000E7F4D" w:rsidRDefault="000B062B" w:rsidP="000B06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La polypose adénomateuse familiale(PAF) est une maladie héréditaire autosomique dominante.</w:t>
      </w:r>
    </w:p>
    <w:p w:rsidR="000B062B" w:rsidRPr="000E7F4D" w:rsidRDefault="000B062B" w:rsidP="000B06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Le PAF est la seule polypose héréditaire connue.</w:t>
      </w:r>
    </w:p>
    <w:p w:rsidR="000B062B" w:rsidRPr="000E7F4D" w:rsidRDefault="000B062B" w:rsidP="000B062B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Une colectomie ou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coloproctectomie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est indiquée en cas de PAF avant 15-25 ans.</w:t>
      </w:r>
    </w:p>
    <w:p w:rsidR="000B062B" w:rsidRPr="000E7F4D" w:rsidRDefault="000B062B" w:rsidP="000B062B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56345C" w:rsidRPr="000E7F4D" w:rsidRDefault="000B062B" w:rsidP="000B062B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QCM2-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A propos du dépistage organisé du cancer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 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sym w:font="Wingdings" w:char="F04C"/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jusqu’à 5 réponses)</w:t>
      </w:r>
    </w:p>
    <w:p w:rsidR="000B062B" w:rsidRPr="000E7F4D" w:rsidRDefault="00B9117C" w:rsidP="000B06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est proposé aux hommes et femmes entre 50 et 74ans.</w:t>
      </w:r>
    </w:p>
    <w:p w:rsidR="00B9117C" w:rsidRPr="000E7F4D" w:rsidRDefault="00B9117C" w:rsidP="000B06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de rectorragies, le test de dépistage est indiqué.</w:t>
      </w:r>
    </w:p>
    <w:p w:rsidR="00B9117C" w:rsidRPr="000E7F4D" w:rsidRDefault="00B9117C" w:rsidP="000B06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repose sur une coloscopie tous les 2 ans.</w:t>
      </w:r>
    </w:p>
    <w:p w:rsidR="00B9117C" w:rsidRPr="000E7F4D" w:rsidRDefault="00B9117C" w:rsidP="000B06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est proposé pour la population ayant un risque moyen de développer un CCR.</w:t>
      </w:r>
    </w:p>
    <w:p w:rsidR="00B9117C" w:rsidRPr="000E7F4D" w:rsidRDefault="00B9117C" w:rsidP="000B06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est pris en charge à 100% par la sécurité sociale.</w:t>
      </w: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QCM3-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>Parmi ces propositions, lesquelles font partie du bilan pré-thérapeute d’un cancer du colon ? (jusqu’à 5 réponses)</w:t>
      </w:r>
    </w:p>
    <w:p w:rsidR="00B9117C" w:rsidRPr="000E7F4D" w:rsidRDefault="00B9117C" w:rsidP="00B911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Echo-endoscopie colique.</w:t>
      </w:r>
    </w:p>
    <w:p w:rsidR="00B9117C" w:rsidRPr="000E7F4D" w:rsidRDefault="00B9117C" w:rsidP="00B911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IRM pelvienne.</w:t>
      </w:r>
    </w:p>
    <w:p w:rsidR="00B9117C" w:rsidRPr="000E7F4D" w:rsidRDefault="00B9117C" w:rsidP="00B911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TDM TAP.</w:t>
      </w:r>
    </w:p>
    <w:p w:rsidR="00B9117C" w:rsidRPr="000E7F4D" w:rsidRDefault="00B9117C" w:rsidP="00B911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PET scanné.</w:t>
      </w:r>
    </w:p>
    <w:p w:rsidR="00B9117C" w:rsidRPr="000E7F4D" w:rsidRDefault="00B9117C" w:rsidP="00B9117C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Coloscopie totale à la recherche de lésions synchrones.</w:t>
      </w: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QCM4-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Comment classeriez-vous un cancer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envahissant la sous-muqueuse, avec 2 ganglions métastatiques régionaux et pas de métastases à distance ?</w:t>
      </w:r>
    </w:p>
    <w:p w:rsidR="00B9117C" w:rsidRPr="000E7F4D" w:rsidRDefault="00B9117C" w:rsidP="00B9117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pT1N1M0</w:t>
      </w:r>
    </w:p>
    <w:p w:rsidR="00B9117C" w:rsidRPr="000E7F4D" w:rsidRDefault="00B9117C" w:rsidP="00B9117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pT2N1M0</w:t>
      </w:r>
    </w:p>
    <w:p w:rsidR="00B9117C" w:rsidRPr="000E7F4D" w:rsidRDefault="00B9117C" w:rsidP="00B9117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Stade III</w:t>
      </w:r>
    </w:p>
    <w:p w:rsidR="00B9117C" w:rsidRPr="000E7F4D" w:rsidRDefault="00B9117C" w:rsidP="00B9117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Stade II</w:t>
      </w:r>
    </w:p>
    <w:p w:rsidR="00B9117C" w:rsidRPr="000E7F4D" w:rsidRDefault="00B9117C" w:rsidP="00B9117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pT1N2M0</w:t>
      </w: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B9117C" w:rsidRPr="000E7F4D" w:rsidRDefault="00B9117C" w:rsidP="00B9117C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QCM5-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>Lesquelles de ces propositions sont des techniques chirurgicales du cancer colique compliqué d’une occlusion intestinale ? (jusqu’à 5 réponses)</w:t>
      </w:r>
    </w:p>
    <w:p w:rsidR="00B9117C" w:rsidRPr="000E7F4D" w:rsidRDefault="00B9117C" w:rsidP="00B9117C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lastRenderedPageBreak/>
        <w:t xml:space="preserve">Chirurgie en 3 temps : </w:t>
      </w:r>
      <w:r w:rsidR="00760790" w:rsidRPr="000E7F4D">
        <w:rPr>
          <w:rFonts w:asciiTheme="majorBidi" w:hAnsiTheme="majorBidi" w:cstheme="majorBidi"/>
          <w:sz w:val="24"/>
          <w:szCs w:val="24"/>
          <w:lang w:val="fr-FR"/>
        </w:rPr>
        <w:t>colostomie en urgence, résection puis anastomose emmenant la colostomie.</w:t>
      </w:r>
    </w:p>
    <w:p w:rsidR="00760790" w:rsidRPr="000E7F4D" w:rsidRDefault="00760790" w:rsidP="00B9117C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Pose d’une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endoprothèse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colique.</w:t>
      </w:r>
    </w:p>
    <w:p w:rsidR="00760790" w:rsidRPr="000E7F4D" w:rsidRDefault="00760790" w:rsidP="00B9117C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Chirurgie en 1 temps avec résection, lavage colique per-opératoire et anastomose.</w:t>
      </w:r>
    </w:p>
    <w:p w:rsidR="00760790" w:rsidRPr="000E7F4D" w:rsidRDefault="00760790" w:rsidP="00B9117C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Colectomie totale avec anastomose iléo-sigmoïdienne.</w:t>
      </w:r>
    </w:p>
    <w:p w:rsidR="00760790" w:rsidRPr="000E7F4D" w:rsidRDefault="00760790" w:rsidP="00B9117C">
      <w:pPr>
        <w:pStyle w:val="Paragraphedeliste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Colectomie subtotale avec anastomose iléo-rectale.</w:t>
      </w:r>
    </w:p>
    <w:p w:rsidR="00760790" w:rsidRPr="000E7F4D" w:rsidRDefault="00760790" w:rsidP="00760790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760790" w:rsidRPr="000E7F4D" w:rsidRDefault="00760790" w:rsidP="00760790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QCM6-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Parmi ces polypes coliques, lesquels sont à risque de se transformer en cancer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 ? (jusqu’à 5 réponses)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hyperplasiques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villeux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adénomateux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tubuleux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juvéniles</w:t>
      </w:r>
    </w:p>
    <w:p w:rsidR="00760790" w:rsidRPr="000E7F4D" w:rsidRDefault="00760790" w:rsidP="00760790">
      <w:pPr>
        <w:pStyle w:val="Paragraphedeliste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Polypes inflammatoires.</w:t>
      </w:r>
    </w:p>
    <w:p w:rsidR="00760790" w:rsidRPr="000E7F4D" w:rsidRDefault="00760790" w:rsidP="00760790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760790" w:rsidRPr="000E7F4D" w:rsidRDefault="00760790" w:rsidP="00760790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QCM7-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>Lesquelles de ces maladies héréditaires sont associées à un risque accru de CCR ? (jusqu’à 5 réponses)</w:t>
      </w:r>
    </w:p>
    <w:p w:rsidR="00760790" w:rsidRPr="000E7F4D" w:rsidRDefault="0056758D" w:rsidP="00760790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Mutation BRCA1</w:t>
      </w:r>
    </w:p>
    <w:p w:rsidR="0056758D" w:rsidRPr="000E7F4D" w:rsidRDefault="0056758D" w:rsidP="00760790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Polypose adénomateuse familiale.</w:t>
      </w:r>
    </w:p>
    <w:p w:rsidR="0056758D" w:rsidRPr="000E7F4D" w:rsidRDefault="0056758D" w:rsidP="00760790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Mutation BRCA2</w:t>
      </w:r>
    </w:p>
    <w:p w:rsidR="0056758D" w:rsidRPr="000E7F4D" w:rsidRDefault="0056758D" w:rsidP="00760790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Syndrome de Lynch</w:t>
      </w:r>
    </w:p>
    <w:p w:rsidR="0056758D" w:rsidRPr="000E7F4D" w:rsidRDefault="0056758D" w:rsidP="00760790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Syndrome de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Peutz-Jeghers</w:t>
      </w:r>
      <w:proofErr w:type="spellEnd"/>
    </w:p>
    <w:p w:rsidR="0056758D" w:rsidRPr="000E7F4D" w:rsidRDefault="0056758D" w:rsidP="0056758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3C639D" w:rsidRPr="000E7F4D" w:rsidRDefault="0056758D" w:rsidP="0056758D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QCM8- </w:t>
      </w:r>
      <w:r w:rsidR="003C639D" w:rsidRPr="000E7F4D">
        <w:rPr>
          <w:rFonts w:asciiTheme="majorBidi" w:hAnsiTheme="majorBidi" w:cstheme="majorBidi"/>
          <w:sz w:val="24"/>
          <w:szCs w:val="24"/>
          <w:lang w:val="fr-FR"/>
        </w:rPr>
        <w:t xml:space="preserve">A propos de la classification </w:t>
      </w:r>
      <w:proofErr w:type="spellStart"/>
      <w:r w:rsidR="003C639D" w:rsidRPr="000E7F4D">
        <w:rPr>
          <w:rFonts w:asciiTheme="majorBidi" w:hAnsiTheme="majorBidi" w:cstheme="majorBidi"/>
          <w:sz w:val="24"/>
          <w:szCs w:val="24"/>
          <w:lang w:val="fr-FR"/>
        </w:rPr>
        <w:t>histo</w:t>
      </w:r>
      <w:proofErr w:type="spellEnd"/>
      <w:r w:rsidR="003C639D" w:rsidRPr="000E7F4D">
        <w:rPr>
          <w:rFonts w:asciiTheme="majorBidi" w:hAnsiTheme="majorBidi" w:cstheme="majorBidi"/>
          <w:sz w:val="24"/>
          <w:szCs w:val="24"/>
          <w:lang w:val="fr-FR"/>
        </w:rPr>
        <w:t xml:space="preserve">-pronostic des cancers </w:t>
      </w:r>
      <w:proofErr w:type="spellStart"/>
      <w:r w:rsidR="003C639D" w:rsidRPr="000E7F4D">
        <w:rPr>
          <w:rFonts w:asciiTheme="majorBidi" w:hAnsiTheme="majorBidi" w:cstheme="majorBidi"/>
          <w:sz w:val="24"/>
          <w:szCs w:val="24"/>
          <w:lang w:val="fr-FR"/>
        </w:rPr>
        <w:t>colo-rectaux</w:t>
      </w:r>
      <w:proofErr w:type="spellEnd"/>
      <w:r w:rsidR="003C639D" w:rsidRPr="000E7F4D">
        <w:rPr>
          <w:rFonts w:asciiTheme="majorBidi" w:hAnsiTheme="majorBidi" w:cstheme="majorBidi"/>
          <w:sz w:val="24"/>
          <w:szCs w:val="24"/>
          <w:lang w:val="fr-FR"/>
        </w:rPr>
        <w:t> : (jusqu’à 5 réponses)</w:t>
      </w:r>
    </w:p>
    <w:p w:rsidR="003C639D" w:rsidRPr="000E7F4D" w:rsidRDefault="003C639D" w:rsidP="003C639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d’envahissement ganglionnaire, le CCR est de stade III.</w:t>
      </w:r>
    </w:p>
    <w:p w:rsidR="003C639D" w:rsidRPr="000E7F4D" w:rsidRDefault="003C639D" w:rsidP="003C639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 CCR avec envahissement de la musculeuse est classé stade II.</w:t>
      </w:r>
    </w:p>
    <w:p w:rsidR="003C639D" w:rsidRPr="000E7F4D" w:rsidRDefault="003C639D" w:rsidP="003C639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de métastase à distance, le CCR est de stade V.</w:t>
      </w:r>
    </w:p>
    <w:p w:rsidR="003C639D" w:rsidRPr="000E7F4D" w:rsidRDefault="003C639D" w:rsidP="003C639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 CCR envahissement uniquement la sous-muqueuse, avec NOMO est de stade I.</w:t>
      </w:r>
    </w:p>
    <w:p w:rsidR="003C639D" w:rsidRPr="000E7F4D" w:rsidRDefault="003C639D" w:rsidP="003C639D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 envahissement de la sous-séreuse ou la séreuse définit un CCR de stade III.</w:t>
      </w:r>
    </w:p>
    <w:p w:rsidR="003C639D" w:rsidRPr="000E7F4D" w:rsidRDefault="003C639D" w:rsidP="003C639D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3C639D" w:rsidRPr="000E7F4D" w:rsidRDefault="003C639D" w:rsidP="003C639D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QCM9-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Comment classeriez-vous un cancer du colon envahissant la sous-séreuse, avec 5 ganglions métastatiques régionaux et un ganglion de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Troisier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 ? (jusqu’à 5 réponses)</w:t>
      </w:r>
    </w:p>
    <w:p w:rsidR="003C639D" w:rsidRPr="000E7F4D" w:rsidRDefault="003C639D" w:rsidP="003C639D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pT3N2M0</w:t>
      </w:r>
    </w:p>
    <w:p w:rsidR="003C639D" w:rsidRPr="000E7F4D" w:rsidRDefault="003C639D" w:rsidP="003C639D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pT2N2M1</w:t>
      </w:r>
    </w:p>
    <w:p w:rsidR="003C639D" w:rsidRPr="000E7F4D" w:rsidRDefault="003C639D" w:rsidP="003C639D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PT3N2M1</w:t>
      </w:r>
    </w:p>
    <w:p w:rsidR="003C639D" w:rsidRPr="000E7F4D" w:rsidRDefault="003C639D" w:rsidP="003C639D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Stade III</w:t>
      </w:r>
    </w:p>
    <w:p w:rsidR="003C639D" w:rsidRPr="000E7F4D" w:rsidRDefault="003C639D" w:rsidP="003C639D">
      <w:pPr>
        <w:pStyle w:val="Paragraphedeliste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Stade IV</w:t>
      </w:r>
    </w:p>
    <w:p w:rsidR="003C639D" w:rsidRPr="000E7F4D" w:rsidRDefault="003C639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F27007" w:rsidRPr="000E7F4D" w:rsidRDefault="00F27007" w:rsidP="00F27007">
      <w:pPr>
        <w:rPr>
          <w:rFonts w:asciiTheme="majorBidi" w:hAnsiTheme="majorBidi" w:cstheme="majorBidi"/>
          <w:sz w:val="24"/>
          <w:szCs w:val="24"/>
        </w:rPr>
      </w:pPr>
    </w:p>
    <w:p w:rsidR="00F27007" w:rsidRPr="000E7F4D" w:rsidRDefault="00615072" w:rsidP="00F27007">
      <w:p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QCM10</w:t>
      </w:r>
      <w:r w:rsidR="00F27007"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 xml:space="preserve">- </w:t>
      </w:r>
      <w:r w:rsidR="00F27007" w:rsidRPr="000E7F4D">
        <w:rPr>
          <w:rFonts w:asciiTheme="majorBidi" w:hAnsiTheme="majorBidi" w:cstheme="majorBidi"/>
          <w:sz w:val="24"/>
          <w:szCs w:val="24"/>
          <w:lang w:val="fr-FR"/>
        </w:rPr>
        <w:t>Quels propositions sont varies concern</w:t>
      </w:r>
      <w:r w:rsidR="00AE6051" w:rsidRPr="000E7F4D">
        <w:rPr>
          <w:rFonts w:asciiTheme="majorBidi" w:hAnsiTheme="majorBidi" w:cstheme="majorBidi"/>
          <w:sz w:val="24"/>
          <w:szCs w:val="24"/>
          <w:lang w:val="fr-FR"/>
        </w:rPr>
        <w:t xml:space="preserve">ant la </w:t>
      </w:r>
      <w:r w:rsidRPr="000E7F4D">
        <w:rPr>
          <w:rFonts w:asciiTheme="majorBidi" w:hAnsiTheme="majorBidi" w:cstheme="majorBidi"/>
          <w:sz w:val="24"/>
          <w:szCs w:val="24"/>
          <w:lang w:val="fr-FR"/>
        </w:rPr>
        <w:t>surveillance</w:t>
      </w:r>
      <w:r w:rsidR="00AE6051" w:rsidRPr="000E7F4D">
        <w:rPr>
          <w:rFonts w:asciiTheme="majorBidi" w:hAnsiTheme="majorBidi" w:cstheme="majorBidi"/>
          <w:sz w:val="24"/>
          <w:szCs w:val="24"/>
          <w:lang w:val="fr-FR"/>
        </w:rPr>
        <w:t xml:space="preserve"> post-thérapeutique d’un cancer </w:t>
      </w:r>
      <w:proofErr w:type="spellStart"/>
      <w:r w:rsidR="00AE6051"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  <w:r w:rsidR="00AE6051" w:rsidRPr="000E7F4D">
        <w:rPr>
          <w:rFonts w:asciiTheme="majorBidi" w:hAnsiTheme="majorBidi" w:cstheme="majorBidi"/>
          <w:sz w:val="24"/>
          <w:szCs w:val="24"/>
          <w:lang w:val="fr-FR"/>
        </w:rPr>
        <w:t xml:space="preserve"> </w:t>
      </w:r>
      <w:r w:rsidR="00F27007" w:rsidRPr="000E7F4D">
        <w:rPr>
          <w:rFonts w:asciiTheme="majorBidi" w:hAnsiTheme="majorBidi" w:cstheme="majorBidi"/>
          <w:sz w:val="24"/>
          <w:szCs w:val="24"/>
          <w:lang w:val="fr-FR"/>
        </w:rPr>
        <w:t>? (jusqu’à 5 réponses)</w:t>
      </w:r>
    </w:p>
    <w:p w:rsidR="00AE6051" w:rsidRPr="000E7F4D" w:rsidRDefault="00AE6051" w:rsidP="00AE6051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Suivi clinique tous les 3 mois pendant 2 ans puis tous les 6 mois pendant 3 ans </w:t>
      </w:r>
    </w:p>
    <w:p w:rsidR="00AE6051" w:rsidRPr="000E7F4D" w:rsidRDefault="00AE6051" w:rsidP="00AE6051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Coloscopie annuelle</w:t>
      </w:r>
    </w:p>
    <w:p w:rsidR="00AE6051" w:rsidRPr="000E7F4D" w:rsidRDefault="00AE6051" w:rsidP="00AE6051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TDM TAP tous les 5 ans </w:t>
      </w:r>
    </w:p>
    <w:p w:rsidR="00AE6051" w:rsidRPr="000E7F4D" w:rsidRDefault="00AE6051" w:rsidP="00AE6051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PET scan annuel</w:t>
      </w:r>
    </w:p>
    <w:p w:rsidR="00AE6051" w:rsidRPr="000E7F4D" w:rsidRDefault="00AE6051" w:rsidP="00AE6051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Dosage de l’ACE</w:t>
      </w:r>
    </w:p>
    <w:p w:rsidR="00F27007" w:rsidRDefault="00F27007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E7F4D" w:rsidRPr="000E7F4D" w:rsidRDefault="000E7F4D" w:rsidP="00F27007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570AF" w:rsidRPr="000E7F4D" w:rsidRDefault="004570AF" w:rsidP="00C5788F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03197F" w:rsidRDefault="004570AF" w:rsidP="004570AF">
      <w:pPr>
        <w:jc w:val="center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0E7F4D">
        <w:rPr>
          <w:rFonts w:asciiTheme="majorBidi" w:hAnsiTheme="majorBidi" w:cstheme="majorBidi"/>
          <w:b/>
          <w:bCs/>
          <w:sz w:val="32"/>
          <w:szCs w:val="32"/>
          <w:lang w:val="fr-FR"/>
        </w:rPr>
        <w:lastRenderedPageBreak/>
        <w:t>Les réponses</w:t>
      </w:r>
    </w:p>
    <w:p w:rsidR="000E7F4D" w:rsidRPr="000E7F4D" w:rsidRDefault="000E7F4D" w:rsidP="004570AF">
      <w:pPr>
        <w:jc w:val="center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bookmarkStart w:id="0" w:name="_GoBack"/>
      <w:bookmarkEnd w:id="0"/>
    </w:p>
    <w:p w:rsidR="004570AF" w:rsidRPr="000E7F4D" w:rsidRDefault="004570AF" w:rsidP="004570AF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Réponse1 : BCE</w:t>
      </w:r>
    </w:p>
    <w:p w:rsidR="004570AF" w:rsidRPr="000E7F4D" w:rsidRDefault="004570AF" w:rsidP="004570AF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Le syndrome de Lynch n’entraine pas de polypose</w:t>
      </w:r>
    </w:p>
    <w:p w:rsidR="004570AF" w:rsidRPr="000E7F4D" w:rsidRDefault="004570AF" w:rsidP="004570AF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existe d’autres polyposes héréditaire plus rares que la PAF</w:t>
      </w:r>
    </w:p>
    <w:p w:rsidR="004570AF" w:rsidRPr="000E7F4D" w:rsidRDefault="004570AF" w:rsidP="004570AF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570AF" w:rsidRPr="000E7F4D" w:rsidRDefault="004570AF" w:rsidP="004570AF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2 : ADE</w:t>
      </w:r>
    </w:p>
    <w:p w:rsidR="004570AF" w:rsidRPr="000E7F4D" w:rsidRDefault="004570AF" w:rsidP="004570AF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En cas de rectorragies, il est inutile de faire le test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Hemoccult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, il faut aller directement à la coloscopie</w:t>
      </w:r>
    </w:p>
    <w:p w:rsidR="004570AF" w:rsidRPr="000E7F4D" w:rsidRDefault="004570AF" w:rsidP="004570AF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La coloscopie est indiquée en cas de test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Hemoccult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positif</w:t>
      </w:r>
    </w:p>
    <w:p w:rsidR="004570AF" w:rsidRPr="000E7F4D" w:rsidRDefault="004570AF" w:rsidP="004570AF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570AF" w:rsidRPr="000E7F4D" w:rsidRDefault="004570AF" w:rsidP="004570AF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3 : CE</w:t>
      </w:r>
    </w:p>
    <w:p w:rsidR="004570AF" w:rsidRPr="000E7F4D" w:rsidRDefault="004570AF" w:rsidP="004570AF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L’écho-endoscopie et l’IRM pelvienne ne sont pas indiquées dans le bilan pré-thérapeutique d’un cancer du colon, contrairement au cancer du rectum</w:t>
      </w:r>
    </w:p>
    <w:p w:rsidR="004570AF" w:rsidRPr="000E7F4D" w:rsidRDefault="004570AF" w:rsidP="004570AF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Le PET scanner n’est pas indiqué en pré-thérapeutique d’un CCR</w:t>
      </w:r>
    </w:p>
    <w:p w:rsidR="004570AF" w:rsidRPr="000E7F4D" w:rsidRDefault="004570AF" w:rsidP="004570AF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4570AF" w:rsidRPr="000E7F4D" w:rsidRDefault="004570AF" w:rsidP="004570AF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4 : AC</w:t>
      </w:r>
    </w:p>
    <w:p w:rsidR="004570AF" w:rsidRPr="000E7F4D" w:rsidRDefault="004570AF" w:rsidP="004570AF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L’envahissement de la sous-muqueuse classe un CCR en T1.</w:t>
      </w:r>
    </w:p>
    <w:p w:rsidR="004570AF" w:rsidRPr="000E7F4D" w:rsidRDefault="004570AF" w:rsidP="004570AF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Jusqu’à 3 ganglions métastatiques régionaux, le CCR est N1</w:t>
      </w:r>
    </w:p>
    <w:p w:rsidR="00AE6051" w:rsidRPr="000E7F4D" w:rsidRDefault="00AE6051" w:rsidP="004570AF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 cancer N+M0 est stade III</w:t>
      </w:r>
    </w:p>
    <w:p w:rsidR="00AE6051" w:rsidRPr="000E7F4D" w:rsidRDefault="00AE6051" w:rsidP="00AE6051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AE6051" w:rsidRPr="000E7F4D" w:rsidRDefault="00AE6051" w:rsidP="00AE6051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5 : ABC</w:t>
      </w:r>
    </w:p>
    <w:p w:rsidR="004570AF" w:rsidRPr="000E7F4D" w:rsidRDefault="00AE6051" w:rsidP="00AE6051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de colectomie subtotale, l’anastomose est iléo-sigmoïdienne</w:t>
      </w:r>
    </w:p>
    <w:p w:rsidR="00AE6051" w:rsidRPr="000E7F4D" w:rsidRDefault="00AE6051" w:rsidP="00AE6051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de colectomie totale, l’anastomose est iléo-rectale</w:t>
      </w:r>
    </w:p>
    <w:p w:rsidR="00AE6051" w:rsidRPr="000E7F4D" w:rsidRDefault="00AE6051" w:rsidP="00AE6051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AE6051" w:rsidRPr="000E7F4D" w:rsidRDefault="00AE6051" w:rsidP="00AE6051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Réponse 6 : BCD</w:t>
      </w:r>
    </w:p>
    <w:p w:rsidR="00AE6051" w:rsidRPr="000E7F4D" w:rsidRDefault="00AE6051" w:rsidP="00AE6051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Les polypes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adénomateux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sont les seuls à risque de dégénéré en cancer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colo-rectal</w:t>
      </w:r>
      <w:proofErr w:type="spellEnd"/>
    </w:p>
    <w:p w:rsidR="00AA3B1C" w:rsidRPr="000E7F4D" w:rsidRDefault="00AA3B1C" w:rsidP="00AE6051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Parmi les polypes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adénomateux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>, ceux ayant un contingent villeux sont plus à risque que les polypes tubuleux</w:t>
      </w:r>
    </w:p>
    <w:p w:rsidR="00AA3B1C" w:rsidRPr="000E7F4D" w:rsidRDefault="00AA3B1C" w:rsidP="00AA3B1C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Une coloscopie de contrôle à 3 ans est recommandée en cas de polype&gt;1cm ou avec un contingent villeux, puis tous les 5 ans en cas d’examen normal</w:t>
      </w:r>
    </w:p>
    <w:p w:rsidR="00AE6051" w:rsidRPr="000E7F4D" w:rsidRDefault="00AA3B1C" w:rsidP="00AA3B1C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Les polypes hyperplasique, juvéniles et inflammatoires ne sont pas à risque de dégénérescence</w:t>
      </w: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QCM7 : BDE</w:t>
      </w:r>
    </w:p>
    <w:p w:rsidR="00AA3B1C" w:rsidRPr="000E7F4D" w:rsidRDefault="00AA3B1C" w:rsidP="00AA3B1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Le syndrome de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Peutz-Jeghers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est une polypose à transmission AD associé à un risque accru de CCR, du grêle, du pancréas et de l’ovaire</w:t>
      </w:r>
    </w:p>
    <w:p w:rsidR="00AA3B1C" w:rsidRPr="000E7F4D" w:rsidRDefault="00AA3B1C" w:rsidP="00AA3B1C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QCM8 : AD</w:t>
      </w:r>
    </w:p>
    <w:p w:rsidR="00AA3B1C" w:rsidRPr="000E7F4D" w:rsidRDefault="00AA3B1C" w:rsidP="00AA3B1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lastRenderedPageBreak/>
        <w:t>En cas de CCR M+, il est stade IV</w:t>
      </w:r>
    </w:p>
    <w:p w:rsidR="00AA3B1C" w:rsidRPr="000E7F4D" w:rsidRDefault="00AA3B1C" w:rsidP="00AA3B1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L’envahissement ganglionnaire définit le stade III</w:t>
      </w:r>
    </w:p>
    <w:p w:rsidR="00AA3B1C" w:rsidRPr="000E7F4D" w:rsidRDefault="00AA3B1C" w:rsidP="00AA3B1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En cas d’envahissement de la sous-séreuse, il est de stade II</w:t>
      </w:r>
    </w:p>
    <w:p w:rsidR="00AA3B1C" w:rsidRPr="000E7F4D" w:rsidRDefault="00AA3B1C" w:rsidP="00AA3B1C">
      <w:pPr>
        <w:pStyle w:val="Paragraphedeliste"/>
        <w:numPr>
          <w:ilvl w:val="0"/>
          <w:numId w:val="26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Un envahissement sans atteinte de la sous séreuse, avec N0M0 d »finit un CCR stade I</w:t>
      </w:r>
    </w:p>
    <w:p w:rsidR="00AA3B1C" w:rsidRPr="000E7F4D" w:rsidRDefault="00AA3B1C" w:rsidP="00AA3B1C">
      <w:pPr>
        <w:rPr>
          <w:rFonts w:asciiTheme="majorBidi" w:hAnsiTheme="majorBidi" w:cstheme="majorBidi"/>
          <w:sz w:val="24"/>
          <w:szCs w:val="24"/>
          <w:lang w:val="fr-FR"/>
        </w:rPr>
      </w:pP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QCM9 : CE</w:t>
      </w:r>
    </w:p>
    <w:p w:rsidR="00AA3B1C" w:rsidRPr="000E7F4D" w:rsidRDefault="00AA3B1C" w:rsidP="00AA3B1C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Le ganglion de 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Troisier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est l’équivalent d’une métastase à distance</w:t>
      </w: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</w:p>
    <w:p w:rsidR="00AA3B1C" w:rsidRPr="000E7F4D" w:rsidRDefault="00AA3B1C" w:rsidP="00AA3B1C">
      <w:pPr>
        <w:rPr>
          <w:rFonts w:asciiTheme="majorBidi" w:hAnsiTheme="majorBidi" w:cstheme="majorBidi"/>
          <w:b/>
          <w:bCs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b/>
          <w:bCs/>
          <w:sz w:val="24"/>
          <w:szCs w:val="24"/>
          <w:lang w:val="fr-FR"/>
        </w:rPr>
        <w:t>QCM10 : AE</w:t>
      </w:r>
    </w:p>
    <w:p w:rsidR="00B03408" w:rsidRPr="000E7F4D" w:rsidRDefault="00AA3B1C" w:rsidP="00B03408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Le suivi clinique permet d’apprécier la cinétique du poids, l’état général, la palpation hépatique, l’</w:t>
      </w:r>
      <w:proofErr w:type="spellStart"/>
      <w:r w:rsidRPr="000E7F4D">
        <w:rPr>
          <w:rFonts w:asciiTheme="majorBidi" w:hAnsiTheme="majorBidi" w:cstheme="majorBidi"/>
          <w:sz w:val="24"/>
          <w:szCs w:val="24"/>
          <w:lang w:val="fr-FR"/>
        </w:rPr>
        <w:t>aucultation</w:t>
      </w:r>
      <w:proofErr w:type="spellEnd"/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 pulmonaire, le toucher rectal</w:t>
      </w:r>
      <w:r w:rsidR="00B03408" w:rsidRPr="000E7F4D">
        <w:rPr>
          <w:rFonts w:asciiTheme="majorBidi" w:hAnsiTheme="majorBidi" w:cstheme="majorBidi"/>
          <w:sz w:val="24"/>
          <w:szCs w:val="24"/>
          <w:lang w:val="fr-FR"/>
        </w:rPr>
        <w:t>. Il recherche la présence de troubles du transit, d’hémorragie digestive,…</w:t>
      </w:r>
    </w:p>
    <w:p w:rsidR="00B03408" w:rsidRPr="000E7F4D" w:rsidRDefault="00B03408" w:rsidP="00B03408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La coloscopie est indiquée après 3 ans puis tous les 5 ans si elle est normale.</w:t>
      </w:r>
    </w:p>
    <w:p w:rsidR="00B03408" w:rsidRPr="000E7F4D" w:rsidRDefault="00B03408" w:rsidP="00B03408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>Il faut faire une coloscopie à 1 an en cas de tumeur associée à 3 adénomes ou 1 adénome avance (&gt;1cm, villeux ou dysplasie/carcinome in situ)</w:t>
      </w:r>
    </w:p>
    <w:p w:rsidR="00AA3B1C" w:rsidRPr="000E7F4D" w:rsidRDefault="00B03408" w:rsidP="00B03408">
      <w:pPr>
        <w:pStyle w:val="Paragraphedeliste"/>
        <w:numPr>
          <w:ilvl w:val="0"/>
          <w:numId w:val="27"/>
        </w:numPr>
        <w:rPr>
          <w:rFonts w:asciiTheme="majorBidi" w:hAnsiTheme="majorBidi" w:cstheme="majorBidi"/>
          <w:sz w:val="24"/>
          <w:szCs w:val="24"/>
          <w:lang w:val="fr-FR"/>
        </w:rPr>
      </w:pPr>
      <w:r w:rsidRPr="000E7F4D">
        <w:rPr>
          <w:rFonts w:asciiTheme="majorBidi" w:hAnsiTheme="majorBidi" w:cstheme="majorBidi"/>
          <w:sz w:val="24"/>
          <w:szCs w:val="24"/>
          <w:lang w:val="fr-FR"/>
        </w:rPr>
        <w:t xml:space="preserve">Le suivi de la valeur de l’ACE est un bon indicateur du suivi de la masse tumorale. </w:t>
      </w:r>
    </w:p>
    <w:p w:rsidR="004570AF" w:rsidRPr="004570AF" w:rsidRDefault="004570AF" w:rsidP="004570AF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4570AF" w:rsidRPr="004570AF" w:rsidRDefault="004570AF" w:rsidP="004570AF">
      <w:pPr>
        <w:pStyle w:val="Paragraphedeliste"/>
        <w:rPr>
          <w:rFonts w:asciiTheme="majorBidi" w:hAnsiTheme="majorBidi" w:cstheme="majorBidi"/>
          <w:sz w:val="28"/>
          <w:szCs w:val="28"/>
          <w:lang w:val="fr-FR"/>
        </w:rPr>
      </w:pPr>
    </w:p>
    <w:p w:rsidR="0056758D" w:rsidRPr="00F27007" w:rsidRDefault="003C639D" w:rsidP="0056758D">
      <w:pPr>
        <w:rPr>
          <w:rFonts w:asciiTheme="majorBidi" w:hAnsiTheme="majorBidi" w:cstheme="majorBidi"/>
          <w:sz w:val="28"/>
          <w:szCs w:val="28"/>
          <w:lang w:val="fr-FR"/>
        </w:rPr>
      </w:pPr>
      <w:r w:rsidRPr="00F27007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p w:rsidR="00B9117C" w:rsidRPr="00F27007" w:rsidRDefault="00B9117C" w:rsidP="00B9117C">
      <w:pPr>
        <w:rPr>
          <w:rFonts w:asciiTheme="majorBidi" w:hAnsiTheme="majorBidi" w:cstheme="majorBidi"/>
          <w:sz w:val="28"/>
          <w:szCs w:val="28"/>
          <w:lang w:val="fr-FR"/>
        </w:rPr>
      </w:pPr>
    </w:p>
    <w:p w:rsidR="00B9117C" w:rsidRPr="00F27007" w:rsidRDefault="00B9117C" w:rsidP="00B9117C">
      <w:pPr>
        <w:rPr>
          <w:rFonts w:asciiTheme="majorBidi" w:hAnsiTheme="majorBidi" w:cstheme="majorBidi"/>
          <w:sz w:val="28"/>
          <w:szCs w:val="28"/>
          <w:lang w:val="fr-FR"/>
        </w:rPr>
      </w:pPr>
      <w:r w:rsidRPr="00F27007">
        <w:rPr>
          <w:rFonts w:asciiTheme="majorBidi" w:hAnsiTheme="majorBidi" w:cstheme="majorBidi"/>
          <w:sz w:val="28"/>
          <w:szCs w:val="28"/>
          <w:lang w:val="fr-FR"/>
        </w:rPr>
        <w:t xml:space="preserve"> </w:t>
      </w:r>
    </w:p>
    <w:sectPr w:rsidR="00B9117C" w:rsidRPr="00F27007" w:rsidSect="0056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0C6" w:rsidRDefault="006510C6" w:rsidP="000E7F4D">
      <w:pPr>
        <w:spacing w:line="240" w:lineRule="auto"/>
      </w:pPr>
      <w:r>
        <w:separator/>
      </w:r>
    </w:p>
  </w:endnote>
  <w:endnote w:type="continuationSeparator" w:id="0">
    <w:p w:rsidR="006510C6" w:rsidRDefault="006510C6" w:rsidP="000E7F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0C6" w:rsidRDefault="006510C6" w:rsidP="000E7F4D">
      <w:pPr>
        <w:spacing w:line="240" w:lineRule="auto"/>
      </w:pPr>
      <w:r>
        <w:separator/>
      </w:r>
    </w:p>
  </w:footnote>
  <w:footnote w:type="continuationSeparator" w:id="0">
    <w:p w:rsidR="006510C6" w:rsidRDefault="006510C6" w:rsidP="000E7F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C6B1E"/>
    <w:multiLevelType w:val="hybridMultilevel"/>
    <w:tmpl w:val="9BBE2F78"/>
    <w:lvl w:ilvl="0" w:tplc="F34E8818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>
    <w:nsid w:val="0FFE34AE"/>
    <w:multiLevelType w:val="hybridMultilevel"/>
    <w:tmpl w:val="4E3E00C0"/>
    <w:lvl w:ilvl="0" w:tplc="DF0EBDC2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">
    <w:nsid w:val="10182DDB"/>
    <w:multiLevelType w:val="hybridMultilevel"/>
    <w:tmpl w:val="4D44BF0C"/>
    <w:lvl w:ilvl="0" w:tplc="5EB4989E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>
    <w:nsid w:val="13636CFA"/>
    <w:multiLevelType w:val="hybridMultilevel"/>
    <w:tmpl w:val="9BF0EA96"/>
    <w:lvl w:ilvl="0" w:tplc="D868C148">
      <w:start w:val="1"/>
      <w:numFmt w:val="upperLetter"/>
      <w:lvlText w:val="%1-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>
    <w:nsid w:val="1D946ED1"/>
    <w:multiLevelType w:val="hybridMultilevel"/>
    <w:tmpl w:val="082C00A4"/>
    <w:lvl w:ilvl="0" w:tplc="CC94D586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>
    <w:nsid w:val="23F05B74"/>
    <w:multiLevelType w:val="hybridMultilevel"/>
    <w:tmpl w:val="4FB2C022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6">
    <w:nsid w:val="289A561C"/>
    <w:multiLevelType w:val="hybridMultilevel"/>
    <w:tmpl w:val="EE643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65103B"/>
    <w:multiLevelType w:val="hybridMultilevel"/>
    <w:tmpl w:val="E3CA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FC2322"/>
    <w:multiLevelType w:val="hybridMultilevel"/>
    <w:tmpl w:val="0AE2C63C"/>
    <w:lvl w:ilvl="0" w:tplc="AB30DF5A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9">
    <w:nsid w:val="485F2C2C"/>
    <w:multiLevelType w:val="hybridMultilevel"/>
    <w:tmpl w:val="3FC01C58"/>
    <w:lvl w:ilvl="0" w:tplc="38EC0788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0">
    <w:nsid w:val="489D62F4"/>
    <w:multiLevelType w:val="hybridMultilevel"/>
    <w:tmpl w:val="0DB2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A880DD0"/>
    <w:multiLevelType w:val="hybridMultilevel"/>
    <w:tmpl w:val="3E989912"/>
    <w:lvl w:ilvl="0" w:tplc="CD34EEAE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4B471863"/>
    <w:multiLevelType w:val="hybridMultilevel"/>
    <w:tmpl w:val="7186B0FE"/>
    <w:lvl w:ilvl="0" w:tplc="DA34A188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3">
    <w:nsid w:val="4BEB3F0F"/>
    <w:multiLevelType w:val="hybridMultilevel"/>
    <w:tmpl w:val="A8F8BA6A"/>
    <w:lvl w:ilvl="0" w:tplc="7658A76E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4">
    <w:nsid w:val="4C7B3DD7"/>
    <w:multiLevelType w:val="hybridMultilevel"/>
    <w:tmpl w:val="AAFCF920"/>
    <w:lvl w:ilvl="0" w:tplc="79BA64DC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5">
    <w:nsid w:val="543F48EF"/>
    <w:multiLevelType w:val="hybridMultilevel"/>
    <w:tmpl w:val="6422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240145"/>
    <w:multiLevelType w:val="hybridMultilevel"/>
    <w:tmpl w:val="C902C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397B7F"/>
    <w:multiLevelType w:val="hybridMultilevel"/>
    <w:tmpl w:val="0362251C"/>
    <w:lvl w:ilvl="0" w:tplc="290ABF00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8">
    <w:nsid w:val="59625523"/>
    <w:multiLevelType w:val="hybridMultilevel"/>
    <w:tmpl w:val="DD10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8925BD"/>
    <w:multiLevelType w:val="hybridMultilevel"/>
    <w:tmpl w:val="DD54955E"/>
    <w:lvl w:ilvl="0" w:tplc="03E83190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0">
    <w:nsid w:val="632550FF"/>
    <w:multiLevelType w:val="hybridMultilevel"/>
    <w:tmpl w:val="78ACF1B0"/>
    <w:lvl w:ilvl="0" w:tplc="9CAC0934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1">
    <w:nsid w:val="6B9750EC"/>
    <w:multiLevelType w:val="hybridMultilevel"/>
    <w:tmpl w:val="5ED6D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6D7188"/>
    <w:multiLevelType w:val="hybridMultilevel"/>
    <w:tmpl w:val="33B4EE62"/>
    <w:lvl w:ilvl="0" w:tplc="36826500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3">
    <w:nsid w:val="71A63932"/>
    <w:multiLevelType w:val="hybridMultilevel"/>
    <w:tmpl w:val="1710246C"/>
    <w:lvl w:ilvl="0" w:tplc="F656C7D0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4">
    <w:nsid w:val="72EA4C24"/>
    <w:multiLevelType w:val="hybridMultilevel"/>
    <w:tmpl w:val="AC7C8FD6"/>
    <w:lvl w:ilvl="0" w:tplc="41BE686E">
      <w:start w:val="1"/>
      <w:numFmt w:val="upperLetter"/>
      <w:lvlText w:val="%1-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25">
    <w:nsid w:val="74152C37"/>
    <w:multiLevelType w:val="hybridMultilevel"/>
    <w:tmpl w:val="6F9AF9B2"/>
    <w:lvl w:ilvl="0" w:tplc="D71E16D0">
      <w:start w:val="1"/>
      <w:numFmt w:val="upperLetter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6">
    <w:nsid w:val="7EF95F6B"/>
    <w:multiLevelType w:val="hybridMultilevel"/>
    <w:tmpl w:val="E438D3B4"/>
    <w:lvl w:ilvl="0" w:tplc="F90E2976">
      <w:start w:val="1"/>
      <w:numFmt w:val="upperLetter"/>
      <w:lvlText w:val="%1-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>
    <w:abstractNumId w:val="2"/>
  </w:num>
  <w:num w:numId="2">
    <w:abstractNumId w:val="4"/>
  </w:num>
  <w:num w:numId="3">
    <w:abstractNumId w:val="25"/>
  </w:num>
  <w:num w:numId="4">
    <w:abstractNumId w:val="22"/>
  </w:num>
  <w:num w:numId="5">
    <w:abstractNumId w:val="26"/>
  </w:num>
  <w:num w:numId="6">
    <w:abstractNumId w:val="8"/>
  </w:num>
  <w:num w:numId="7">
    <w:abstractNumId w:val="13"/>
  </w:num>
  <w:num w:numId="8">
    <w:abstractNumId w:val="24"/>
  </w:num>
  <w:num w:numId="9">
    <w:abstractNumId w:val="23"/>
  </w:num>
  <w:num w:numId="10">
    <w:abstractNumId w:val="19"/>
  </w:num>
  <w:num w:numId="11">
    <w:abstractNumId w:val="0"/>
  </w:num>
  <w:num w:numId="12">
    <w:abstractNumId w:val="3"/>
  </w:num>
  <w:num w:numId="13">
    <w:abstractNumId w:val="9"/>
  </w:num>
  <w:num w:numId="14">
    <w:abstractNumId w:val="11"/>
  </w:num>
  <w:num w:numId="15">
    <w:abstractNumId w:val="1"/>
  </w:num>
  <w:num w:numId="16">
    <w:abstractNumId w:val="20"/>
  </w:num>
  <w:num w:numId="17">
    <w:abstractNumId w:val="14"/>
  </w:num>
  <w:num w:numId="18">
    <w:abstractNumId w:val="17"/>
  </w:num>
  <w:num w:numId="19">
    <w:abstractNumId w:val="21"/>
  </w:num>
  <w:num w:numId="20">
    <w:abstractNumId w:val="16"/>
  </w:num>
  <w:num w:numId="21">
    <w:abstractNumId w:val="15"/>
  </w:num>
  <w:num w:numId="22">
    <w:abstractNumId w:val="10"/>
  </w:num>
  <w:num w:numId="23">
    <w:abstractNumId w:val="12"/>
  </w:num>
  <w:num w:numId="24">
    <w:abstractNumId w:val="5"/>
  </w:num>
  <w:num w:numId="25">
    <w:abstractNumId w:val="18"/>
  </w:num>
  <w:num w:numId="26">
    <w:abstractNumId w:val="7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62B"/>
    <w:rsid w:val="0003197F"/>
    <w:rsid w:val="000B062B"/>
    <w:rsid w:val="000E7F4D"/>
    <w:rsid w:val="0026141C"/>
    <w:rsid w:val="003C639D"/>
    <w:rsid w:val="004570AF"/>
    <w:rsid w:val="004F4C8C"/>
    <w:rsid w:val="0056345C"/>
    <w:rsid w:val="0056758D"/>
    <w:rsid w:val="00615072"/>
    <w:rsid w:val="006510C6"/>
    <w:rsid w:val="00760790"/>
    <w:rsid w:val="008A1493"/>
    <w:rsid w:val="00AA3B1C"/>
    <w:rsid w:val="00AE58D1"/>
    <w:rsid w:val="00AE6051"/>
    <w:rsid w:val="00B03408"/>
    <w:rsid w:val="00B9117C"/>
    <w:rsid w:val="00C5788F"/>
    <w:rsid w:val="00F2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E9F4144-5696-4793-A019-C27025AE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45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B062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E7F4D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7F4D"/>
  </w:style>
  <w:style w:type="paragraph" w:styleId="Pieddepage">
    <w:name w:val="footer"/>
    <w:basedOn w:val="Normal"/>
    <w:link w:val="PieddepageCar"/>
    <w:uiPriority w:val="99"/>
    <w:unhideWhenUsed/>
    <w:rsid w:val="000E7F4D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7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863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alquds</Company>
  <LinksUpToDate>false</LinksUpToDate>
  <CharactersWithSpaces>5603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Zineb Takdenti</cp:lastModifiedBy>
  <cp:revision>7</cp:revision>
  <dcterms:created xsi:type="dcterms:W3CDTF">2023-02-22T22:00:00Z</dcterms:created>
  <dcterms:modified xsi:type="dcterms:W3CDTF">2023-03-02T18:56:00Z</dcterms:modified>
</cp:coreProperties>
</file>