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hanging="567" w:left="567"/>
        <w:jc w:val="center"/>
        <w:rPr>
          <w:rFonts w:ascii="Times New Roman" w:hAnsi="Times New Roman" w:cs="Times New Roman" w:asciiTheme="majorBidi" w:cstheme="majorBidi" w:hAnsiTheme="majorBidi"/>
          <w:b/>
          <w:bCs/>
          <w:sz w:val="36"/>
          <w:szCs w:val="36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6"/>
          <w:szCs w:val="36"/>
        </w:rPr>
        <w:t>QCM Lithi</w:t>
      </w:r>
      <w:bookmarkStart w:id="0" w:name="_GoBack"/>
      <w:bookmarkEnd w:id="0"/>
      <w:r>
        <w:rPr>
          <w:rFonts w:cs="Times New Roman" w:ascii="Times New Roman" w:hAnsi="Times New Roman" w:asciiTheme="majorBidi" w:cstheme="majorBidi" w:hAnsiTheme="majorBidi"/>
          <w:b/>
          <w:bCs/>
          <w:sz w:val="36"/>
          <w:szCs w:val="36"/>
        </w:rPr>
        <w:t>ases biliaires</w:t>
      </w:r>
    </w:p>
    <w:p>
      <w:pPr>
        <w:pStyle w:val="Normal"/>
        <w:spacing w:lineRule="auto" w:line="360"/>
        <w:ind w:hanging="567" w:left="567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spacing w:lineRule="auto" w:line="360"/>
        <w:ind w:hanging="567" w:left="567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Titre51"/>
        <w:keepNext w:val="true"/>
        <w:keepLines/>
        <w:spacing w:lineRule="auto" w:line="276"/>
        <w:ind w:hanging="567" w:left="567"/>
        <w:rPr>
          <w:rStyle w:val="Titre5"/>
          <w:rFonts w:ascii="Times New Roman" w:hAnsi="Times New Roman" w:cs="Times New Roman" w:asciiTheme="majorBidi" w:cstheme="majorBidi" w:hAnsiTheme="majorBidi"/>
          <w:b w:val="false"/>
          <w:bCs w:val="false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QCM 1 : </w:t>
      </w:r>
      <w:bookmarkStart w:id="1" w:name="bookmark4"/>
      <w:r>
        <w:rPr>
          <w:rStyle w:val="Titre5"/>
          <w:rFonts w:cs="Times New Roman" w:ascii="Times New Roman" w:hAnsi="Times New Roman" w:asciiTheme="majorBidi" w:cstheme="majorBidi" w:hAnsiTheme="majorBidi"/>
          <w:b w:val="false"/>
          <w:bCs w:val="false"/>
          <w:sz w:val="24"/>
          <w:szCs w:val="24"/>
        </w:rPr>
        <w:t xml:space="preserve">Parmi ces propositions, lesquelles sont vraies ? </w:t>
      </w:r>
      <w:bookmarkEnd w:id="1"/>
    </w:p>
    <w:p>
      <w:pPr>
        <w:pStyle w:val="Titre51"/>
        <w:keepNext w:val="true"/>
        <w:keepLines/>
        <w:numPr>
          <w:ilvl w:val="0"/>
          <w:numId w:val="1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b w:val="false"/>
          <w:bCs w:val="false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 w:val="false"/>
          <w:bCs w:val="false"/>
          <w:sz w:val="24"/>
          <w:szCs w:val="24"/>
        </w:rPr>
        <w:t>La plupart des sujets ayant une lithiase vésiculaire présentent une colique hépatique sans complication.</w:t>
      </w:r>
    </w:p>
    <w:p>
      <w:pPr>
        <w:pStyle w:val="Texteducorps1"/>
        <w:numPr>
          <w:ilvl w:val="0"/>
          <w:numId w:val="1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majorité des calculs vésiculaires sont de type cholestéroliques.</w:t>
      </w:r>
    </w:p>
    <w:p>
      <w:pPr>
        <w:pStyle w:val="Texteducorps1"/>
        <w:numPr>
          <w:ilvl w:val="0"/>
          <w:numId w:val="1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grossesse majore le risque de maladie lithiasique en entraînant un excès de sécrétion biliaire de cholestérol.</w:t>
      </w:r>
    </w:p>
    <w:p>
      <w:pPr>
        <w:pStyle w:val="Texteducorps1"/>
        <w:numPr>
          <w:ilvl w:val="0"/>
          <w:numId w:val="1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En cas de maladie hémolytique, l’augmentation de production de la bilirubine peut se compliquer de calculs cholestéroliques.</w:t>
      </w:r>
    </w:p>
    <w:p>
      <w:pPr>
        <w:pStyle w:val="Texteducorps1"/>
        <w:numPr>
          <w:ilvl w:val="0"/>
          <w:numId w:val="1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jeûne prolongé est un facteur de risque de lithiase vésiculaire.</w:t>
      </w:r>
    </w:p>
    <w:p>
      <w:pPr>
        <w:pStyle w:val="Texteducorps1"/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ind w:hanging="567" w:left="567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2 : </w:t>
      </w: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Parmi ces propositions, quels signes et symptômes peuvent-être retrouvés dans la colique hépatique ?</w:t>
      </w:r>
    </w:p>
    <w:p>
      <w:pPr>
        <w:pStyle w:val="Texteducorps1"/>
        <w:numPr>
          <w:ilvl w:val="0"/>
          <w:numId w:val="2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Ictère.</w:t>
      </w:r>
    </w:p>
    <w:p>
      <w:pPr>
        <w:pStyle w:val="Texteducorps1"/>
        <w:numPr>
          <w:ilvl w:val="0"/>
          <w:numId w:val="2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Signe de Murphy.</w:t>
      </w:r>
    </w:p>
    <w:p>
      <w:pPr>
        <w:pStyle w:val="Texteducorps1"/>
        <w:numPr>
          <w:ilvl w:val="0"/>
          <w:numId w:val="2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Fièvre.</w:t>
      </w:r>
    </w:p>
    <w:p>
      <w:pPr>
        <w:pStyle w:val="Texteducorps1"/>
        <w:numPr>
          <w:ilvl w:val="0"/>
          <w:numId w:val="2"/>
        </w:numPr>
        <w:spacing w:lineRule="auto" w:line="276"/>
        <w:ind w:hanging="567" w:left="567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Douleur à l'omoplate droite.</w:t>
      </w:r>
    </w:p>
    <w:p>
      <w:pPr>
        <w:pStyle w:val="Texteducorps1"/>
        <w:numPr>
          <w:ilvl w:val="0"/>
          <w:numId w:val="2"/>
        </w:numPr>
        <w:spacing w:lineRule="auto" w:line="276"/>
        <w:ind w:hanging="567" w:left="567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Masse de l’hypochondre droit</w:t>
      </w:r>
    </w:p>
    <w:p>
      <w:pPr>
        <w:pStyle w:val="Texteducorps1"/>
        <w:spacing w:lineRule="auto" w:line="276"/>
        <w:ind w:hanging="567" w:left="567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3 :</w:t>
      </w: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A propos de la douleur de colique hépatique :</w:t>
      </w:r>
    </w:p>
    <w:p>
      <w:pPr>
        <w:pStyle w:val="Texteducorps1"/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Texteducorps1"/>
        <w:numPr>
          <w:ilvl w:val="0"/>
          <w:numId w:val="3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A l'examen clinique, il y a une douleur provoquée lors de l'inspiration forcée, par la palpation du point de McBurney.</w:t>
      </w:r>
    </w:p>
    <w:p>
      <w:pPr>
        <w:pStyle w:val="Texteducorps1"/>
        <w:numPr>
          <w:ilvl w:val="0"/>
          <w:numId w:val="3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Les sujets peuvent se présenter avec une douleur de l'omoplate droite.</w:t>
      </w:r>
    </w:p>
    <w:p>
      <w:pPr>
        <w:pStyle w:val="Texteducorps1"/>
        <w:numPr>
          <w:ilvl w:val="0"/>
          <w:numId w:val="3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Une élévation des transaminases à la biologie témoigne d'une migration lithiasique.</w:t>
      </w:r>
    </w:p>
    <w:p>
      <w:pPr>
        <w:pStyle w:val="Texteducorps1"/>
        <w:numPr>
          <w:ilvl w:val="0"/>
          <w:numId w:val="3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C’est une douleur lié à la mise en tension des voies biliaires : le canal cystique ou le cholédoque.</w:t>
      </w:r>
    </w:p>
    <w:p>
      <w:pPr>
        <w:pStyle w:val="Texteducorps1"/>
        <w:numPr>
          <w:ilvl w:val="0"/>
          <w:numId w:val="3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colique hépatique simple s'accompagne d'un ictère.</w:t>
      </w:r>
    </w:p>
    <w:p>
      <w:pPr>
        <w:pStyle w:val="Texteducorps1"/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spacing w:lineRule="auto" w:line="276"/>
        <w:ind w:hanging="567" w:left="567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4 : </w:t>
      </w: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A propos de la cholécystite aigue :</w:t>
      </w:r>
    </w:p>
    <w:p>
      <w:pPr>
        <w:pStyle w:val="Texteducorps1"/>
        <w:numPr>
          <w:ilvl w:val="0"/>
          <w:numId w:val="4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Elle est due à une obstruction du cholédoque.</w:t>
      </w:r>
    </w:p>
    <w:p>
      <w:pPr>
        <w:pStyle w:val="Texteducorps1"/>
        <w:numPr>
          <w:ilvl w:val="0"/>
          <w:numId w:val="4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L'évolution peut se compliquer d’une péritonite biliaire.</w:t>
      </w:r>
    </w:p>
    <w:p>
      <w:pPr>
        <w:pStyle w:val="Texteducorps1"/>
        <w:numPr>
          <w:ilvl w:val="0"/>
          <w:numId w:val="4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NFS retrouve une élévation des PNN.</w:t>
      </w:r>
    </w:p>
    <w:p>
      <w:pPr>
        <w:pStyle w:val="Texteducorps1"/>
        <w:numPr>
          <w:ilvl w:val="0"/>
          <w:numId w:val="4"/>
        </w:numPr>
        <w:spacing w:lineRule="auto" w:line="276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L'échographie retrouve un épaississement des parois vésiculaires.</w:t>
      </w:r>
    </w:p>
    <w:p>
      <w:pPr>
        <w:pStyle w:val="Texteducorps1"/>
        <w:numPr>
          <w:ilvl w:val="0"/>
          <w:numId w:val="4"/>
        </w:numPr>
        <w:spacing w:lineRule="auto" w:line="276"/>
        <w:ind w:hanging="567" w:left="567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Les calculs sont hypoéchogènes avec renforcement postérieur.</w:t>
      </w:r>
    </w:p>
    <w:p>
      <w:pPr>
        <w:pStyle w:val="Texteducorps1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ind w:hanging="567" w:left="567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Texteducorps1"/>
        <w:spacing w:lineRule="auto" w:line="360"/>
        <w:ind w:hanging="567" w:left="567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5 : </w:t>
      </w: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Parmi ces propositions, lesquelles sont retrouvées dans l'angiocholite ?</w:t>
      </w:r>
    </w:p>
    <w:p>
      <w:pPr>
        <w:pStyle w:val="Texteducorps1"/>
        <w:numPr>
          <w:ilvl w:val="0"/>
          <w:numId w:val="5"/>
        </w:numPr>
        <w:spacing w:lineRule="auto" w:line="360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Ictère.</w:t>
      </w:r>
    </w:p>
    <w:p>
      <w:pPr>
        <w:pStyle w:val="Texteducorps1"/>
        <w:numPr>
          <w:ilvl w:val="0"/>
          <w:numId w:val="5"/>
        </w:numPr>
        <w:spacing w:lineRule="auto" w:line="360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Signe de Murphy.</w:t>
      </w:r>
    </w:p>
    <w:p>
      <w:pPr>
        <w:pStyle w:val="Texteducorps1"/>
        <w:numPr>
          <w:ilvl w:val="0"/>
          <w:numId w:val="5"/>
        </w:numPr>
        <w:spacing w:lineRule="auto" w:line="360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Fièvre.</w:t>
      </w:r>
    </w:p>
    <w:p>
      <w:pPr>
        <w:pStyle w:val="Texteducorps1"/>
        <w:numPr>
          <w:ilvl w:val="0"/>
          <w:numId w:val="5"/>
        </w:numPr>
        <w:spacing w:lineRule="auto" w:line="360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Douleur à l'omoplate droite.</w:t>
      </w:r>
    </w:p>
    <w:p>
      <w:pPr>
        <w:pStyle w:val="Texteducorps1"/>
        <w:numPr>
          <w:ilvl w:val="0"/>
          <w:numId w:val="5"/>
        </w:numPr>
        <w:spacing w:lineRule="auto" w:line="360"/>
        <w:ind w:hanging="567" w:left="567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Autres"/>
          <w:rFonts w:cs="Times New Roman" w:ascii="Times New Roman" w:hAnsi="Times New Roman" w:asciiTheme="majorBidi" w:cstheme="majorBidi" w:hAnsiTheme="majorBidi"/>
          <w:sz w:val="24"/>
          <w:szCs w:val="24"/>
        </w:rPr>
        <w:t>Masse de l'hypochondre droit.</w:t>
      </w:r>
    </w:p>
    <w:p>
      <w:pPr>
        <w:pStyle w:val="Texteducorps1"/>
        <w:spacing w:lineRule="auto" w:line="360"/>
        <w:ind w:hanging="567" w:left="567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6 : </w:t>
      </w: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Concernant l’échographie hépatique</w:t>
      </w:r>
    </w:p>
    <w:p>
      <w:pPr>
        <w:pStyle w:val="Texteducorps1"/>
        <w:numPr>
          <w:ilvl w:val="0"/>
          <w:numId w:val="6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C'est l'examen de première intention à prescrire pour une pathologie lithiasique.</w:t>
      </w:r>
    </w:p>
    <w:p>
      <w:pPr>
        <w:pStyle w:val="Texteducorps1"/>
        <w:numPr>
          <w:ilvl w:val="0"/>
          <w:numId w:val="6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diagnostic de pancréatite aigüe est possible à l'aide de l’échographie.</w:t>
      </w:r>
    </w:p>
    <w:p>
      <w:pPr>
        <w:pStyle w:val="Texteducorps1"/>
        <w:numPr>
          <w:ilvl w:val="0"/>
          <w:numId w:val="6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Les calculs vésiculaires, même de toute petite taille, sont bien visualisés.</w:t>
      </w:r>
    </w:p>
    <w:p>
      <w:pPr>
        <w:pStyle w:val="Texteducorps1"/>
        <w:numPr>
          <w:ilvl w:val="0"/>
          <w:numId w:val="6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Une dilatation du cholédoque est retrouvée en cas de colique hépatique simple.</w:t>
      </w:r>
    </w:p>
    <w:p>
      <w:pPr>
        <w:pStyle w:val="Texteducorps1"/>
        <w:numPr>
          <w:ilvl w:val="0"/>
          <w:numId w:val="6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Il y a un épaississement des parois vésiculaires en cas de cholécystite aigue.</w:t>
      </w:r>
    </w:p>
    <w:p>
      <w:pPr>
        <w:pStyle w:val="Texteducorps1"/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7 : </w:t>
      </w: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Parmi ces propositions, lesquelles peuvent-être retrouvés dans la cholécystite aigue.</w:t>
      </w:r>
    </w:p>
    <w:p>
      <w:pPr>
        <w:pStyle w:val="Texteducorps1"/>
        <w:numPr>
          <w:ilvl w:val="0"/>
          <w:numId w:val="7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Ictère.</w:t>
      </w:r>
    </w:p>
    <w:p>
      <w:pPr>
        <w:pStyle w:val="Texteducorps1"/>
        <w:numPr>
          <w:ilvl w:val="0"/>
          <w:numId w:val="7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Signe de Murphy.</w:t>
      </w:r>
    </w:p>
    <w:p>
      <w:pPr>
        <w:pStyle w:val="Texteducorps1"/>
        <w:numPr>
          <w:ilvl w:val="0"/>
          <w:numId w:val="7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Fièvre.</w:t>
      </w:r>
    </w:p>
    <w:p>
      <w:pPr>
        <w:pStyle w:val="Texteducorps1"/>
        <w:numPr>
          <w:ilvl w:val="0"/>
          <w:numId w:val="7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Douleur à l'omoplate droite.</w:t>
      </w:r>
    </w:p>
    <w:p>
      <w:pPr>
        <w:pStyle w:val="Texteducorps1"/>
        <w:numPr>
          <w:ilvl w:val="0"/>
          <w:numId w:val="7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Masse de l'hypochondre droit.</w:t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8 : Parmi ces </w:t>
      </w: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propositions, lesquelles sont vraies ?</w:t>
      </w:r>
    </w:p>
    <w:p>
      <w:pPr>
        <w:pStyle w:val="Texteducorps1"/>
        <w:numPr>
          <w:ilvl w:val="0"/>
          <w:numId w:val="8"/>
        </w:numPr>
        <w:spacing w:lineRule="auto" w:line="360"/>
        <w:rPr>
          <w:rStyle w:val="Autre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Il est important de dépister </w:t>
      </w:r>
      <w:r>
        <w:rPr>
          <w:rStyle w:val="Autres"/>
          <w:rFonts w:cs="Times New Roman" w:ascii="Times New Roman" w:hAnsi="Times New Roman" w:asciiTheme="majorBidi" w:cstheme="majorBidi" w:hAnsiTheme="majorBidi"/>
          <w:sz w:val="24"/>
          <w:szCs w:val="24"/>
        </w:rPr>
        <w:t>la lithiase vésiculaire afin de prévenir les complications évolutives</w:t>
      </w:r>
    </w:p>
    <w:p>
      <w:pPr>
        <w:pStyle w:val="Texteducorps1"/>
        <w:numPr>
          <w:ilvl w:val="0"/>
          <w:numId w:val="8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prise en charge thérapeutique d’une lithiase vésiculaire asymptomatique est la cholécystectomie à programmer</w:t>
      </w:r>
    </w:p>
    <w:p>
      <w:pPr>
        <w:pStyle w:val="Texteducorps1"/>
        <w:numPr>
          <w:ilvl w:val="0"/>
          <w:numId w:val="8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sexe féminin est un facteur de risque de maladie lithiasique (calculs cholestéroliques)</w:t>
      </w:r>
    </w:p>
    <w:p>
      <w:pPr>
        <w:pStyle w:val="Texteducorps1"/>
        <w:numPr>
          <w:ilvl w:val="0"/>
          <w:numId w:val="8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dépistage de la lithiase cholédoque est inutile</w:t>
      </w:r>
    </w:p>
    <w:p>
      <w:pPr>
        <w:pStyle w:val="Texteducorps1"/>
        <w:numPr>
          <w:ilvl w:val="0"/>
          <w:numId w:val="8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sténoses cholédociennes est un facteur de risque de lithiase pigmentaire</w:t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9 : </w:t>
      </w: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A propos de l’angiocholite aigue :</w:t>
      </w:r>
    </w:p>
    <w:p>
      <w:pPr>
        <w:pStyle w:val="Texteducorps1"/>
        <w:numPr>
          <w:ilvl w:val="0"/>
          <w:numId w:val="9"/>
        </w:numPr>
        <w:spacing w:lineRule="auto" w:line="360"/>
        <w:rPr>
          <w:rStyle w:val="Autres"/>
          <w:rFonts w:ascii="Times New Roman" w:hAnsi="Times New Roman" w:eastAsia="Arial Unicode MS" w:cs="Times New Roman" w:asciiTheme="majorBidi" w:cstheme="majorBidi" w:hAnsiTheme="majorBidi"/>
          <w:sz w:val="24"/>
          <w:szCs w:val="24"/>
        </w:rPr>
      </w:pPr>
      <w:r>
        <w:rPr>
          <w:rStyle w:val="Autres"/>
          <w:rFonts w:eastAsia="Arial Unicode MS" w:cs="Times New Roman" w:ascii="Times New Roman" w:hAnsi="Times New Roman" w:asciiTheme="majorBidi" w:cstheme="majorBidi" w:hAnsiTheme="majorBidi"/>
          <w:sz w:val="24"/>
          <w:szCs w:val="24"/>
        </w:rPr>
        <w:t>C'est une infection de la voie binaire principale</w:t>
      </w:r>
    </w:p>
    <w:p>
      <w:pPr>
        <w:pStyle w:val="Texteducorps1"/>
        <w:numPr>
          <w:ilvl w:val="0"/>
          <w:numId w:val="9"/>
        </w:numPr>
        <w:spacing w:lineRule="auto" w:line="360"/>
        <w:rPr>
          <w:rStyle w:val="Texteducorps"/>
          <w:rFonts w:ascii="Times New Roman" w:hAnsi="Times New Roman" w:eastAsia="Arial Unicode MS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syndrome infectieux est au premier plan, jusqu’ au choc septique</w:t>
      </w:r>
    </w:p>
    <w:p>
      <w:pPr>
        <w:pStyle w:val="Texteducorps1"/>
        <w:numPr>
          <w:ilvl w:val="0"/>
          <w:numId w:val="9"/>
        </w:numPr>
        <w:spacing w:lineRule="auto" w:line="360"/>
        <w:rPr>
          <w:rStyle w:val="Texteducorps"/>
          <w:rFonts w:ascii="Times New Roman" w:hAnsi="Times New Roman" w:eastAsia="Arial Unicode MS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En cas d'altération majeure de létal générale il faut penser au cancer de la tête du pancréas</w:t>
      </w:r>
    </w:p>
    <w:p>
      <w:pPr>
        <w:pStyle w:val="Texteducorps1"/>
        <w:numPr>
          <w:ilvl w:val="0"/>
          <w:numId w:val="9"/>
        </w:numPr>
        <w:spacing w:lineRule="auto" w:line="360"/>
        <w:rPr>
          <w:rFonts w:ascii="Times New Roman" w:hAnsi="Times New Roman" w:eastAsia="Arial Unicode MS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Elle se traduit par l’apparition successive de : fièvre - douleur - Ictère.</w:t>
      </w:r>
    </w:p>
    <w:p>
      <w:pPr>
        <w:pStyle w:val="Texteducorps1"/>
        <w:numPr>
          <w:ilvl w:val="0"/>
          <w:numId w:val="9"/>
        </w:numPr>
        <w:spacing w:lineRule="auto" w:line="360"/>
        <w:rPr>
          <w:rStyle w:val="Autres"/>
          <w:rFonts w:ascii="Times New Roman" w:hAnsi="Times New Roman" w:eastAsia="Arial Unicode MS" w:cs="Times New Roman" w:asciiTheme="majorBidi" w:cstheme="majorBidi" w:hAnsiTheme="majorBidi"/>
          <w:sz w:val="24"/>
          <w:szCs w:val="24"/>
        </w:rPr>
      </w:pPr>
      <w:r>
        <w:rPr>
          <w:rStyle w:val="Autres"/>
          <w:rFonts w:cs="Times New Roman" w:ascii="Times New Roman" w:hAnsi="Times New Roman" w:asciiTheme="majorBidi" w:cstheme="majorBidi" w:hAnsiTheme="majorBidi"/>
          <w:sz w:val="24"/>
          <w:szCs w:val="24"/>
        </w:rPr>
        <w:t>Biologiquement, il y a une cytolyse sans cholestase</w:t>
      </w:r>
    </w:p>
    <w:p>
      <w:pPr>
        <w:pStyle w:val="Texteducorps1"/>
        <w:spacing w:lineRule="auto" w:line="360"/>
        <w:rPr>
          <w:rStyle w:val="Autre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Autre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10 : </w:t>
      </w: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Parmi ces propositions, lesquelles sont retrouvées dans I hydrocholecyste ?</w:t>
      </w:r>
    </w:p>
    <w:p>
      <w:pPr>
        <w:pStyle w:val="Texteducorps1"/>
        <w:numPr>
          <w:ilvl w:val="0"/>
          <w:numId w:val="10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Ictère.</w:t>
      </w:r>
    </w:p>
    <w:p>
      <w:pPr>
        <w:pStyle w:val="Texteducorps1"/>
        <w:numPr>
          <w:ilvl w:val="0"/>
          <w:numId w:val="10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Signe de Murphy.</w:t>
      </w:r>
    </w:p>
    <w:p>
      <w:pPr>
        <w:pStyle w:val="Texteducorps1"/>
        <w:numPr>
          <w:ilvl w:val="0"/>
          <w:numId w:val="10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Fièvre.</w:t>
      </w:r>
    </w:p>
    <w:p>
      <w:pPr>
        <w:pStyle w:val="Texteducorps1"/>
        <w:numPr>
          <w:ilvl w:val="0"/>
          <w:numId w:val="10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Douleur à l'omoplate droite. </w:t>
      </w:r>
    </w:p>
    <w:p>
      <w:pPr>
        <w:pStyle w:val="Texteducorps1"/>
        <w:numPr>
          <w:ilvl w:val="0"/>
          <w:numId w:val="10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Masse de l'hypochondre droit</w:t>
      </w:r>
    </w:p>
    <w:p>
      <w:pPr>
        <w:pStyle w:val="Texteducorps1"/>
        <w:tabs>
          <w:tab w:val="clear" w:pos="708"/>
          <w:tab w:val="left" w:pos="509" w:leader="hyphen"/>
        </w:tabs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11 : </w:t>
      </w: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A l’aide de quels examens peut-on mettre en évidence des calculs radio transparents du cholédoque?</w:t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Texteducorps1"/>
        <w:numPr>
          <w:ilvl w:val="0"/>
          <w:numId w:val="11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Echographie hépatique.</w:t>
      </w:r>
    </w:p>
    <w:p>
      <w:pPr>
        <w:pStyle w:val="Texteducorps1"/>
        <w:numPr>
          <w:ilvl w:val="0"/>
          <w:numId w:val="11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Scanner abdominal.</w:t>
      </w:r>
    </w:p>
    <w:p>
      <w:pPr>
        <w:pStyle w:val="Texteducorps1"/>
        <w:numPr>
          <w:ilvl w:val="0"/>
          <w:numId w:val="11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ASP.</w:t>
      </w:r>
    </w:p>
    <w:p>
      <w:pPr>
        <w:pStyle w:val="Texteducorps1"/>
        <w:numPr>
          <w:ilvl w:val="0"/>
          <w:numId w:val="11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Echo-endoscopie.</w:t>
      </w:r>
    </w:p>
    <w:p>
      <w:pPr>
        <w:pStyle w:val="Texteducorps1"/>
        <w:numPr>
          <w:ilvl w:val="0"/>
          <w:numId w:val="11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Arial Unicode MS" w:cs="Times New Roman" w:ascii="Times New Roman" w:hAnsi="Times New Roman" w:asciiTheme="majorBidi" w:cstheme="majorBidi" w:hAnsiTheme="majorBidi"/>
          <w:sz w:val="24"/>
          <w:szCs w:val="24"/>
        </w:rPr>
        <w:t>Cholangio-IRM</w:t>
      </w:r>
    </w:p>
    <w:p>
      <w:pPr>
        <w:pStyle w:val="Texteducorps1"/>
        <w:spacing w:lineRule="auto" w:line="360"/>
        <w:rPr>
          <w:rFonts w:ascii="Times New Roman" w:hAnsi="Times New Roman" w:eastAsia="Arial Unicode MS" w:cs="Times New Roman" w:asciiTheme="majorBidi" w:cstheme="majorBidi" w:hAnsiTheme="majorBidi"/>
          <w:sz w:val="24"/>
          <w:szCs w:val="24"/>
        </w:rPr>
      </w:pPr>
      <w:r>
        <w:rPr>
          <w:rFonts w:eastAsia="Arial Unicode MS" w:cs="Times New Roman" w:cstheme="majorBidi" w:ascii="Times New Roman" w:hAnsi="Times New Roman"/>
          <w:sz w:val="24"/>
          <w:szCs w:val="24"/>
        </w:rPr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12 : </w:t>
      </w: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Parmi les propositions suivantes, lesquelles sont un facteur de risque de maladie lithiasique ?</w:t>
      </w:r>
    </w:p>
    <w:p>
      <w:pPr>
        <w:pStyle w:val="Texteducorps1"/>
        <w:numPr>
          <w:ilvl w:val="0"/>
          <w:numId w:val="12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Sexe féminin. </w:t>
      </w:r>
    </w:p>
    <w:p>
      <w:pPr>
        <w:pStyle w:val="Texteducorps1"/>
        <w:numPr>
          <w:ilvl w:val="0"/>
          <w:numId w:val="12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Multiparité. </w:t>
      </w:r>
    </w:p>
    <w:p>
      <w:pPr>
        <w:pStyle w:val="Texteducorps1"/>
        <w:numPr>
          <w:ilvl w:val="0"/>
          <w:numId w:val="12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Surpoids. </w:t>
      </w:r>
    </w:p>
    <w:p>
      <w:pPr>
        <w:pStyle w:val="Texteducorps1"/>
        <w:numPr>
          <w:ilvl w:val="0"/>
          <w:numId w:val="12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Jeûne.</w:t>
      </w:r>
    </w:p>
    <w:p>
      <w:pPr>
        <w:pStyle w:val="Texteducorps1"/>
        <w:numPr>
          <w:ilvl w:val="0"/>
          <w:numId w:val="12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L'âge avancé</w:t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Texteducorps1"/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13 : </w:t>
      </w: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A propos de la prise en charge d'une cholécystite aigue lithiasique :</w:t>
      </w:r>
    </w:p>
    <w:p>
      <w:pPr>
        <w:pStyle w:val="Texteducorps1"/>
        <w:numPr>
          <w:ilvl w:val="0"/>
          <w:numId w:val="13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cholécystectomie est à programmer dans les 3 mois, à froid.</w:t>
      </w:r>
    </w:p>
    <w:p>
      <w:pPr>
        <w:pStyle w:val="Texteducorps1"/>
        <w:numPr>
          <w:ilvl w:val="0"/>
          <w:numId w:val="13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Un remplissage vasculaire adapté à l'hémodynamique précoce est mis en route.</w:t>
      </w:r>
    </w:p>
    <w:p>
      <w:pPr>
        <w:pStyle w:val="Texteducorps1"/>
        <w:numPr>
          <w:ilvl w:val="0"/>
          <w:numId w:val="13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Une cholécystectomie est réalisée en urgence.</w:t>
      </w:r>
    </w:p>
    <w:p>
      <w:pPr>
        <w:pStyle w:val="Texteducorps1"/>
        <w:numPr>
          <w:ilvl w:val="0"/>
          <w:numId w:val="13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sphinctérotomie endoscopique biliaire est réalisée en urgence.</w:t>
      </w:r>
    </w:p>
    <w:p>
      <w:pPr>
        <w:pStyle w:val="Texteducorps1"/>
        <w:numPr>
          <w:ilvl w:val="0"/>
          <w:numId w:val="13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Elle inclut une antibiothérapie active sur les germes digestifs.</w:t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Texteducorps1"/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14 : Concernant </w:t>
      </w: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 les calculs vésiculaires asymptomatiques :</w:t>
      </w:r>
    </w:p>
    <w:p>
      <w:pPr>
        <w:pStyle w:val="Texteducorps1"/>
        <w:numPr>
          <w:ilvl w:val="0"/>
          <w:numId w:val="14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traitement repose sur une cholécystectomie programmée.</w:t>
      </w:r>
    </w:p>
    <w:p>
      <w:pPr>
        <w:pStyle w:val="Texteducorps1"/>
        <w:numPr>
          <w:ilvl w:val="0"/>
          <w:numId w:val="14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sludge vésiculaire ne nécessite pas de prise en charge thérapeutique.</w:t>
      </w:r>
    </w:p>
    <w:p>
      <w:pPr>
        <w:pStyle w:val="Texteducorps1"/>
        <w:numPr>
          <w:ilvl w:val="0"/>
          <w:numId w:val="14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traitement chirurgical est indiqué en cas de douleurs abdominales diffuses chroniques.</w:t>
      </w:r>
    </w:p>
    <w:p>
      <w:pPr>
        <w:pStyle w:val="Texteducorps1"/>
        <w:numPr>
          <w:ilvl w:val="0"/>
          <w:numId w:val="14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Un suivi au long cours est nécessaire, avec une échographie hépatique et des voies biliaires par an.</w:t>
      </w:r>
    </w:p>
    <w:p>
      <w:pPr>
        <w:pStyle w:val="Texteducorps1"/>
        <w:numPr>
          <w:ilvl w:val="0"/>
          <w:numId w:val="14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Il n'y a pas d’indication à un traitement chirurgical.</w:t>
      </w:r>
    </w:p>
    <w:p>
      <w:pPr>
        <w:pStyle w:val="Texteducorps1"/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15 : Pour les calculs de la voie biliaire principale :</w:t>
      </w:r>
    </w:p>
    <w:p>
      <w:pPr>
        <w:pStyle w:val="Texteducorps1"/>
        <w:numPr>
          <w:ilvl w:val="0"/>
          <w:numId w:val="15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Une désobstruction de la voie biliaire principale est nécessaire, même si le sujet est asymptomatique </w:t>
      </w:r>
    </w:p>
    <w:p>
      <w:pPr>
        <w:pStyle w:val="Texteducorps1"/>
        <w:numPr>
          <w:ilvl w:val="0"/>
          <w:numId w:val="15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traitement repose sur une cholécystectomie seule.</w:t>
      </w:r>
    </w:p>
    <w:p>
      <w:pPr>
        <w:pStyle w:val="Texteducorps1"/>
        <w:numPr>
          <w:ilvl w:val="0"/>
          <w:numId w:val="15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Il n’y a pas d’indication à traiter en cas de calculs asymptomatiques.</w:t>
      </w:r>
    </w:p>
    <w:p>
      <w:pPr>
        <w:pStyle w:val="Texteducorps1"/>
        <w:numPr>
          <w:ilvl w:val="0"/>
          <w:numId w:val="15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Une sphinctérotomie endoscopique biliaire est possible.</w:t>
      </w:r>
    </w:p>
    <w:p>
      <w:pPr>
        <w:pStyle w:val="Texteducorps1"/>
        <w:numPr>
          <w:ilvl w:val="0"/>
          <w:numId w:val="15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cholécystectomie est obligatoire.</w:t>
      </w:r>
    </w:p>
    <w:p>
      <w:pPr>
        <w:pStyle w:val="Texteducorps1"/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16 : Parmi ces Propositions, lesquelles font partie du traitement de l'angiocholite lithiasique ?</w:t>
      </w:r>
    </w:p>
    <w:p>
      <w:pPr>
        <w:pStyle w:val="Texteducorps1"/>
        <w:numPr>
          <w:ilvl w:val="0"/>
          <w:numId w:val="16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Antibiothérapie large spectre active sur les germes digestifs.</w:t>
      </w:r>
    </w:p>
    <w:p>
      <w:pPr>
        <w:pStyle w:val="Texteducorps1"/>
        <w:numPr>
          <w:ilvl w:val="0"/>
          <w:numId w:val="16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Cholécystectomie en urgence.</w:t>
      </w:r>
    </w:p>
    <w:p>
      <w:pPr>
        <w:pStyle w:val="Texteducorps1"/>
        <w:numPr>
          <w:ilvl w:val="0"/>
          <w:numId w:val="16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Remplissage vasculaire. </w:t>
      </w:r>
    </w:p>
    <w:p>
      <w:pPr>
        <w:pStyle w:val="Texteducorps1"/>
        <w:numPr>
          <w:ilvl w:val="0"/>
          <w:numId w:val="16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Cholécystectomie à froid.</w:t>
      </w:r>
    </w:p>
    <w:p>
      <w:pPr>
        <w:pStyle w:val="Texteducorps1"/>
        <w:numPr>
          <w:ilvl w:val="0"/>
          <w:numId w:val="16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Sphinctérotomie endoscopique lors d’une cholangiographie rétrograde endoscopique en urgence</w:t>
      </w:r>
    </w:p>
    <w:p>
      <w:pPr>
        <w:pStyle w:val="Texteducorps1"/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17 : </w:t>
      </w: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prise en charge thérapeutique de la colique hépatique simple :</w:t>
      </w:r>
    </w:p>
    <w:p>
      <w:pPr>
        <w:pStyle w:val="Texteducorps1"/>
        <w:numPr>
          <w:ilvl w:val="0"/>
          <w:numId w:val="17"/>
        </w:numPr>
        <w:spacing w:lineRule="auto" w:line="3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Repose sur une cholécystectomie en urgence.</w:t>
      </w:r>
    </w:p>
    <w:p>
      <w:pPr>
        <w:pStyle w:val="Texteducorps1"/>
        <w:numPr>
          <w:ilvl w:val="0"/>
          <w:numId w:val="17"/>
        </w:numPr>
        <w:spacing w:lineRule="auto" w:line="3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Repose sur une cholécystectomie à froid.</w:t>
      </w:r>
    </w:p>
    <w:p>
      <w:pPr>
        <w:pStyle w:val="Texteducorps1"/>
        <w:numPr>
          <w:ilvl w:val="0"/>
          <w:numId w:val="17"/>
        </w:numPr>
        <w:spacing w:lineRule="auto" w:line="3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Les antispasmodiques sont efficaces pour l'antalgie.</w:t>
      </w:r>
    </w:p>
    <w:p>
      <w:pPr>
        <w:pStyle w:val="Texteducorps1"/>
        <w:numPr>
          <w:ilvl w:val="0"/>
          <w:numId w:val="17"/>
        </w:numPr>
        <w:spacing w:lineRule="auto" w:line="3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Repose sur une antibiothérapie en urgence.</w:t>
      </w:r>
    </w:p>
    <w:p>
      <w:pPr>
        <w:pStyle w:val="Texteducorps1"/>
        <w:numPr>
          <w:ilvl w:val="0"/>
          <w:numId w:val="17"/>
        </w:numPr>
        <w:spacing w:lineRule="auto" w:line="3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cholangio-pancréatographie rétrograde endoscopique avec sphinctérotomie endoscopique est à programmer</w:t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18 : </w:t>
      </w: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' Quels sont les diagnostics différentiels de la maladie lithiasique, en cas d'angiocholite?</w:t>
      </w:r>
    </w:p>
    <w:p>
      <w:pPr>
        <w:pStyle w:val="Texteducorps1"/>
        <w:numPr>
          <w:ilvl w:val="0"/>
          <w:numId w:val="18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Parasitose: ascaridiose.</w:t>
      </w:r>
    </w:p>
    <w:p>
      <w:pPr>
        <w:pStyle w:val="Texteducorps1"/>
        <w:numPr>
          <w:ilvl w:val="0"/>
          <w:numId w:val="18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Cancer de la tête du pancréas.</w:t>
      </w:r>
    </w:p>
    <w:p>
      <w:pPr>
        <w:pStyle w:val="Texteducorps1"/>
        <w:numPr>
          <w:ilvl w:val="0"/>
          <w:numId w:val="18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Cancer de la queue du pancréas.</w:t>
      </w:r>
    </w:p>
    <w:p>
      <w:pPr>
        <w:pStyle w:val="Texteducorps1"/>
        <w:numPr>
          <w:ilvl w:val="0"/>
          <w:numId w:val="18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Cholangiocarcinome.</w:t>
      </w:r>
    </w:p>
    <w:p>
      <w:pPr>
        <w:pStyle w:val="Texteducorps1"/>
        <w:numPr>
          <w:ilvl w:val="0"/>
          <w:numId w:val="18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Pseudo-kystes pancréatiques</w:t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Autres1"/>
        <w:spacing w:lineRule="auto" w:line="360"/>
        <w:rPr>
          <w:rStyle w:val="Autre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19 : </w:t>
      </w:r>
      <w:r>
        <w:rPr>
          <w:rStyle w:val="Autres"/>
          <w:rFonts w:cs="Times New Roman" w:ascii="Times New Roman" w:hAnsi="Times New Roman" w:asciiTheme="majorBidi" w:cstheme="majorBidi" w:hAnsiTheme="majorBidi"/>
          <w:sz w:val="24"/>
          <w:szCs w:val="24"/>
        </w:rPr>
        <w:t>Lesquelles de ces perturbations biologiques sont retrouvées dans l’angiocholite ?</w:t>
      </w:r>
    </w:p>
    <w:p>
      <w:pPr>
        <w:pStyle w:val="Autres1"/>
        <w:numPr>
          <w:ilvl w:val="0"/>
          <w:numId w:val="19"/>
        </w:numPr>
        <w:spacing w:lineRule="auto" w:line="360"/>
        <w:rPr>
          <w:rStyle w:val="Lgendedutableau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Lgendedutableau"/>
          <w:rFonts w:cs="Times New Roman" w:ascii="Times New Roman" w:hAnsi="Times New Roman" w:asciiTheme="majorBidi" w:cstheme="majorBidi" w:hAnsiTheme="majorBidi"/>
          <w:sz w:val="24"/>
          <w:szCs w:val="24"/>
        </w:rPr>
        <w:t>Elévation des polynucléaires neutrophiles.</w:t>
      </w:r>
    </w:p>
    <w:p>
      <w:pPr>
        <w:pStyle w:val="Autres1"/>
        <w:numPr>
          <w:ilvl w:val="0"/>
          <w:numId w:val="19"/>
        </w:numPr>
        <w:spacing w:lineRule="auto" w:line="360"/>
        <w:rPr>
          <w:rStyle w:val="Lgendedutableau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Lgendedutableau"/>
          <w:rFonts w:cs="Times New Roman" w:ascii="Times New Roman" w:hAnsi="Times New Roman" w:asciiTheme="majorBidi" w:cstheme="majorBidi" w:hAnsiTheme="majorBidi"/>
          <w:sz w:val="24"/>
          <w:szCs w:val="24"/>
        </w:rPr>
        <w:t>Elévation de la CRP.</w:t>
      </w:r>
    </w:p>
    <w:p>
      <w:pPr>
        <w:pStyle w:val="Autres1"/>
        <w:numPr>
          <w:ilvl w:val="0"/>
          <w:numId w:val="19"/>
        </w:numPr>
        <w:spacing w:lineRule="auto" w:line="360"/>
        <w:rPr>
          <w:rStyle w:val="Lgendedutableau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Lgendedutableau"/>
          <w:rFonts w:cs="Times New Roman" w:ascii="Times New Roman" w:hAnsi="Times New Roman" w:asciiTheme="majorBidi" w:cstheme="majorBidi" w:hAnsiTheme="majorBidi"/>
          <w:sz w:val="24"/>
          <w:szCs w:val="24"/>
        </w:rPr>
        <w:t>Elévation des transaminases.</w:t>
      </w:r>
    </w:p>
    <w:p>
      <w:pPr>
        <w:pStyle w:val="Autres1"/>
        <w:numPr>
          <w:ilvl w:val="0"/>
          <w:numId w:val="19"/>
        </w:numPr>
        <w:spacing w:lineRule="auto" w:line="360"/>
        <w:rPr>
          <w:rStyle w:val="Lgendedutableau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Lgendedutableau"/>
          <w:rFonts w:cs="Times New Roman" w:ascii="Times New Roman" w:hAnsi="Times New Roman" w:asciiTheme="majorBidi" w:cstheme="majorBidi" w:hAnsiTheme="majorBidi"/>
          <w:sz w:val="24"/>
          <w:szCs w:val="24"/>
        </w:rPr>
        <w:t>Augmentation des PAL, gamma GT.</w:t>
      </w:r>
    </w:p>
    <w:p>
      <w:pPr>
        <w:pStyle w:val="Autres1"/>
        <w:numPr>
          <w:ilvl w:val="0"/>
          <w:numId w:val="19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Augmentation de la bilirubine libre.</w:t>
      </w:r>
    </w:p>
    <w:p>
      <w:pPr>
        <w:pStyle w:val="Texteducorps1"/>
        <w:spacing w:lineRule="auto" w:line="3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Texteducorps1"/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20 : </w:t>
      </w: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Concernant la pancréatite aigüe biliaire :</w:t>
      </w:r>
    </w:p>
    <w:p>
      <w:pPr>
        <w:pStyle w:val="Texteducorps1"/>
        <w:numPr>
          <w:ilvl w:val="0"/>
          <w:numId w:val="20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Un calcul est enclavé dans la voie biliaire principale</w:t>
      </w:r>
    </w:p>
    <w:p>
      <w:pPr>
        <w:pStyle w:val="Texteducorps1"/>
        <w:numPr>
          <w:ilvl w:val="0"/>
          <w:numId w:val="20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traitement repose sur la sphinctérotomie endoscopique en urgence pendant la cholangiopancréatographie rétrograde endoscopique.</w:t>
      </w:r>
    </w:p>
    <w:p>
      <w:pPr>
        <w:pStyle w:val="Texteducorps1"/>
        <w:numPr>
          <w:ilvl w:val="0"/>
          <w:numId w:val="20"/>
        </w:numPr>
        <w:spacing w:lineRule="auto" w:line="360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L'échographie des voies biliaires doit-être faite en urgence pour déterminer la cause biliaire. </w:t>
      </w:r>
    </w:p>
    <w:p>
      <w:pPr>
        <w:pStyle w:val="Texteducorps1"/>
        <w:numPr>
          <w:ilvl w:val="0"/>
          <w:numId w:val="20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scanner abdominal doit-être fait en urgence pour déterminer le score de Balthazar.</w:t>
      </w:r>
    </w:p>
    <w:p>
      <w:pPr>
        <w:pStyle w:val="Texteducorps1"/>
        <w:numPr>
          <w:ilvl w:val="0"/>
          <w:numId w:val="20"/>
        </w:numPr>
        <w:spacing w:lineRule="auto" w:line="36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traitement repose sur la cholécystectomie en urgence.</w:t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jc w:val="center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</w:rPr>
        <w:t>Réponse QCM Lithiases biliaires</w:t>
      </w:r>
    </w:p>
    <w:p>
      <w:pPr>
        <w:pStyle w:val="Texteducorps1"/>
        <w:jc w:val="center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</w:rPr>
      </w:r>
    </w:p>
    <w:p>
      <w:pPr>
        <w:pStyle w:val="Texteducorps1"/>
        <w:spacing w:lineRule="auto" w:line="360"/>
        <w:ind w:hanging="426"/>
        <w:jc w:val="both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B, C, E :</w:t>
      </w:r>
    </w:p>
    <w:p>
      <w:pPr>
        <w:pStyle w:val="Texteducorps1"/>
        <w:numPr>
          <w:ilvl w:val="0"/>
          <w:numId w:val="22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Dans plus de 80% des cas. les lithiases vésiculaires sont asymptomatiques.</w:t>
      </w:r>
    </w:p>
    <w:p>
      <w:pPr>
        <w:pStyle w:val="Texteducorps1"/>
        <w:numPr>
          <w:ilvl w:val="0"/>
          <w:numId w:val="22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Il y a 3 types de calculs : cholestéroliques, pigmentaires et mixtes.</w:t>
      </w:r>
    </w:p>
    <w:p>
      <w:pPr>
        <w:pStyle w:val="Texteducorps1"/>
        <w:numPr>
          <w:ilvl w:val="0"/>
          <w:numId w:val="22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Pendant la grossesse, il y a aussi une rétention vésiculaire, qui favorise leur survenue.</w:t>
      </w:r>
    </w:p>
    <w:p>
      <w:pPr>
        <w:pStyle w:val="Texteducorps1"/>
        <w:numPr>
          <w:ilvl w:val="0"/>
          <w:numId w:val="22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Les calculs liés à un excès de bilirubine libre sont pigmentaires</w:t>
      </w:r>
    </w:p>
    <w:p>
      <w:pPr>
        <w:pStyle w:val="Texteducorps1"/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B, D :</w:t>
      </w:r>
    </w:p>
    <w:p>
      <w:pPr>
        <w:pStyle w:val="Texteducorps1"/>
        <w:numPr>
          <w:ilvl w:val="0"/>
          <w:numId w:val="23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Il n'y a pas d'ictère dans la colique hépatique car pas d’atteinte de la voie biliaire principale.</w:t>
      </w:r>
    </w:p>
    <w:p>
      <w:pPr>
        <w:pStyle w:val="Texteducorps1"/>
        <w:numPr>
          <w:ilvl w:val="0"/>
          <w:numId w:val="23"/>
        </w:numPr>
        <w:spacing w:lineRule="auto" w:line="360" w:before="0" w:after="4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syndrome infectieux témoigne d'une complication : la cholécystite, L’angiocholite</w:t>
      </w:r>
      <w:r>
        <w:rPr>
          <w:rStyle w:val="Texteducorps"/>
          <w:rFonts w:cs="Times New Roman" w:ascii="Times New Roman" w:hAnsi="Times New Roman" w:asciiTheme="majorBidi" w:cstheme="majorBidi" w:hAnsiTheme="majorBidi"/>
        </w:rPr>
        <w:t>.</w:t>
      </w:r>
    </w:p>
    <w:p>
      <w:pPr>
        <w:pStyle w:val="Texteducorps1"/>
        <w:spacing w:lineRule="auto" w:line="360" w:before="0" w:after="4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Texteducorps1"/>
        <w:numPr>
          <w:ilvl w:val="0"/>
          <w:numId w:val="21"/>
        </w:numPr>
        <w:spacing w:lineRule="auto" w:line="360" w:before="0" w:after="4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B, C, D :</w:t>
      </w:r>
    </w:p>
    <w:p>
      <w:pPr>
        <w:pStyle w:val="Texteducorps1"/>
        <w:numPr>
          <w:ilvl w:val="0"/>
          <w:numId w:val="24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signe de Murphy est la douleur provoquée par la palpation de l’aire vésiculaire.</w:t>
      </w:r>
    </w:p>
    <w:p>
      <w:pPr>
        <w:pStyle w:val="Texteducorps1"/>
        <w:numPr>
          <w:ilvl w:val="0"/>
          <w:numId w:val="24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douleur au point de McBumey est caractéristique de l'appendicite aigüe.</w:t>
      </w:r>
    </w:p>
    <w:p>
      <w:pPr>
        <w:pStyle w:val="Texteducorps1"/>
        <w:numPr>
          <w:ilvl w:val="0"/>
          <w:numId w:val="24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L'irradiation de la douleur dans l’omoplate droite est parfois isolée, il faut savoir y penser.</w:t>
      </w:r>
    </w:p>
    <w:p>
      <w:pPr>
        <w:pStyle w:val="Texteducorps1"/>
        <w:numPr>
          <w:ilvl w:val="0"/>
          <w:numId w:val="24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Non, dans la colique hépatique simple, le calcul se situe dans le canal cystique et n’entraine pas d’ictère</w:t>
      </w:r>
    </w:p>
    <w:p>
      <w:pPr>
        <w:pStyle w:val="Texteducorps1"/>
        <w:spacing w:lineRule="auto" w:line="360"/>
        <w:ind w:hanging="426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B, C, D :</w:t>
      </w:r>
    </w:p>
    <w:p>
      <w:pPr>
        <w:pStyle w:val="Texteducorps1"/>
        <w:numPr>
          <w:ilvl w:val="0"/>
          <w:numId w:val="25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cholécystite aigue est une complication liée à l'obstruction prolongée du canal cystique.</w:t>
      </w:r>
    </w:p>
    <w:p>
      <w:pPr>
        <w:pStyle w:val="Texteducorps1"/>
        <w:numPr>
          <w:ilvl w:val="0"/>
          <w:numId w:val="25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péritonite biliaire est possible en cas de perforation vésiculaire.</w:t>
      </w:r>
    </w:p>
    <w:p>
      <w:pPr>
        <w:pStyle w:val="Texteducorps1"/>
        <w:numPr>
          <w:ilvl w:val="0"/>
          <w:numId w:val="25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Elle s'accompagne d'un syndrome inflammatoire clinique et biologique.</w:t>
      </w:r>
    </w:p>
    <w:p>
      <w:pPr>
        <w:pStyle w:val="Texteducorps1"/>
        <w:numPr>
          <w:ilvl w:val="0"/>
          <w:numId w:val="25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Les calculs sont hyperéchogènes avec cône d'ombre postérieur.</w:t>
      </w:r>
    </w:p>
    <w:p>
      <w:pPr>
        <w:pStyle w:val="Texteducorps1"/>
        <w:spacing w:lineRule="auto" w:line="360"/>
        <w:ind w:hanging="426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A, B, C, D, E :</w:t>
      </w:r>
    </w:p>
    <w:p>
      <w:pPr>
        <w:pStyle w:val="Texteducorps1"/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vésicule biliaire est tendue et peut-être palpée dans l'hypochondre droit.</w:t>
      </w:r>
    </w:p>
    <w:p>
      <w:pPr>
        <w:pStyle w:val="Texteducorps1"/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triade de l'angiocholite est : douleur - fièvre - ictère.</w:t>
      </w:r>
    </w:p>
    <w:p>
      <w:pPr>
        <w:pStyle w:val="Texteducorps1"/>
        <w:spacing w:lineRule="auto" w:line="360"/>
        <w:ind w:hanging="426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A, C, E :</w:t>
      </w:r>
    </w:p>
    <w:p>
      <w:pPr>
        <w:pStyle w:val="Texteducorps1"/>
        <w:numPr>
          <w:ilvl w:val="0"/>
          <w:numId w:val="26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Des signes de pancréatite aigüe peuvent être mis en évidence, mais devront être confirmés par la lipasémie &gt; 3N.</w:t>
      </w:r>
    </w:p>
    <w:p>
      <w:pPr>
        <w:pStyle w:val="Texteducorps1"/>
        <w:numPr>
          <w:ilvl w:val="0"/>
          <w:numId w:val="26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Il n’y a pas de dilatation du cholédoque en cas de colique hépatique simple. Une lithiase de la voie biliaire principale est à risque de se compliquer d'angiocholite, de pancréatite aigüe</w:t>
      </w:r>
    </w:p>
    <w:p>
      <w:pPr>
        <w:pStyle w:val="Texteducorps1"/>
        <w:spacing w:lineRule="auto" w:line="360"/>
        <w:ind w:hanging="42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B, C, D, E :</w:t>
      </w:r>
    </w:p>
    <w:p>
      <w:pPr>
        <w:pStyle w:val="Texteducorps1"/>
        <w:numPr>
          <w:ilvl w:val="0"/>
          <w:numId w:val="27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Il n'y a pas d'ictère car pas d'atteinte cholédocienne.</w:t>
      </w:r>
    </w:p>
    <w:p>
      <w:pPr>
        <w:pStyle w:val="Texteducorps1"/>
        <w:numPr>
          <w:ilvl w:val="0"/>
          <w:numId w:val="27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signe de Murphy est retrouvé, et la douleur à l'omoplate droite est une irradiation.</w:t>
      </w:r>
    </w:p>
    <w:p>
      <w:pPr>
        <w:pStyle w:val="Texteducorps1"/>
        <w:numPr>
          <w:ilvl w:val="0"/>
          <w:numId w:val="27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vésicule biliaire est tendue et peut être palpée.</w:t>
      </w:r>
    </w:p>
    <w:p>
      <w:pPr>
        <w:pStyle w:val="Texteducorps1"/>
        <w:spacing w:lineRule="auto" w:line="360"/>
        <w:ind w:hanging="426" w:left="72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spacing w:lineRule="auto" w:line="360" w:before="0" w:after="40"/>
        <w:ind w:hanging="426" w:left="720"/>
        <w:jc w:val="both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C, D, E :</w:t>
      </w:r>
    </w:p>
    <w:p>
      <w:pPr>
        <w:pStyle w:val="Texteducorps1"/>
        <w:numPr>
          <w:ilvl w:val="0"/>
          <w:numId w:val="28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risque de survenue d'une complication de la maladie lithiasique en cas de calculs asymptomatiques est de 20%, ce qui ne justifie pas un dépistage de masse.</w:t>
      </w:r>
    </w:p>
    <w:p>
      <w:pPr>
        <w:pStyle w:val="Texteducorps1"/>
        <w:numPr>
          <w:ilvl w:val="0"/>
          <w:numId w:val="28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Cela ne justifie pas non plus de prise en charge thérapeutique en cas de découverte fortuite d’une maladie lithiasique.</w:t>
      </w:r>
    </w:p>
    <w:p>
      <w:pPr>
        <w:pStyle w:val="Texteducorps1"/>
        <w:spacing w:lineRule="auto" w:line="360"/>
        <w:ind w:hanging="426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A, B, C :</w:t>
      </w:r>
    </w:p>
    <w:p>
      <w:pPr>
        <w:pStyle w:val="Texteducorps1"/>
        <w:numPr>
          <w:ilvl w:val="0"/>
          <w:numId w:val="29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triade classique de l’angiocholite est : douleur - fièvre - ictère.</w:t>
      </w:r>
    </w:p>
    <w:p>
      <w:pPr>
        <w:pStyle w:val="Texteducorps1"/>
        <w:spacing w:lineRule="auto" w:line="360"/>
        <w:ind w:hanging="426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B, D, E :</w:t>
      </w:r>
    </w:p>
    <w:p>
      <w:pPr>
        <w:pStyle w:val="Texteducorps1"/>
        <w:numPr>
          <w:ilvl w:val="0"/>
          <w:numId w:val="30"/>
        </w:numPr>
        <w:spacing w:lineRule="auto" w:line="360"/>
        <w:ind w:hanging="426" w:left="72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Il n’y a pas de syndrome infectieux, ni d'obstruction du cholédoque dans l'hydrocholécyste.</w:t>
      </w:r>
    </w:p>
    <w:p>
      <w:pPr>
        <w:pStyle w:val="Texteducorps1"/>
        <w:numPr>
          <w:ilvl w:val="0"/>
          <w:numId w:val="30"/>
        </w:numPr>
        <w:spacing w:lineRule="auto" w:line="360"/>
        <w:ind w:hanging="426" w:left="72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vésicule biliaire est augmentée de volume et peut-être palpée.</w:t>
      </w:r>
    </w:p>
    <w:p>
      <w:pPr>
        <w:pStyle w:val="Texteducorps1"/>
        <w:spacing w:lineRule="auto" w:line="360"/>
        <w:ind w:hanging="42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A, B, D, E :</w:t>
      </w:r>
    </w:p>
    <w:p>
      <w:pPr>
        <w:pStyle w:val="Texteducorps1"/>
        <w:numPr>
          <w:ilvl w:val="0"/>
          <w:numId w:val="31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Les calculs radio-transparents à l'ASP sont le plus souvent visibles au scanner.</w:t>
      </w:r>
    </w:p>
    <w:p>
      <w:pPr>
        <w:pStyle w:val="Texteducorps1"/>
        <w:numPr>
          <w:ilvl w:val="0"/>
          <w:numId w:val="31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cholangio-IRM et l’écho-endoscopie sont les examens les plus performants pour mettre en évidence les calculs</w:t>
      </w:r>
    </w:p>
    <w:p>
      <w:pPr>
        <w:pStyle w:val="Texteducorps1"/>
        <w:spacing w:lineRule="auto" w:line="360"/>
        <w:ind w:hanging="426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A, B, C, D, E :</w:t>
      </w:r>
    </w:p>
    <w:p>
      <w:pPr>
        <w:pStyle w:val="Lgendedelimage1"/>
        <w:numPr>
          <w:ilvl w:val="0"/>
          <w:numId w:val="32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Lgendedelimage"/>
          <w:rFonts w:cs="Times New Roman" w:ascii="Times New Roman" w:hAnsi="Times New Roman" w:asciiTheme="majorBidi" w:cstheme="majorBidi" w:hAnsiTheme="majorBidi"/>
          <w:sz w:val="24"/>
          <w:szCs w:val="24"/>
        </w:rPr>
        <w:t>Ce sont les facteurs de risque de lithiase cholestérolique.</w:t>
      </w:r>
    </w:p>
    <w:p>
      <w:pPr>
        <w:pStyle w:val="Texteducorps1"/>
        <w:spacing w:lineRule="auto" w:line="360"/>
        <w:ind w:hanging="426" w:left="72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spacing w:lineRule="auto" w:line="360"/>
        <w:ind w:hanging="426" w:left="72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B, C, E :</w:t>
      </w:r>
    </w:p>
    <w:p>
      <w:pPr>
        <w:pStyle w:val="Texteducorps1"/>
        <w:numPr>
          <w:ilvl w:val="0"/>
          <w:numId w:val="32"/>
        </w:numPr>
        <w:tabs>
          <w:tab w:val="clear" w:pos="708"/>
          <w:tab w:val="left" w:pos="4670" w:leader="none"/>
        </w:tabs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Dans la cholécystite aigüe, il faut traiter :</w:t>
        <w:tab/>
      </w:r>
    </w:p>
    <w:p>
      <w:pPr>
        <w:pStyle w:val="Texteducorps1"/>
        <w:numPr>
          <w:ilvl w:val="1"/>
          <w:numId w:val="32"/>
        </w:numPr>
        <w:spacing w:lineRule="auto" w:line="360"/>
        <w:ind w:hanging="426" w:left="180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sepsis par un remplissage vasculaire adapté et une antibiothérapie</w:t>
      </w:r>
    </w:p>
    <w:p>
      <w:pPr>
        <w:pStyle w:val="Texteducorps1"/>
        <w:spacing w:lineRule="auto" w:line="360"/>
        <w:ind w:hanging="426" w:left="144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-    la douleur avec des antalgiques de niveau 1 à 2.</w:t>
      </w:r>
    </w:p>
    <w:p>
      <w:pPr>
        <w:pStyle w:val="Texteducorps1"/>
        <w:numPr>
          <w:ilvl w:val="1"/>
          <w:numId w:val="32"/>
        </w:numPr>
        <w:spacing w:lineRule="auto" w:line="360"/>
        <w:ind w:hanging="426" w:left="180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traitement étiologique repose sur la cholécystectomie en urgence, il n’y a pas d'intérêt à la faire à froid.</w:t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B, E :</w:t>
      </w:r>
    </w:p>
    <w:p>
      <w:pPr>
        <w:pStyle w:val="Texteducorps1"/>
        <w:numPr>
          <w:ilvl w:val="0"/>
          <w:numId w:val="32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Il n’y a pas d'indication de traitement ou de suivi en cas de lithiase vésiculaire </w:t>
      </w:r>
    </w:p>
    <w:p>
      <w:pPr>
        <w:pStyle w:val="Texteducorps1"/>
        <w:numPr>
          <w:ilvl w:val="0"/>
          <w:numId w:val="32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Les douleurs abdominales chroniques ne sont pas une indication de cholécystectomie, ils ne sont pas liés à la lithiase vésiculaire.</w:t>
      </w:r>
    </w:p>
    <w:p>
      <w:pPr>
        <w:pStyle w:val="Texteducorps1"/>
        <w:spacing w:lineRule="auto" w:line="360"/>
        <w:ind w:hanging="426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A, D, E :</w:t>
      </w:r>
    </w:p>
    <w:p>
      <w:pPr>
        <w:pStyle w:val="Texteducorps1"/>
        <w:numPr>
          <w:ilvl w:val="0"/>
          <w:numId w:val="33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Ici, même si le sujet est asymptomatique, les calculs sont dans le cholédoque, et non intra-vésiculaires. Il faut donc les enlever pour prévenir une complication.</w:t>
      </w:r>
    </w:p>
    <w:p>
      <w:pPr>
        <w:pStyle w:val="Texteducorps1"/>
        <w:numPr>
          <w:ilvl w:val="0"/>
          <w:numId w:val="33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désobstruction est possible en per-opératoire ou par sphinctérotomie endoscopique.</w:t>
      </w:r>
    </w:p>
    <w:p>
      <w:pPr>
        <w:pStyle w:val="Texteducorps1"/>
        <w:numPr>
          <w:ilvl w:val="0"/>
          <w:numId w:val="33"/>
        </w:numPr>
        <w:spacing w:lineRule="auto" w:line="360" w:before="0" w:after="12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cholécystectomie est obligatoire pour empêcher les récidives.</w:t>
      </w:r>
    </w:p>
    <w:p>
      <w:pPr>
        <w:pStyle w:val="Texteducorps1"/>
        <w:spacing w:lineRule="auto" w:line="360" w:before="0" w:after="120"/>
        <w:ind w:hanging="426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 w:before="0" w:after="12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A, C, D, E :</w:t>
      </w:r>
    </w:p>
    <w:p>
      <w:pPr>
        <w:pStyle w:val="Texteducorps1"/>
        <w:numPr>
          <w:ilvl w:val="0"/>
          <w:numId w:val="34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traitement en urgence repose sur:</w:t>
      </w:r>
    </w:p>
    <w:p>
      <w:pPr>
        <w:pStyle w:val="Texteducorps1"/>
        <w:numPr>
          <w:ilvl w:val="1"/>
          <w:numId w:val="32"/>
        </w:numPr>
        <w:spacing w:lineRule="auto" w:line="360"/>
        <w:ind w:hanging="426" w:left="180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sepsis : antibiothérapie et remplissage vasculaire.</w:t>
      </w:r>
    </w:p>
    <w:p>
      <w:pPr>
        <w:pStyle w:val="Texteducorps1"/>
        <w:numPr>
          <w:ilvl w:val="1"/>
          <w:numId w:val="32"/>
        </w:numPr>
        <w:spacing w:lineRule="auto" w:line="360"/>
        <w:ind w:hanging="426" w:left="180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l'antalgie.</w:t>
      </w:r>
    </w:p>
    <w:p>
      <w:pPr>
        <w:pStyle w:val="Texteducorps1"/>
        <w:numPr>
          <w:ilvl w:val="1"/>
          <w:numId w:val="32"/>
        </w:numPr>
        <w:spacing w:lineRule="auto" w:line="360"/>
        <w:ind w:hanging="426" w:left="180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désobstruction du cholédoque : sphinctérotomie endoscopique en urgence.</w:t>
      </w:r>
    </w:p>
    <w:p>
      <w:pPr>
        <w:pStyle w:val="Texteducorps1"/>
        <w:numPr>
          <w:ilvl w:val="0"/>
          <w:numId w:val="34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traitement préventif secondaire sera réalisé à froid :</w:t>
      </w:r>
    </w:p>
    <w:p>
      <w:pPr>
        <w:pStyle w:val="Texteducorps1"/>
        <w:numPr>
          <w:ilvl w:val="1"/>
          <w:numId w:val="32"/>
        </w:numPr>
        <w:spacing w:lineRule="auto" w:line="360" w:before="0" w:after="120"/>
        <w:ind w:hanging="426" w:left="180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Cholécystectomie</w:t>
      </w:r>
    </w:p>
    <w:p>
      <w:pPr>
        <w:pStyle w:val="Texteducorps1"/>
        <w:spacing w:lineRule="auto" w:line="360" w:before="0" w:after="120"/>
        <w:ind w:hanging="426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 w:before="0" w:after="12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B, C :</w:t>
      </w:r>
    </w:p>
    <w:p>
      <w:pPr>
        <w:pStyle w:val="Texteducorps1"/>
        <w:numPr>
          <w:ilvl w:val="0"/>
          <w:numId w:val="34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Il n'y a pas de complication aigüe, il n’y a donc pas d’urgence à faire la cholécystectomie (traitement préventif des complications ultérieures).</w:t>
      </w:r>
    </w:p>
    <w:p>
      <w:pPr>
        <w:pStyle w:val="Texteducorps1"/>
        <w:numPr>
          <w:ilvl w:val="0"/>
          <w:numId w:val="34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Il n'y a pas de sepsis, les antibiotiques n'ont donc aucun intérêt.</w:t>
      </w:r>
    </w:p>
    <w:p>
      <w:pPr>
        <w:pStyle w:val="Texteducorps1"/>
        <w:numPr>
          <w:ilvl w:val="0"/>
          <w:numId w:val="34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CPRE avec sphinctérotomie endoscopique permet de désobstruer le cholédoque, qui est libre en cas de simple lithiase vésiculaire.</w:t>
      </w:r>
    </w:p>
    <w:p>
      <w:pPr>
        <w:pStyle w:val="Texteducorps1"/>
        <w:spacing w:lineRule="auto" w:line="360"/>
        <w:ind w:hanging="426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A, B, D, E :</w:t>
      </w:r>
    </w:p>
    <w:p>
      <w:pPr>
        <w:pStyle w:val="Texteducorps1"/>
        <w:numPr>
          <w:ilvl w:val="0"/>
          <w:numId w:val="35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L'obstruction est d'origine intra-luminale dans la lithiase de la voie biliaire principale, l'ascaridiose, le cholangiocarcinome.</w:t>
      </w:r>
    </w:p>
    <w:p>
      <w:pPr>
        <w:pStyle w:val="Texteducorps1"/>
        <w:numPr>
          <w:ilvl w:val="0"/>
          <w:numId w:val="35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L'obstruction est par compression extrinsèque en cas : de cancer de la tête du pancréas, d'adénopathie, de pseudo-kyste pancréatique.</w:t>
      </w:r>
    </w:p>
    <w:p>
      <w:pPr>
        <w:pStyle w:val="Texteducorps1"/>
        <w:spacing w:lineRule="auto" w:line="360"/>
        <w:ind w:hanging="426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A, B, C, D :</w:t>
      </w:r>
    </w:p>
    <w:p>
      <w:pPr>
        <w:pStyle w:val="Texteducorps1"/>
        <w:numPr>
          <w:ilvl w:val="0"/>
          <w:numId w:val="36"/>
        </w:numPr>
        <w:spacing w:lineRule="auto" w:line="36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Il y a un sepsis =&gt; syndrome inflammatoire biologique.</w:t>
      </w:r>
    </w:p>
    <w:p>
      <w:pPr>
        <w:pStyle w:val="Texteducorps1"/>
        <w:numPr>
          <w:ilvl w:val="0"/>
          <w:numId w:val="36"/>
        </w:numPr>
        <w:spacing w:lineRule="auto" w:line="360" w:before="0" w:after="40"/>
        <w:ind w:hanging="426" w:left="108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Il y a une cholestase =&gt; augmentation des PAL, gamma GT et de la bilirubine conjuguée.</w:t>
      </w:r>
    </w:p>
    <w:p>
      <w:pPr>
        <w:pStyle w:val="Texteducorps1"/>
        <w:numPr>
          <w:ilvl w:val="0"/>
          <w:numId w:val="36"/>
        </w:numPr>
        <w:spacing w:lineRule="auto" w:line="360"/>
        <w:ind w:hanging="426" w:left="1080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L'augmentation des transaminases témoigne d’une souffrance hépatique.</w:t>
      </w:r>
    </w:p>
    <w:p>
      <w:pPr>
        <w:pStyle w:val="Texteducorps1"/>
        <w:spacing w:lineRule="auto" w:line="360"/>
        <w:ind w:hanging="426"/>
        <w:jc w:val="both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numPr>
          <w:ilvl w:val="0"/>
          <w:numId w:val="21"/>
        </w:numPr>
        <w:spacing w:lineRule="auto" w:line="360"/>
        <w:ind w:hanging="426" w:left="720"/>
        <w:jc w:val="both"/>
        <w:rPr>
          <w:rStyle w:val="Texteducorps"/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Réponses A, B, C :</w:t>
      </w:r>
    </w:p>
    <w:p>
      <w:pPr>
        <w:pStyle w:val="Texteducorps1"/>
        <w:numPr>
          <w:ilvl w:val="0"/>
          <w:numId w:val="37"/>
        </w:numPr>
        <w:spacing w:lineRule="auto" w:line="360"/>
        <w:ind w:hanging="426" w:left="720" w:right="44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Le scanner abdominal est recommandé à 48 heures pour évaluer les complications' coulées de nécrose, rehaussement de la glande pancréatique, pseudo-anévrysmes.</w:t>
      </w:r>
    </w:p>
    <w:p>
      <w:pPr>
        <w:pStyle w:val="Texteducorps1"/>
        <w:numPr>
          <w:ilvl w:val="0"/>
          <w:numId w:val="37"/>
        </w:numPr>
        <w:spacing w:lineRule="auto" w:line="360" w:before="0" w:after="160"/>
        <w:ind w:hanging="426" w:left="72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Style w:val="Texteducorps"/>
          <w:rFonts w:cs="Times New Roman" w:ascii="Times New Roman" w:hAnsi="Times New Roman" w:asciiTheme="majorBidi" w:cstheme="majorBidi" w:hAnsiTheme="majorBidi"/>
          <w:sz w:val="24"/>
          <w:szCs w:val="24"/>
        </w:rPr>
        <w:t>La cholécystectomie est faite à froid, comme pour l'angiocholite.</w:t>
      </w:r>
    </w:p>
    <w:p>
      <w:pPr>
        <w:pStyle w:val="Texteducorps1"/>
        <w:spacing w:lineRule="auto" w:line="252"/>
        <w:rPr>
          <w:rStyle w:val="Texteducorps"/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Texteducorps1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Ari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tabs>
          <w:tab w:val="num" w:pos="0"/>
        </w:tabs>
        <w:ind w:left="420" w:hanging="360"/>
      </w:pPr>
      <w:rPr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tabs>
          <w:tab w:val="num" w:pos="0"/>
        </w:tabs>
        <w:ind w:left="5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2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4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1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8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20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1800" w:hanging="360"/>
      </w:pPr>
      <w:rPr>
        <w:rFonts w:ascii="Arial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91d8e"/>
    <w:pPr>
      <w:widowControl w:val="false"/>
      <w:bidi w:val="0"/>
      <w:spacing w:lineRule="auto" w:line="240" w:before="0" w:after="0"/>
      <w:jc w:val="left"/>
    </w:pPr>
    <w:rPr>
      <w:rFonts w:ascii="Arial Unicode MS" w:hAnsi="Arial Unicode MS" w:eastAsia="Arial Unicode MS" w:cs="Arial Unicode MS"/>
      <w:color w:val="000000"/>
      <w:kern w:val="0"/>
      <w:sz w:val="24"/>
      <w:szCs w:val="24"/>
      <w:lang w:eastAsia="fr-FR" w:bidi="fr-FR" w:val="fr-F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ucorps" w:customStyle="1">
    <w:name w:val="Texte du corps_"/>
    <w:basedOn w:val="DefaultParagraphFont"/>
    <w:link w:val="Texteducorps1"/>
    <w:qFormat/>
    <w:rsid w:val="00b91d8e"/>
    <w:rPr>
      <w:rFonts w:ascii="Arial" w:hAnsi="Arial" w:eastAsia="Arial" w:cs="Arial"/>
      <w:sz w:val="17"/>
      <w:szCs w:val="17"/>
    </w:rPr>
  </w:style>
  <w:style w:type="character" w:styleId="Titre5" w:customStyle="1">
    <w:name w:val="Titre #5_"/>
    <w:basedOn w:val="DefaultParagraphFont"/>
    <w:link w:val="Titre51"/>
    <w:qFormat/>
    <w:rsid w:val="00b91d8e"/>
    <w:rPr>
      <w:rFonts w:ascii="Arial" w:hAnsi="Arial" w:eastAsia="Arial" w:cs="Arial"/>
      <w:b/>
      <w:bCs/>
      <w:sz w:val="17"/>
      <w:szCs w:val="17"/>
    </w:rPr>
  </w:style>
  <w:style w:type="character" w:styleId="Autres" w:customStyle="1">
    <w:name w:val="Autres_"/>
    <w:basedOn w:val="DefaultParagraphFont"/>
    <w:link w:val="Autres1"/>
    <w:qFormat/>
    <w:rsid w:val="00b91d8e"/>
    <w:rPr>
      <w:rFonts w:ascii="Arial" w:hAnsi="Arial" w:eastAsia="Arial" w:cs="Arial"/>
      <w:sz w:val="17"/>
      <w:szCs w:val="17"/>
    </w:rPr>
  </w:style>
  <w:style w:type="character" w:styleId="Titre1" w:customStyle="1">
    <w:name w:val="Titre #1_"/>
    <w:basedOn w:val="DefaultParagraphFont"/>
    <w:link w:val="Titre11"/>
    <w:qFormat/>
    <w:rsid w:val="00c20864"/>
    <w:rPr>
      <w:rFonts w:ascii="Arial" w:hAnsi="Arial" w:eastAsia="Arial" w:cs="Arial"/>
      <w:sz w:val="34"/>
      <w:szCs w:val="34"/>
    </w:rPr>
  </w:style>
  <w:style w:type="character" w:styleId="Lgendedutableau" w:customStyle="1">
    <w:name w:val="Légende du tableau_"/>
    <w:basedOn w:val="DefaultParagraphFont"/>
    <w:link w:val="Lgendedutableau1"/>
    <w:qFormat/>
    <w:rsid w:val="00f00679"/>
    <w:rPr>
      <w:rFonts w:ascii="Arial" w:hAnsi="Arial" w:eastAsia="Arial" w:cs="Arial"/>
      <w:sz w:val="17"/>
      <w:szCs w:val="17"/>
    </w:rPr>
  </w:style>
  <w:style w:type="character" w:styleId="Lgendedelimage" w:customStyle="1">
    <w:name w:val="Légende de l'image_"/>
    <w:basedOn w:val="DefaultParagraphFont"/>
    <w:link w:val="Lgendedelimage1"/>
    <w:qFormat/>
    <w:rsid w:val="005b45dd"/>
    <w:rPr>
      <w:rFonts w:ascii="Arial" w:hAnsi="Arial" w:eastAsia="Arial" w:cs="Arial"/>
      <w:sz w:val="17"/>
      <w:szCs w:val="17"/>
    </w:rPr>
  </w:style>
  <w:style w:type="character" w:styleId="En-tteCar" w:customStyle="1">
    <w:name w:val="En-tête Car"/>
    <w:basedOn w:val="DefaultParagraphFont"/>
    <w:uiPriority w:val="99"/>
    <w:qFormat/>
    <w:rsid w:val="00397106"/>
    <w:rPr>
      <w:rFonts w:ascii="Arial Unicode MS" w:hAnsi="Arial Unicode MS" w:eastAsia="Arial Unicode MS" w:cs="Arial Unicode MS"/>
      <w:color w:val="000000"/>
      <w:sz w:val="24"/>
      <w:szCs w:val="24"/>
      <w:lang w:eastAsia="fr-FR" w:bidi="fr-FR"/>
    </w:rPr>
  </w:style>
  <w:style w:type="character" w:styleId="PieddepageCar" w:customStyle="1">
    <w:name w:val="Pied de page Car"/>
    <w:basedOn w:val="DefaultParagraphFont"/>
    <w:uiPriority w:val="99"/>
    <w:qFormat/>
    <w:rsid w:val="00397106"/>
    <w:rPr>
      <w:rFonts w:ascii="Arial Unicode MS" w:hAnsi="Arial Unicode MS" w:eastAsia="Arial Unicode MS" w:cs="Arial Unicode MS"/>
      <w:color w:val="000000"/>
      <w:sz w:val="24"/>
      <w:szCs w:val="24"/>
      <w:lang w:eastAsia="fr-FR" w:bidi="fr-F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educorps1" w:customStyle="1">
    <w:name w:val="Texte du corps"/>
    <w:basedOn w:val="Normal"/>
    <w:link w:val="Texteducorps"/>
    <w:qFormat/>
    <w:rsid w:val="00b91d8e"/>
    <w:pPr/>
    <w:rPr>
      <w:rFonts w:ascii="Arial" w:hAnsi="Arial" w:eastAsia="Arial" w:cs="Arial"/>
      <w:color w:val="auto"/>
      <w:sz w:val="17"/>
      <w:szCs w:val="17"/>
      <w:lang w:eastAsia="en-US" w:bidi="ar-SA"/>
    </w:rPr>
  </w:style>
  <w:style w:type="paragraph" w:styleId="Titre51" w:customStyle="1">
    <w:name w:val="Titre #5"/>
    <w:basedOn w:val="Normal"/>
    <w:link w:val="Titre5"/>
    <w:qFormat/>
    <w:rsid w:val="00b91d8e"/>
    <w:pPr>
      <w:outlineLvl w:val="4"/>
    </w:pPr>
    <w:rPr>
      <w:rFonts w:ascii="Arial" w:hAnsi="Arial" w:eastAsia="Arial" w:cs="Arial"/>
      <w:b/>
      <w:bCs/>
      <w:color w:val="auto"/>
      <w:sz w:val="17"/>
      <w:szCs w:val="17"/>
      <w:lang w:eastAsia="en-US" w:bidi="ar-SA"/>
    </w:rPr>
  </w:style>
  <w:style w:type="paragraph" w:styleId="Autres1" w:customStyle="1">
    <w:name w:val="Autres"/>
    <w:basedOn w:val="Normal"/>
    <w:link w:val="Autres"/>
    <w:qFormat/>
    <w:rsid w:val="00b91d8e"/>
    <w:pPr/>
    <w:rPr>
      <w:rFonts w:ascii="Arial" w:hAnsi="Arial" w:eastAsia="Arial" w:cs="Arial"/>
      <w:color w:val="auto"/>
      <w:sz w:val="17"/>
      <w:szCs w:val="17"/>
      <w:lang w:eastAsia="en-US" w:bidi="ar-SA"/>
    </w:rPr>
  </w:style>
  <w:style w:type="paragraph" w:styleId="Titre11" w:customStyle="1">
    <w:name w:val="Titre #1"/>
    <w:basedOn w:val="Normal"/>
    <w:link w:val="Titre1"/>
    <w:qFormat/>
    <w:rsid w:val="00c20864"/>
    <w:pPr>
      <w:outlineLvl w:val="0"/>
    </w:pPr>
    <w:rPr>
      <w:rFonts w:ascii="Arial" w:hAnsi="Arial" w:eastAsia="Arial" w:cs="Arial"/>
      <w:color w:val="auto"/>
      <w:sz w:val="34"/>
      <w:szCs w:val="34"/>
      <w:lang w:eastAsia="en-US" w:bidi="ar-SA"/>
    </w:rPr>
  </w:style>
  <w:style w:type="paragraph" w:styleId="Lgendedutableau1" w:customStyle="1">
    <w:name w:val="Légende du tableau"/>
    <w:basedOn w:val="Normal"/>
    <w:link w:val="Lgendedutableau"/>
    <w:qFormat/>
    <w:rsid w:val="00f00679"/>
    <w:pPr/>
    <w:rPr>
      <w:rFonts w:ascii="Arial" w:hAnsi="Arial" w:eastAsia="Arial" w:cs="Arial"/>
      <w:color w:val="auto"/>
      <w:sz w:val="17"/>
      <w:szCs w:val="17"/>
      <w:lang w:eastAsia="en-US" w:bidi="ar-SA"/>
    </w:rPr>
  </w:style>
  <w:style w:type="paragraph" w:styleId="Lgendedelimage1" w:customStyle="1">
    <w:name w:val="Légende de l'image"/>
    <w:basedOn w:val="Normal"/>
    <w:link w:val="Lgendedelimage"/>
    <w:qFormat/>
    <w:rsid w:val="005b45dd"/>
    <w:pPr/>
    <w:rPr>
      <w:rFonts w:ascii="Arial" w:hAnsi="Arial" w:eastAsia="Arial" w:cs="Arial"/>
      <w:color w:val="auto"/>
      <w:sz w:val="17"/>
      <w:szCs w:val="17"/>
      <w:lang w:eastAsia="en-US" w:bidi="ar-SA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397106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397106"/>
    <w:pPr>
      <w:tabs>
        <w:tab w:val="clear" w:pos="708"/>
        <w:tab w:val="center" w:pos="4536" w:leader="none"/>
        <w:tab w:val="right" w:pos="9072" w:leader="none"/>
      </w:tabs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LibreOffice/24.2.7.2$Linux_X86_64 LibreOffice_project/420$Build-2</Application>
  <AppVersion>15.0000</AppVersion>
  <Pages>10</Pages>
  <Words>1949</Words>
  <Characters>10230</Characters>
  <CharactersWithSpaces>11826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2023-02-23T16:22:00Z</dcterms:created>
  <dc:creator>Zineb Takdenti</dc:creator>
  <dc:description/>
  <dc:language>fr-FR</dc:language>
  <cp:lastModifiedBy/>
  <dcterms:modified xsi:type="dcterms:W3CDTF">2026-04-15T09:02:57Z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