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asciiTheme="majorBidi" w:cstheme="majorBidi" w:hAnsiTheme="majorBidi"/>
          <w:b/>
          <w:bCs/>
          <w:sz w:val="32"/>
          <w:szCs w:val="32"/>
          <w:u w:val="single"/>
          <w:lang w:val="fr-FR"/>
        </w:rPr>
      </w:pPr>
      <w:r>
        <w:rPr>
          <w:rFonts w:cs="Times New Roman" w:ascii="Times New Roman" w:hAnsi="Times New Roman" w:asciiTheme="majorBidi" w:cstheme="majorBidi" w:hAnsiTheme="majorBidi"/>
          <w:b/>
          <w:bCs/>
          <w:sz w:val="32"/>
          <w:szCs w:val="32"/>
          <w:u w:val="single"/>
          <w:lang w:val="fr-FR"/>
        </w:rPr>
        <w:t>Q</w:t>
      </w:r>
      <w:bookmarkStart w:id="0" w:name="_GoBack"/>
      <w:bookmarkEnd w:id="0"/>
      <w:r>
        <w:rPr>
          <w:rFonts w:cs="Times New Roman" w:ascii="Times New Roman" w:hAnsi="Times New Roman" w:asciiTheme="majorBidi" w:cstheme="majorBidi" w:hAnsiTheme="majorBidi"/>
          <w:b/>
          <w:bCs/>
          <w:sz w:val="32"/>
          <w:szCs w:val="32"/>
          <w:u w:val="single"/>
          <w:lang w:val="fr-FR"/>
        </w:rPr>
        <w:t>CM</w:t>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b/>
          <w:bCs/>
          <w:sz w:val="32"/>
          <w:szCs w:val="32"/>
          <w:lang w:val="fr-FR"/>
        </w:rPr>
        <w:t xml:space="preserve">QCM 1 : </w:t>
      </w:r>
      <w:r>
        <w:rPr>
          <w:rFonts w:cs="Times New Roman" w:ascii="Times New Roman" w:hAnsi="Times New Roman" w:asciiTheme="majorBidi" w:cstheme="majorBidi" w:hAnsiTheme="majorBidi"/>
          <w:sz w:val="32"/>
          <w:szCs w:val="32"/>
          <w:lang w:val="fr-FR"/>
        </w:rPr>
        <w:t xml:space="preserve">Concernant le diagnostic de la pancréatite aiguё, quelle(s) proposition(s) est (sont) exacte(s) ? </w:t>
      </w:r>
    </w:p>
    <w:p>
      <w:pPr>
        <w:pStyle w:val="ListParagraph"/>
        <w:numPr>
          <w:ilvl w:val="0"/>
          <w:numId w:val="1"/>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Il se base sur la clinique</w:t>
      </w:r>
    </w:p>
    <w:p>
      <w:pPr>
        <w:pStyle w:val="ListParagraph"/>
        <w:numPr>
          <w:ilvl w:val="0"/>
          <w:numId w:val="1"/>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 xml:space="preserve">Il se base sur le scanner </w:t>
      </w:r>
    </w:p>
    <w:p>
      <w:pPr>
        <w:pStyle w:val="ListParagraph"/>
        <w:numPr>
          <w:ilvl w:val="0"/>
          <w:numId w:val="1"/>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Il se base sur un contexte d’alcoolisme chronique</w:t>
      </w:r>
    </w:p>
    <w:p>
      <w:pPr>
        <w:pStyle w:val="ListParagraph"/>
        <w:numPr>
          <w:ilvl w:val="0"/>
          <w:numId w:val="1"/>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Il se base sur l’échographie</w:t>
      </w:r>
    </w:p>
    <w:p>
      <w:pPr>
        <w:pStyle w:val="ListParagraph"/>
        <w:numPr>
          <w:ilvl w:val="0"/>
          <w:numId w:val="1"/>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Il se base sur la biologie</w:t>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b/>
          <w:bCs/>
          <w:sz w:val="32"/>
          <w:szCs w:val="32"/>
          <w:lang w:val="fr-FR"/>
        </w:rPr>
        <w:t xml:space="preserve">QCM 2 : </w:t>
      </w:r>
      <w:r>
        <w:rPr>
          <w:rFonts w:cs="Times New Roman" w:ascii="Times New Roman" w:hAnsi="Times New Roman" w:asciiTheme="majorBidi" w:cstheme="majorBidi" w:hAnsiTheme="majorBidi"/>
          <w:sz w:val="32"/>
          <w:szCs w:val="32"/>
          <w:lang w:val="fr-FR"/>
        </w:rPr>
        <w:t>Concernant la douleur typique de la pancréatite aigue, quelle(s) proposition(s) est (sont) exacte(s) ?</w:t>
      </w:r>
    </w:p>
    <w:p>
      <w:pPr>
        <w:pStyle w:val="ListParagraph"/>
        <w:numPr>
          <w:ilvl w:val="0"/>
          <w:numId w:val="2"/>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Elle est rarement retrouvée</w:t>
      </w:r>
    </w:p>
    <w:p>
      <w:pPr>
        <w:pStyle w:val="ListParagraph"/>
        <w:numPr>
          <w:ilvl w:val="0"/>
          <w:numId w:val="2"/>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Elle est transfixiante</w:t>
      </w:r>
    </w:p>
    <w:p>
      <w:pPr>
        <w:pStyle w:val="ListParagraph"/>
        <w:numPr>
          <w:ilvl w:val="0"/>
          <w:numId w:val="2"/>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Elle est de début brutal</w:t>
      </w:r>
    </w:p>
    <w:p>
      <w:pPr>
        <w:pStyle w:val="ListParagraph"/>
        <w:numPr>
          <w:ilvl w:val="0"/>
          <w:numId w:val="2"/>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Elle est fugace</w:t>
      </w:r>
    </w:p>
    <w:p>
      <w:pPr>
        <w:pStyle w:val="ListParagraph"/>
        <w:numPr>
          <w:ilvl w:val="0"/>
          <w:numId w:val="2"/>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Elle est très intense</w:t>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b/>
          <w:bCs/>
          <w:sz w:val="32"/>
          <w:szCs w:val="32"/>
          <w:lang w:val="fr-FR"/>
        </w:rPr>
        <w:t xml:space="preserve">QCM 3 : </w:t>
      </w:r>
      <w:r>
        <w:rPr>
          <w:rFonts w:cs="Times New Roman" w:ascii="Times New Roman" w:hAnsi="Times New Roman" w:asciiTheme="majorBidi" w:cstheme="majorBidi" w:hAnsiTheme="majorBidi"/>
          <w:sz w:val="32"/>
          <w:szCs w:val="32"/>
          <w:lang w:val="fr-FR"/>
        </w:rPr>
        <w:t>Quel(s) est (sont) le(s) élément(s) en faveur d’une pancréatite aigue sur l’échographie abdominale réalisée en urgence ?</w:t>
      </w:r>
    </w:p>
    <w:p>
      <w:pPr>
        <w:pStyle w:val="ListParagraph"/>
        <w:numPr>
          <w:ilvl w:val="0"/>
          <w:numId w:val="3"/>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Inflammation pancréatique</w:t>
      </w:r>
    </w:p>
    <w:p>
      <w:pPr>
        <w:pStyle w:val="ListParagraph"/>
        <w:numPr>
          <w:ilvl w:val="0"/>
          <w:numId w:val="3"/>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Augmentation de la taille du pancréas</w:t>
      </w:r>
    </w:p>
    <w:p>
      <w:pPr>
        <w:pStyle w:val="ListParagraph"/>
        <w:numPr>
          <w:ilvl w:val="0"/>
          <w:numId w:val="3"/>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Lithiase pancréatique</w:t>
      </w:r>
    </w:p>
    <w:p>
      <w:pPr>
        <w:pStyle w:val="ListParagraph"/>
        <w:numPr>
          <w:ilvl w:val="0"/>
          <w:numId w:val="3"/>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Lithiase biliaire</w:t>
      </w:r>
    </w:p>
    <w:p>
      <w:pPr>
        <w:pStyle w:val="ListParagraph"/>
        <w:numPr>
          <w:ilvl w:val="0"/>
          <w:numId w:val="3"/>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Nécrose pancréatique</w:t>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b/>
          <w:bCs/>
          <w:sz w:val="32"/>
          <w:szCs w:val="32"/>
          <w:lang w:val="fr-FR"/>
        </w:rPr>
        <w:t xml:space="preserve">QCM 4 : </w:t>
      </w:r>
      <w:r>
        <w:rPr>
          <w:rFonts w:cs="Times New Roman" w:ascii="Times New Roman" w:hAnsi="Times New Roman" w:asciiTheme="majorBidi" w:cstheme="majorBidi" w:hAnsiTheme="majorBidi"/>
          <w:sz w:val="32"/>
          <w:szCs w:val="32"/>
          <w:lang w:val="fr-FR"/>
        </w:rPr>
        <w:t>Concernant la gravité de la pancréatite aigue, quelle(s) proposition(s) est (sont) exacte(s) ?</w:t>
      </w:r>
    </w:p>
    <w:p>
      <w:pPr>
        <w:pStyle w:val="ListParagraph"/>
        <w:numPr>
          <w:ilvl w:val="0"/>
          <w:numId w:val="4"/>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La mortalité globale de la PA est de 10%</w:t>
      </w:r>
    </w:p>
    <w:p>
      <w:pPr>
        <w:pStyle w:val="ListParagraph"/>
        <w:numPr>
          <w:ilvl w:val="0"/>
          <w:numId w:val="4"/>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La PA est bénigne dans 80% des cas</w:t>
      </w:r>
    </w:p>
    <w:p>
      <w:pPr>
        <w:pStyle w:val="ListParagraph"/>
        <w:numPr>
          <w:ilvl w:val="0"/>
          <w:numId w:val="4"/>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La PA es traitée en ambulatoire dans 50% des cas</w:t>
      </w:r>
    </w:p>
    <w:p>
      <w:pPr>
        <w:pStyle w:val="ListParagraph"/>
        <w:numPr>
          <w:ilvl w:val="0"/>
          <w:numId w:val="4"/>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Les malades atteints d’une pancréatite aigu grave doivent être hospitalisés en hépato-gastro-entérologie</w:t>
      </w:r>
    </w:p>
    <w:p>
      <w:pPr>
        <w:pStyle w:val="ListParagraph"/>
        <w:numPr>
          <w:ilvl w:val="0"/>
          <w:numId w:val="4"/>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Une lipase &gt;6 N signe la gravité de la pancréatite</w:t>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b/>
          <w:bCs/>
          <w:sz w:val="32"/>
          <w:szCs w:val="32"/>
          <w:lang w:val="fr-FR"/>
        </w:rPr>
        <w:t xml:space="preserve">QCM 5 : </w:t>
      </w:r>
      <w:r>
        <w:rPr>
          <w:rFonts w:cs="Times New Roman" w:ascii="Times New Roman" w:hAnsi="Times New Roman" w:asciiTheme="majorBidi" w:cstheme="majorBidi" w:hAnsiTheme="majorBidi"/>
          <w:sz w:val="32"/>
          <w:szCs w:val="32"/>
          <w:lang w:val="fr-FR"/>
        </w:rPr>
        <w:t>Parmi les propositions suivantes, laquelle (lesquelles) défini (ssen) t  un syndrome de réponse inflammatoire systémique au cours de la pancréatite aigue ?</w:t>
      </w:r>
    </w:p>
    <w:p>
      <w:pPr>
        <w:pStyle w:val="ListParagraph"/>
        <w:numPr>
          <w:ilvl w:val="0"/>
          <w:numId w:val="5"/>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Température &lt; 36°C</w:t>
      </w:r>
    </w:p>
    <w:p>
      <w:pPr>
        <w:pStyle w:val="ListParagraph"/>
        <w:numPr>
          <w:ilvl w:val="0"/>
          <w:numId w:val="5"/>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Saturation &lt; 95%</w:t>
      </w:r>
    </w:p>
    <w:p>
      <w:pPr>
        <w:pStyle w:val="ListParagraph"/>
        <w:numPr>
          <w:ilvl w:val="0"/>
          <w:numId w:val="5"/>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Fréquence cardiaque &gt; 90/mn</w:t>
      </w:r>
    </w:p>
    <w:p>
      <w:pPr>
        <w:pStyle w:val="ListParagraph"/>
        <w:numPr>
          <w:ilvl w:val="0"/>
          <w:numId w:val="5"/>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TAS&lt;90mmHg</w:t>
      </w:r>
    </w:p>
    <w:p>
      <w:pPr>
        <w:pStyle w:val="ListParagraph"/>
        <w:numPr>
          <w:ilvl w:val="0"/>
          <w:numId w:val="5"/>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Leucocytose &gt; 12 000/mm^3</w:t>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b/>
          <w:bCs/>
          <w:sz w:val="32"/>
          <w:szCs w:val="32"/>
          <w:lang w:val="fr-FR"/>
        </w:rPr>
        <w:t xml:space="preserve">QCM6 : </w:t>
      </w:r>
      <w:r>
        <w:rPr>
          <w:rFonts w:cs="Times New Roman" w:ascii="Times New Roman" w:hAnsi="Times New Roman" w:asciiTheme="majorBidi" w:cstheme="majorBidi" w:hAnsiTheme="majorBidi"/>
          <w:sz w:val="32"/>
          <w:szCs w:val="32"/>
          <w:lang w:val="fr-FR"/>
        </w:rPr>
        <w:t>Quelle(s) complication(s) peu (vent) t survenir à la phase précoce d’une pancréatite aigue ?</w:t>
      </w:r>
    </w:p>
    <w:p>
      <w:pPr>
        <w:pStyle w:val="ListParagraph"/>
        <w:numPr>
          <w:ilvl w:val="0"/>
          <w:numId w:val="6"/>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Syndrome de détresse respiratoire aigue</w:t>
      </w:r>
    </w:p>
    <w:p>
      <w:pPr>
        <w:pStyle w:val="ListParagraph"/>
        <w:numPr>
          <w:ilvl w:val="0"/>
          <w:numId w:val="6"/>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Insuffisance rénale</w:t>
      </w:r>
    </w:p>
    <w:p>
      <w:pPr>
        <w:pStyle w:val="ListParagraph"/>
        <w:numPr>
          <w:ilvl w:val="0"/>
          <w:numId w:val="6"/>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Surinfection d’une coulée de nécrose</w:t>
      </w:r>
    </w:p>
    <w:p>
      <w:pPr>
        <w:pStyle w:val="ListParagraph"/>
        <w:numPr>
          <w:ilvl w:val="0"/>
          <w:numId w:val="6"/>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Rupture d’un pseudo-kyste</w:t>
      </w:r>
    </w:p>
    <w:p>
      <w:pPr>
        <w:pStyle w:val="ListParagraph"/>
        <w:numPr>
          <w:ilvl w:val="0"/>
          <w:numId w:val="6"/>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Coagulation intra-vasculaire disséminée</w:t>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b/>
          <w:bCs/>
          <w:sz w:val="32"/>
          <w:szCs w:val="32"/>
          <w:lang w:val="fr-FR"/>
        </w:rPr>
        <w:t xml:space="preserve">QCM 7 : </w:t>
      </w:r>
      <w:r>
        <w:rPr>
          <w:rFonts w:cs="Times New Roman" w:ascii="Times New Roman" w:hAnsi="Times New Roman" w:asciiTheme="majorBidi" w:cstheme="majorBidi" w:hAnsiTheme="majorBidi"/>
          <w:sz w:val="32"/>
          <w:szCs w:val="32"/>
          <w:lang w:val="fr-FR"/>
        </w:rPr>
        <w:t>Concernant le scanner dans la pancréatite aigue, quelle(s) réponse(s) est (sont) exacte(s) ?</w:t>
      </w:r>
    </w:p>
    <w:p>
      <w:pPr>
        <w:pStyle w:val="ListParagraph"/>
        <w:numPr>
          <w:ilvl w:val="0"/>
          <w:numId w:val="7"/>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Il est facultatif</w:t>
      </w:r>
    </w:p>
    <w:p>
      <w:pPr>
        <w:pStyle w:val="ListParagraph"/>
        <w:numPr>
          <w:ilvl w:val="0"/>
          <w:numId w:val="7"/>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Il est réalisé sans injection</w:t>
      </w:r>
    </w:p>
    <w:p>
      <w:pPr>
        <w:pStyle w:val="ListParagraph"/>
        <w:numPr>
          <w:ilvl w:val="0"/>
          <w:numId w:val="7"/>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Il permet de calculer le score de Ranson</w:t>
      </w:r>
    </w:p>
    <w:p>
      <w:pPr>
        <w:pStyle w:val="ListParagraph"/>
        <w:numPr>
          <w:ilvl w:val="0"/>
          <w:numId w:val="7"/>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Il permet de visualiser les complications de la pancréatite</w:t>
      </w:r>
    </w:p>
    <w:p>
      <w:pPr>
        <w:pStyle w:val="ListParagraph"/>
        <w:numPr>
          <w:ilvl w:val="0"/>
          <w:numId w:val="7"/>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Il est réalisé à 24 heures de l’admission</w:t>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b/>
          <w:bCs/>
          <w:sz w:val="32"/>
          <w:szCs w:val="32"/>
          <w:lang w:val="fr-FR"/>
        </w:rPr>
        <w:t xml:space="preserve">QCM 8 : </w:t>
      </w:r>
      <w:r>
        <w:rPr>
          <w:rFonts w:cs="Times New Roman" w:ascii="Times New Roman" w:hAnsi="Times New Roman" w:asciiTheme="majorBidi" w:cstheme="majorBidi" w:hAnsiTheme="majorBidi"/>
          <w:sz w:val="32"/>
          <w:szCs w:val="32"/>
          <w:lang w:val="fr-FR"/>
        </w:rPr>
        <w:t>Concernant le score de Balthazar, quelle(s) réponse(s) est (sont) exacte(s) ?</w:t>
      </w:r>
    </w:p>
    <w:p>
      <w:pPr>
        <w:pStyle w:val="ListParagraph"/>
        <w:numPr>
          <w:ilvl w:val="0"/>
          <w:numId w:val="9"/>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Un stade A correspond à un élargissement de la glande</w:t>
      </w:r>
    </w:p>
    <w:p>
      <w:pPr>
        <w:pStyle w:val="ListParagraph"/>
        <w:numPr>
          <w:ilvl w:val="0"/>
          <w:numId w:val="9"/>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Un stade B correspond à un élargissement de la glande</w:t>
      </w:r>
    </w:p>
    <w:p>
      <w:pPr>
        <w:pStyle w:val="ListParagraph"/>
        <w:numPr>
          <w:ilvl w:val="0"/>
          <w:numId w:val="9"/>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Un stade C correspond  ç une coulée de nécrose</w:t>
      </w:r>
    </w:p>
    <w:p>
      <w:pPr>
        <w:pStyle w:val="ListParagraph"/>
        <w:numPr>
          <w:ilvl w:val="0"/>
          <w:numId w:val="9"/>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Une nécrose &gt; la moitié de la glande vaut 6 points</w:t>
      </w:r>
    </w:p>
    <w:p>
      <w:pPr>
        <w:pStyle w:val="ListParagraph"/>
        <w:numPr>
          <w:ilvl w:val="0"/>
          <w:numId w:val="9"/>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Il est sur 15 points en tout</w:t>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b/>
          <w:bCs/>
          <w:sz w:val="32"/>
          <w:szCs w:val="32"/>
          <w:lang w:val="fr-FR"/>
        </w:rPr>
        <w:t xml:space="preserve">QCM  9 : </w:t>
      </w:r>
      <w:r>
        <w:rPr>
          <w:rFonts w:cs="Times New Roman" w:ascii="Times New Roman" w:hAnsi="Times New Roman" w:asciiTheme="majorBidi" w:cstheme="majorBidi" w:hAnsiTheme="majorBidi"/>
          <w:sz w:val="32"/>
          <w:szCs w:val="32"/>
          <w:lang w:val="fr-FR"/>
        </w:rPr>
        <w:t>Concernant l’infection de nécrose pancréatique, quelle(s) réponse(s) est (sont) exacte(s) ?</w:t>
      </w:r>
    </w:p>
    <w:p>
      <w:pPr>
        <w:pStyle w:val="ListParagraph"/>
        <w:numPr>
          <w:ilvl w:val="0"/>
          <w:numId w:val="8"/>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On note une prise de contraste anormalement élevée d’une partie du pancréas</w:t>
      </w:r>
    </w:p>
    <w:p>
      <w:pPr>
        <w:pStyle w:val="ListParagraph"/>
        <w:numPr>
          <w:ilvl w:val="0"/>
          <w:numId w:val="8"/>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Elle est caractérisée par un syndrome inflammatoire à la fin de la première semaine</w:t>
      </w:r>
    </w:p>
    <w:p>
      <w:pPr>
        <w:pStyle w:val="ListParagraph"/>
        <w:numPr>
          <w:ilvl w:val="0"/>
          <w:numId w:val="8"/>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L’antibiothérapie est probabiliste avant même tout prélèvement</w:t>
      </w:r>
    </w:p>
    <w:p>
      <w:pPr>
        <w:pStyle w:val="ListParagraph"/>
        <w:numPr>
          <w:ilvl w:val="0"/>
          <w:numId w:val="8"/>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Une suspicion d’infection de nécrose doit conduire à une ponction sous scanner</w:t>
      </w:r>
    </w:p>
    <w:p>
      <w:pPr>
        <w:pStyle w:val="ListParagraph"/>
        <w:numPr>
          <w:ilvl w:val="0"/>
          <w:numId w:val="8"/>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Elle est responsable de la plupart des décès liés à la PA</w:t>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b/>
          <w:bCs/>
          <w:sz w:val="32"/>
          <w:szCs w:val="32"/>
          <w:lang w:val="fr-FR"/>
        </w:rPr>
        <w:t xml:space="preserve">QCM 10 : </w:t>
      </w:r>
      <w:r>
        <w:rPr>
          <w:rFonts w:cs="Times New Roman" w:ascii="Times New Roman" w:hAnsi="Times New Roman" w:asciiTheme="majorBidi" w:cstheme="majorBidi" w:hAnsiTheme="majorBidi"/>
          <w:sz w:val="32"/>
          <w:szCs w:val="32"/>
          <w:lang w:val="fr-FR"/>
        </w:rPr>
        <w:t>Parmi les propositions suivantes, quel(s) est (sont) celle(s) qui est (sont) en faveur de l’origine lithiasique d’une pancréatite ?</w:t>
      </w:r>
    </w:p>
    <w:p>
      <w:pPr>
        <w:pStyle w:val="ListParagraph"/>
        <w:numPr>
          <w:ilvl w:val="0"/>
          <w:numId w:val="10"/>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ASAT &gt; ALAT</w:t>
      </w:r>
    </w:p>
    <w:p>
      <w:pPr>
        <w:pStyle w:val="ListParagraph"/>
        <w:numPr>
          <w:ilvl w:val="0"/>
          <w:numId w:val="10"/>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Age jeune</w:t>
      </w:r>
    </w:p>
    <w:p>
      <w:pPr>
        <w:pStyle w:val="ListParagraph"/>
        <w:numPr>
          <w:ilvl w:val="0"/>
          <w:numId w:val="10"/>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Sexe féminin</w:t>
      </w:r>
    </w:p>
    <w:p>
      <w:pPr>
        <w:pStyle w:val="ListParagraph"/>
        <w:numPr>
          <w:ilvl w:val="0"/>
          <w:numId w:val="10"/>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Phosphatases alcalines &gt;2.5 N</w:t>
      </w:r>
    </w:p>
    <w:p>
      <w:pPr>
        <w:pStyle w:val="ListParagraph"/>
        <w:numPr>
          <w:ilvl w:val="0"/>
          <w:numId w:val="10"/>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Pic précoce des transaminases</w:t>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b/>
          <w:bCs/>
          <w:sz w:val="32"/>
          <w:szCs w:val="32"/>
          <w:lang w:val="fr-FR"/>
        </w:rPr>
        <w:t xml:space="preserve">QCM 11 : </w:t>
      </w:r>
      <w:r>
        <w:rPr>
          <w:rFonts w:cs="Times New Roman" w:ascii="Times New Roman" w:hAnsi="Times New Roman" w:asciiTheme="majorBidi" w:cstheme="majorBidi" w:hAnsiTheme="majorBidi"/>
          <w:sz w:val="32"/>
          <w:szCs w:val="32"/>
          <w:lang w:val="fr-FR"/>
        </w:rPr>
        <w:t>Parmi les propositions suivantes, quel(s) est (sont) le(s) facteur(s) de risque de pancréatite aigue en dehors de l’origine alcoolique ou lithiasique ?</w:t>
      </w:r>
    </w:p>
    <w:p>
      <w:pPr>
        <w:pStyle w:val="ListParagraph"/>
        <w:numPr>
          <w:ilvl w:val="0"/>
          <w:numId w:val="11"/>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Tumeur pancréatique</w:t>
      </w:r>
    </w:p>
    <w:p>
      <w:pPr>
        <w:pStyle w:val="ListParagraph"/>
        <w:numPr>
          <w:ilvl w:val="0"/>
          <w:numId w:val="11"/>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Pancréatite post-opératoire</w:t>
      </w:r>
    </w:p>
    <w:p>
      <w:pPr>
        <w:pStyle w:val="ListParagraph"/>
        <w:numPr>
          <w:ilvl w:val="0"/>
          <w:numId w:val="11"/>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Hypertriglycéridémie</w:t>
      </w:r>
    </w:p>
    <w:p>
      <w:pPr>
        <w:pStyle w:val="ListParagraph"/>
        <w:numPr>
          <w:ilvl w:val="0"/>
          <w:numId w:val="11"/>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Hypocalcémie</w:t>
      </w:r>
    </w:p>
    <w:p>
      <w:pPr>
        <w:pStyle w:val="ListParagraph"/>
        <w:numPr>
          <w:ilvl w:val="0"/>
          <w:numId w:val="11"/>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Pancréatite infectieuse</w:t>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b/>
          <w:bCs/>
          <w:sz w:val="32"/>
          <w:szCs w:val="32"/>
          <w:lang w:val="fr-FR"/>
        </w:rPr>
        <w:t xml:space="preserve">QCM 12 : </w:t>
      </w:r>
      <w:r>
        <w:rPr>
          <w:rFonts w:cs="Times New Roman" w:ascii="Times New Roman" w:hAnsi="Times New Roman" w:asciiTheme="majorBidi" w:cstheme="majorBidi" w:hAnsiTheme="majorBidi"/>
          <w:sz w:val="32"/>
          <w:szCs w:val="32"/>
          <w:lang w:val="fr-FR"/>
        </w:rPr>
        <w:t>Parmi les agents infectieux suivants, lequel (lesquels) est (sont) responsable(s) de pancréatite aigue ?</w:t>
      </w:r>
    </w:p>
    <w:p>
      <w:pPr>
        <w:pStyle w:val="ListParagraph"/>
        <w:numPr>
          <w:ilvl w:val="0"/>
          <w:numId w:val="12"/>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Oreillons</w:t>
      </w:r>
    </w:p>
    <w:p>
      <w:pPr>
        <w:pStyle w:val="ListParagraph"/>
        <w:numPr>
          <w:ilvl w:val="0"/>
          <w:numId w:val="12"/>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Oxyurose</w:t>
      </w:r>
    </w:p>
    <w:p>
      <w:pPr>
        <w:pStyle w:val="ListParagraph"/>
        <w:numPr>
          <w:ilvl w:val="0"/>
          <w:numId w:val="12"/>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Ascaridiose</w:t>
      </w:r>
    </w:p>
    <w:p>
      <w:pPr>
        <w:pStyle w:val="ListParagraph"/>
        <w:numPr>
          <w:ilvl w:val="0"/>
          <w:numId w:val="12"/>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Toxoplasmose</w:t>
      </w:r>
    </w:p>
    <w:p>
      <w:pPr>
        <w:pStyle w:val="ListParagraph"/>
        <w:numPr>
          <w:ilvl w:val="0"/>
          <w:numId w:val="12"/>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Gonocoque</w:t>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b/>
          <w:bCs/>
          <w:sz w:val="32"/>
          <w:szCs w:val="32"/>
          <w:lang w:val="fr-FR"/>
        </w:rPr>
        <w:t xml:space="preserve">QCM 13 : </w:t>
      </w:r>
      <w:r>
        <w:rPr>
          <w:rFonts w:cs="Times New Roman" w:ascii="Times New Roman" w:hAnsi="Times New Roman" w:asciiTheme="majorBidi" w:cstheme="majorBidi" w:hAnsiTheme="majorBidi"/>
          <w:sz w:val="32"/>
          <w:szCs w:val="32"/>
          <w:lang w:val="fr-FR"/>
        </w:rPr>
        <w:t>Parmi les propositions suivantes quel(s) est (sont) le(s) diagnostic(s) différentiel(s) de la pancréatite aigue ?</w:t>
      </w:r>
    </w:p>
    <w:p>
      <w:pPr>
        <w:pStyle w:val="ListParagraph"/>
        <w:numPr>
          <w:ilvl w:val="0"/>
          <w:numId w:val="13"/>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Colique néphrétique</w:t>
      </w:r>
    </w:p>
    <w:p>
      <w:pPr>
        <w:pStyle w:val="ListParagraph"/>
        <w:numPr>
          <w:ilvl w:val="0"/>
          <w:numId w:val="13"/>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Infarctus mésentérique</w:t>
      </w:r>
    </w:p>
    <w:p>
      <w:pPr>
        <w:pStyle w:val="ListParagraph"/>
        <w:numPr>
          <w:ilvl w:val="0"/>
          <w:numId w:val="13"/>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Rupture d’anévrisme de l’aorte abdominale</w:t>
      </w:r>
    </w:p>
    <w:p>
      <w:pPr>
        <w:pStyle w:val="ListParagraph"/>
        <w:numPr>
          <w:ilvl w:val="0"/>
          <w:numId w:val="13"/>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Angiocholite aigue</w:t>
      </w:r>
    </w:p>
    <w:p>
      <w:pPr>
        <w:pStyle w:val="ListParagraph"/>
        <w:numPr>
          <w:ilvl w:val="0"/>
          <w:numId w:val="13"/>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Infarctus splénique</w:t>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b/>
          <w:bCs/>
          <w:sz w:val="32"/>
          <w:szCs w:val="32"/>
          <w:lang w:val="fr-FR"/>
        </w:rPr>
        <w:t xml:space="preserve">QCM 14 : </w:t>
      </w:r>
      <w:r>
        <w:rPr>
          <w:rFonts w:cs="Times New Roman" w:ascii="Times New Roman" w:hAnsi="Times New Roman" w:asciiTheme="majorBidi" w:cstheme="majorBidi" w:hAnsiTheme="majorBidi"/>
          <w:sz w:val="32"/>
          <w:szCs w:val="32"/>
          <w:lang w:val="fr-FR"/>
        </w:rPr>
        <w:t>Concernant le traitement de la pancréatite aigue bénigne, quelle(s) réponse(s) est (sont) exacte(s) ?</w:t>
      </w:r>
    </w:p>
    <w:p>
      <w:pPr>
        <w:pStyle w:val="ListParagraph"/>
        <w:numPr>
          <w:ilvl w:val="0"/>
          <w:numId w:val="14"/>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La reprise de l’alimentation se fait dans les premières heures</w:t>
      </w:r>
    </w:p>
    <w:p>
      <w:pPr>
        <w:pStyle w:val="ListParagraph"/>
        <w:numPr>
          <w:ilvl w:val="0"/>
          <w:numId w:val="14"/>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Le traitement associe antalgiques et AINS</w:t>
      </w:r>
    </w:p>
    <w:p>
      <w:pPr>
        <w:pStyle w:val="ListParagraph"/>
        <w:numPr>
          <w:ilvl w:val="0"/>
          <w:numId w:val="14"/>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La sonde naso-gastrique est systématiquement réalisé à j20</w:t>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b/>
          <w:bCs/>
          <w:sz w:val="32"/>
          <w:szCs w:val="32"/>
          <w:lang w:val="fr-FR"/>
        </w:rPr>
        <w:t xml:space="preserve">QCM 15 : </w:t>
      </w:r>
      <w:r>
        <w:rPr>
          <w:rFonts w:cs="Times New Roman" w:ascii="Times New Roman" w:hAnsi="Times New Roman" w:asciiTheme="majorBidi" w:cstheme="majorBidi" w:hAnsiTheme="majorBidi"/>
          <w:sz w:val="32"/>
          <w:szCs w:val="32"/>
          <w:lang w:val="fr-FR"/>
        </w:rPr>
        <w:t>Concernant la nutrition artificielle lors d’une pancréatite aigue sévère, quelle(s) réponse(s) est (sont) exacte(s) ?</w:t>
      </w:r>
    </w:p>
    <w:p>
      <w:pPr>
        <w:pStyle w:val="ListParagraph"/>
        <w:numPr>
          <w:ilvl w:val="0"/>
          <w:numId w:val="15"/>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Elle doit être mise en place pour la durée prévisible du jeûne</w:t>
      </w:r>
    </w:p>
    <w:p>
      <w:pPr>
        <w:pStyle w:val="ListParagraph"/>
        <w:numPr>
          <w:ilvl w:val="0"/>
          <w:numId w:val="15"/>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Elle doit être mise en place de préférence par voie parentérale</w:t>
      </w:r>
    </w:p>
    <w:p>
      <w:pPr>
        <w:pStyle w:val="ListParagraph"/>
        <w:numPr>
          <w:ilvl w:val="0"/>
          <w:numId w:val="15"/>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Elle est administrée par la sonde d’aspiration gastrique</w:t>
      </w:r>
    </w:p>
    <w:p>
      <w:pPr>
        <w:pStyle w:val="ListParagraph"/>
        <w:numPr>
          <w:ilvl w:val="0"/>
          <w:numId w:val="15"/>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Elle est associée à une antibiothérapie systématique</w:t>
      </w:r>
    </w:p>
    <w:p>
      <w:pPr>
        <w:pStyle w:val="ListParagraph"/>
        <w:numPr>
          <w:ilvl w:val="0"/>
          <w:numId w:val="15"/>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Le patient doit être en position semi-assise</w:t>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jc w:val="center"/>
        <w:rPr>
          <w:rFonts w:ascii="Times New Roman" w:hAnsi="Times New Roman" w:cs="Times New Roman" w:asciiTheme="majorBidi" w:cstheme="majorBidi" w:hAnsiTheme="majorBidi"/>
          <w:sz w:val="32"/>
          <w:szCs w:val="32"/>
          <w:u w:val="single"/>
          <w:lang w:val="fr-FR"/>
        </w:rPr>
      </w:pPr>
      <w:r>
        <w:rPr>
          <w:rFonts w:cs="Times New Roman" w:ascii="Times New Roman" w:hAnsi="Times New Roman" w:asciiTheme="majorBidi" w:cstheme="majorBidi" w:hAnsiTheme="majorBidi"/>
          <w:b/>
          <w:bCs/>
          <w:sz w:val="32"/>
          <w:szCs w:val="32"/>
          <w:u w:val="single"/>
          <w:lang w:val="fr-FR"/>
        </w:rPr>
        <w:t>Réponses</w:t>
      </w:r>
    </w:p>
    <w:p>
      <w:pPr>
        <w:pStyle w:val="Normal"/>
        <w:rPr>
          <w:rFonts w:ascii="Times New Roman" w:hAnsi="Times New Roman" w:cs="Times New Roman" w:asciiTheme="majorBidi" w:cstheme="majorBidi" w:hAnsiTheme="majorBidi"/>
          <w:b/>
          <w:bCs/>
          <w:sz w:val="32"/>
          <w:szCs w:val="32"/>
          <w:lang w:val="fr-FR"/>
        </w:rPr>
      </w:pPr>
      <w:r>
        <w:rPr>
          <w:rFonts w:cs="Times New Roman" w:ascii="Times New Roman" w:hAnsi="Times New Roman" w:asciiTheme="majorBidi" w:cstheme="majorBidi" w:hAnsiTheme="majorBidi"/>
          <w:b/>
          <w:bCs/>
          <w:sz w:val="32"/>
          <w:szCs w:val="32"/>
          <w:lang w:val="fr-FR"/>
        </w:rPr>
        <w:t>Réponse 1 : AE</w:t>
      </w:r>
    </w:p>
    <w:p>
      <w:pPr>
        <w:pStyle w:val="ListParagraph"/>
        <w:numPr>
          <w:ilvl w:val="0"/>
          <w:numId w:val="16"/>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Le diagnostic de certitude de la pancréatite aigue repose sur la présence de deux éléments :</w:t>
      </w:r>
    </w:p>
    <w:p>
      <w:pPr>
        <w:pStyle w:val="ListParagraph"/>
        <w:numPr>
          <w:ilvl w:val="0"/>
          <w:numId w:val="17"/>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Douleur typique de pancréatite aigue</w:t>
      </w:r>
    </w:p>
    <w:p>
      <w:pPr>
        <w:pStyle w:val="ListParagraph"/>
        <w:numPr>
          <w:ilvl w:val="0"/>
          <w:numId w:val="17"/>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Élévation &gt; 3N de la lipasémie</w:t>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b/>
          <w:bCs/>
          <w:sz w:val="32"/>
          <w:szCs w:val="32"/>
          <w:lang w:val="fr-FR"/>
        </w:rPr>
      </w:pPr>
      <w:r>
        <w:rPr>
          <w:rFonts w:cs="Times New Roman" w:ascii="Times New Roman" w:hAnsi="Times New Roman" w:asciiTheme="majorBidi" w:cstheme="majorBidi" w:hAnsiTheme="majorBidi"/>
          <w:b/>
          <w:bCs/>
          <w:sz w:val="32"/>
          <w:szCs w:val="32"/>
          <w:lang w:val="fr-FR"/>
        </w:rPr>
        <w:t xml:space="preserve">Réponse 2 : B C E </w:t>
      </w:r>
    </w:p>
    <w:p>
      <w:pPr>
        <w:pStyle w:val="ListParagraph"/>
        <w:numPr>
          <w:ilvl w:val="0"/>
          <w:numId w:val="16"/>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La douleur abdominale de pancréatite aigue est retrouvée dans 90% des cas</w:t>
      </w:r>
    </w:p>
    <w:p>
      <w:pPr>
        <w:pStyle w:val="ListParagraph"/>
        <w:numPr>
          <w:ilvl w:val="0"/>
          <w:numId w:val="16"/>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Elle touche l’épigastre, l’hypochondre droit ou tout l’abdomen</w:t>
      </w:r>
    </w:p>
    <w:p>
      <w:pPr>
        <w:pStyle w:val="ListParagraph"/>
        <w:numPr>
          <w:ilvl w:val="0"/>
          <w:numId w:val="16"/>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Elle est transfixiante</w:t>
      </w:r>
    </w:p>
    <w:p>
      <w:pPr>
        <w:pStyle w:val="ListParagraph"/>
        <w:numPr>
          <w:ilvl w:val="0"/>
          <w:numId w:val="16"/>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Son début est rapidement progressif</w:t>
      </w:r>
    </w:p>
    <w:p>
      <w:pPr>
        <w:pStyle w:val="ListParagraph"/>
        <w:numPr>
          <w:ilvl w:val="0"/>
          <w:numId w:val="16"/>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 xml:space="preserve">Elle est prolongée </w:t>
      </w:r>
    </w:p>
    <w:p>
      <w:pPr>
        <w:pStyle w:val="ListParagraph"/>
        <w:numPr>
          <w:ilvl w:val="0"/>
          <w:numId w:val="16"/>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Il existe une position antalgique en chien de fusil</w:t>
      </w:r>
    </w:p>
    <w:p>
      <w:pPr>
        <w:pStyle w:val="ListParagraph"/>
        <w:numPr>
          <w:ilvl w:val="0"/>
          <w:numId w:val="16"/>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Elle est très intense</w:t>
      </w:r>
    </w:p>
    <w:p>
      <w:pPr>
        <w:pStyle w:val="Normal"/>
        <w:rPr>
          <w:rFonts w:ascii="Times New Roman" w:hAnsi="Times New Roman" w:cs="Times New Roman" w:asciiTheme="majorBidi" w:cstheme="majorBidi" w:hAnsiTheme="majorBidi"/>
          <w:b/>
          <w:bCs/>
          <w:sz w:val="32"/>
          <w:szCs w:val="32"/>
          <w:lang w:val="fr-FR"/>
        </w:rPr>
      </w:pPr>
      <w:r>
        <w:rPr>
          <w:rFonts w:cs="Times New Roman" w:ascii="Times New Roman" w:hAnsi="Times New Roman" w:asciiTheme="majorBidi" w:cstheme="majorBidi" w:hAnsiTheme="majorBidi"/>
          <w:b/>
          <w:bCs/>
          <w:sz w:val="32"/>
          <w:szCs w:val="32"/>
          <w:lang w:val="fr-FR"/>
        </w:rPr>
        <w:t xml:space="preserve">Réponse 3 : A B C D E </w:t>
      </w:r>
    </w:p>
    <w:p>
      <w:pPr>
        <w:pStyle w:val="ListParagraph"/>
        <w:numPr>
          <w:ilvl w:val="0"/>
          <w:numId w:val="19"/>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X l’échographie n’a aucun intérêt pour le diagnostic positif de la pancréatite aigue</w:t>
      </w:r>
    </w:p>
    <w:p>
      <w:pPr>
        <w:pStyle w:val="ListParagraph"/>
        <w:numPr>
          <w:ilvl w:val="0"/>
          <w:numId w:val="19"/>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 xml:space="preserve">Cependant, elle doit être systématiquement réalisée afin de mettre en évidence une </w:t>
      </w:r>
      <w:r>
        <w:rPr>
          <w:rFonts w:cs="Times New Roman" w:ascii="Times New Roman" w:hAnsi="Times New Roman" w:asciiTheme="majorBidi" w:cstheme="majorBidi" w:hAnsiTheme="majorBidi"/>
          <w:b/>
          <w:bCs/>
          <w:sz w:val="32"/>
          <w:szCs w:val="32"/>
          <w:lang w:val="fr-FR"/>
        </w:rPr>
        <w:t>lithiase vésiculaire ou pancréatique</w:t>
      </w:r>
      <w:r>
        <w:rPr>
          <w:rFonts w:cs="Times New Roman" w:ascii="Times New Roman" w:hAnsi="Times New Roman" w:asciiTheme="majorBidi" w:cstheme="majorBidi" w:hAnsiTheme="majorBidi"/>
          <w:sz w:val="32"/>
          <w:szCs w:val="32"/>
          <w:lang w:val="fr-FR"/>
        </w:rPr>
        <w:t xml:space="preserve"> qui signerait le diagnostic étiologique.</w:t>
      </w:r>
    </w:p>
    <w:p>
      <w:pPr>
        <w:pStyle w:val="ListParagraph"/>
        <w:numPr>
          <w:ilvl w:val="0"/>
          <w:numId w:val="19"/>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 xml:space="preserve">Elle peut également retrouver des éléments qui signent l’inflammation du pancréas : nécrose ou augmentation de la taille de celui-ci </w:t>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b/>
          <w:bCs/>
          <w:sz w:val="32"/>
          <w:szCs w:val="32"/>
          <w:lang w:val="fr-FR"/>
        </w:rPr>
      </w:pPr>
      <w:r>
        <w:rPr>
          <w:rFonts w:cs="Times New Roman" w:ascii="Times New Roman" w:hAnsi="Times New Roman" w:asciiTheme="majorBidi" w:cstheme="majorBidi" w:hAnsiTheme="majorBidi"/>
          <w:b/>
          <w:bCs/>
          <w:sz w:val="32"/>
          <w:szCs w:val="32"/>
          <w:lang w:val="fr-FR"/>
        </w:rPr>
        <w:t>Réponse 4 : B</w:t>
      </w:r>
    </w:p>
    <w:p>
      <w:pPr>
        <w:pStyle w:val="ListParagraph"/>
        <w:numPr>
          <w:ilvl w:val="0"/>
          <w:numId w:val="18"/>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On distingue :</w:t>
      </w:r>
    </w:p>
    <w:p>
      <w:pPr>
        <w:pStyle w:val="ListParagraph"/>
        <w:numPr>
          <w:ilvl w:val="0"/>
          <w:numId w:val="17"/>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Les pancréatites œdémateuses, bénignes, qui représentent 70-80% des cas. Ces malades doivent être hospitalisés en médecine</w:t>
      </w:r>
    </w:p>
    <w:p>
      <w:pPr>
        <w:pStyle w:val="ListParagraph"/>
        <w:numPr>
          <w:ilvl w:val="0"/>
          <w:numId w:val="17"/>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Les pancréatites graves (20-30%) qui doivent être hospitalisés en unité de soins continus, voire soins-intensifs</w:t>
      </w:r>
    </w:p>
    <w:p>
      <w:pPr>
        <w:pStyle w:val="ListParagraph"/>
        <w:numPr>
          <w:ilvl w:val="0"/>
          <w:numId w:val="17"/>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La mortalité globale est de 3-5%, et atteint 20% dans les formes graves</w:t>
      </w:r>
    </w:p>
    <w:p>
      <w:pPr>
        <w:pStyle w:val="ListParagraph"/>
        <w:numPr>
          <w:ilvl w:val="0"/>
          <w:numId w:val="17"/>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X il n’y a pas de corrélation entre la valeur de la lipasémie et la gravité de la pancréatite</w:t>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b/>
          <w:bCs/>
          <w:sz w:val="32"/>
          <w:szCs w:val="32"/>
          <w:lang w:val="fr-FR"/>
        </w:rPr>
      </w:pPr>
      <w:r>
        <w:rPr>
          <w:rFonts w:cs="Times New Roman" w:ascii="Times New Roman" w:hAnsi="Times New Roman" w:asciiTheme="majorBidi" w:cstheme="majorBidi" w:hAnsiTheme="majorBidi"/>
          <w:b/>
          <w:bCs/>
          <w:sz w:val="32"/>
          <w:szCs w:val="32"/>
          <w:lang w:val="fr-FR"/>
        </w:rPr>
        <w:t xml:space="preserve">Réponse 5 : A C E </w:t>
      </w:r>
    </w:p>
    <w:p>
      <w:pPr>
        <w:pStyle w:val="ListParagraph"/>
        <w:numPr>
          <w:ilvl w:val="0"/>
          <w:numId w:val="18"/>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Le SIRS est définit par l’association d’au moins deux des conditions suivantes :</w:t>
      </w:r>
    </w:p>
    <w:p>
      <w:pPr>
        <w:pStyle w:val="ListParagraph"/>
        <w:numPr>
          <w:ilvl w:val="0"/>
          <w:numId w:val="17"/>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Température &lt; 36°C ou &gt;38°C</w:t>
      </w:r>
    </w:p>
    <w:p>
      <w:pPr>
        <w:pStyle w:val="ListParagraph"/>
        <w:numPr>
          <w:ilvl w:val="0"/>
          <w:numId w:val="17"/>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Fréquence cardiaque &gt;90/mn</w:t>
      </w:r>
    </w:p>
    <w:p>
      <w:pPr>
        <w:pStyle w:val="ListParagraph"/>
        <w:numPr>
          <w:ilvl w:val="0"/>
          <w:numId w:val="17"/>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Leucocytose &gt; 12 000/mm^3 ou &lt; 4000/mm^3</w:t>
      </w:r>
    </w:p>
    <w:p>
      <w:pPr>
        <w:pStyle w:val="ListParagraph"/>
        <w:numPr>
          <w:ilvl w:val="0"/>
          <w:numId w:val="17"/>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Fréquence respiratoires &gt; 20/mn ou PaCO2 &lt; 32 mm Hg</w:t>
      </w:r>
    </w:p>
    <w:p>
      <w:pPr>
        <w:pStyle w:val="ListParagraph"/>
        <w:numPr>
          <w:ilvl w:val="0"/>
          <w:numId w:val="17"/>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Cette question peut revenir dans un dossier de réanimation, d’infectiologie ou de n’importe quelle spécialité médicale...Le score remplace de plus celui de Ranson pour évaluer la gravité d’une PA, sa définition est donc bien à connaitre !</w:t>
      </w:r>
    </w:p>
    <w:p>
      <w:pPr>
        <w:pStyle w:val="Normal"/>
        <w:rPr>
          <w:rFonts w:ascii="Times New Roman" w:hAnsi="Times New Roman" w:cs="Times New Roman" w:asciiTheme="majorBidi" w:cstheme="majorBidi" w:hAnsiTheme="majorBidi"/>
          <w:b/>
          <w:bCs/>
          <w:sz w:val="32"/>
          <w:szCs w:val="32"/>
          <w:lang w:val="fr-FR"/>
        </w:rPr>
      </w:pPr>
      <w:r>
        <w:rPr>
          <w:rFonts w:cs="Times New Roman" w:cstheme="majorBidi" w:ascii="Times New Roman" w:hAnsi="Times New Roman"/>
          <w:b/>
          <w:bCs/>
          <w:sz w:val="32"/>
          <w:szCs w:val="32"/>
          <w:lang w:val="fr-FR"/>
        </w:rPr>
      </w:r>
    </w:p>
    <w:p>
      <w:pPr>
        <w:pStyle w:val="Normal"/>
        <w:rPr>
          <w:rFonts w:ascii="Times New Roman" w:hAnsi="Times New Roman" w:cs="Times New Roman" w:asciiTheme="majorBidi" w:cstheme="majorBidi" w:hAnsiTheme="majorBidi"/>
          <w:b/>
          <w:bCs/>
          <w:sz w:val="32"/>
          <w:szCs w:val="32"/>
          <w:lang w:val="fr-FR"/>
        </w:rPr>
      </w:pPr>
      <w:r>
        <w:rPr>
          <w:rFonts w:cs="Times New Roman" w:ascii="Times New Roman" w:hAnsi="Times New Roman" w:asciiTheme="majorBidi" w:cstheme="majorBidi" w:hAnsiTheme="majorBidi"/>
          <w:b/>
          <w:bCs/>
          <w:sz w:val="32"/>
          <w:szCs w:val="32"/>
          <w:lang w:val="fr-FR"/>
        </w:rPr>
        <w:t xml:space="preserve">Réponse 6 : A B E </w:t>
      </w:r>
    </w:p>
    <w:p>
      <w:pPr>
        <w:pStyle w:val="ListParagraph"/>
        <w:numPr>
          <w:ilvl w:val="0"/>
          <w:numId w:val="18"/>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Attention, on demandait bien ici les complications précoces !</w:t>
      </w:r>
    </w:p>
    <w:p>
      <w:pPr>
        <w:pStyle w:val="ListParagraph"/>
        <w:numPr>
          <w:ilvl w:val="0"/>
          <w:numId w:val="18"/>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On peut retrouver :</w:t>
      </w:r>
    </w:p>
    <w:p>
      <w:pPr>
        <w:pStyle w:val="ListParagraph"/>
        <w:numPr>
          <w:ilvl w:val="0"/>
          <w:numId w:val="17"/>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Complications infectieuses : SIRS, sepsis sévère, choc septique</w:t>
      </w:r>
    </w:p>
    <w:p>
      <w:pPr>
        <w:pStyle w:val="ListParagraph"/>
        <w:numPr>
          <w:ilvl w:val="0"/>
          <w:numId w:val="17"/>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Défaillance multi-viscérale : SDRA, insuffisance rénale, CIVD, choc</w:t>
      </w:r>
    </w:p>
    <w:p>
      <w:pPr>
        <w:pStyle w:val="ListParagraph"/>
        <w:numPr>
          <w:ilvl w:val="0"/>
          <w:numId w:val="17"/>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Atteinte cutanée</w:t>
      </w:r>
    </w:p>
    <w:p>
      <w:pPr>
        <w:pStyle w:val="ListParagraph"/>
        <w:numPr>
          <w:ilvl w:val="0"/>
          <w:numId w:val="17"/>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Manifestation neuro-psychiatriques</w:t>
      </w:r>
    </w:p>
    <w:p>
      <w:pPr>
        <w:pStyle w:val="ListParagraph"/>
        <w:numPr>
          <w:ilvl w:val="0"/>
          <w:numId w:val="17"/>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Ulcère de stress</w:t>
      </w:r>
    </w:p>
    <w:p>
      <w:pPr>
        <w:pStyle w:val="ListParagraph"/>
        <w:numPr>
          <w:ilvl w:val="0"/>
          <w:numId w:val="17"/>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Rupture d’un organe creux</w:t>
      </w:r>
    </w:p>
    <w:p>
      <w:pPr>
        <w:pStyle w:val="ListParagraph"/>
        <w:numPr>
          <w:ilvl w:val="0"/>
          <w:numId w:val="17"/>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Pseudo-anévrysme…</w:t>
      </w:r>
    </w:p>
    <w:p>
      <w:pPr>
        <w:pStyle w:val="ListParagraph"/>
        <w:numPr>
          <w:ilvl w:val="0"/>
          <w:numId w:val="20"/>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X les autres complications citées (pseudo-kyste et surinfection d’une coulée de nécrose) surviennent à plusieurs semaines de la phase précoce.</w:t>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b/>
          <w:bCs/>
          <w:sz w:val="32"/>
          <w:szCs w:val="32"/>
          <w:lang w:val="fr-FR"/>
        </w:rPr>
      </w:pPr>
      <w:r>
        <w:rPr>
          <w:rFonts w:cs="Times New Roman" w:ascii="Times New Roman" w:hAnsi="Times New Roman" w:asciiTheme="majorBidi" w:cstheme="majorBidi" w:hAnsiTheme="majorBidi"/>
          <w:b/>
          <w:bCs/>
          <w:sz w:val="32"/>
          <w:szCs w:val="32"/>
          <w:lang w:val="fr-FR"/>
        </w:rPr>
        <w:t>Réponse 7 : D</w:t>
      </w:r>
    </w:p>
    <w:p>
      <w:pPr>
        <w:pStyle w:val="ListParagraph"/>
        <w:numPr>
          <w:ilvl w:val="0"/>
          <w:numId w:val="20"/>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Le scanner doit être réalisé à 48-72 heures des premiers symptômes</w:t>
      </w:r>
    </w:p>
    <w:p>
      <w:pPr>
        <w:pStyle w:val="ListParagraph"/>
        <w:numPr>
          <w:ilvl w:val="0"/>
          <w:numId w:val="20"/>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Il doit être idéalement réalisé avec injection( en l’absence d’insuffisance rénale)</w:t>
      </w:r>
    </w:p>
    <w:p>
      <w:pPr>
        <w:pStyle w:val="ListParagraph"/>
        <w:numPr>
          <w:ilvl w:val="0"/>
          <w:numId w:val="20"/>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Il permet de visualiser :</w:t>
      </w:r>
    </w:p>
    <w:p>
      <w:pPr>
        <w:pStyle w:val="ListParagraph"/>
        <w:numPr>
          <w:ilvl w:val="0"/>
          <w:numId w:val="17"/>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La nécrose pancréatique ou extra-pancréatique</w:t>
      </w:r>
    </w:p>
    <w:p>
      <w:pPr>
        <w:pStyle w:val="ListParagraph"/>
        <w:numPr>
          <w:ilvl w:val="0"/>
          <w:numId w:val="17"/>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Les complications de la pancréatite</w:t>
      </w:r>
    </w:p>
    <w:p>
      <w:pPr>
        <w:pStyle w:val="ListParagraph"/>
        <w:numPr>
          <w:ilvl w:val="0"/>
          <w:numId w:val="21"/>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Il permet d’établir le score de Balthazar</w:t>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b/>
          <w:bCs/>
          <w:sz w:val="32"/>
          <w:szCs w:val="32"/>
          <w:lang w:val="fr-FR"/>
        </w:rPr>
      </w:pPr>
      <w:r>
        <w:rPr>
          <w:rFonts w:cs="Times New Roman" w:ascii="Times New Roman" w:hAnsi="Times New Roman" w:asciiTheme="majorBidi" w:cstheme="majorBidi" w:hAnsiTheme="majorBidi"/>
          <w:b/>
          <w:bCs/>
          <w:sz w:val="32"/>
          <w:szCs w:val="32"/>
          <w:lang w:val="fr-FR"/>
        </w:rPr>
        <w:t xml:space="preserve">Réponse 8 : B D </w:t>
      </w:r>
    </w:p>
    <w:p>
      <w:pPr>
        <w:pStyle w:val="ListParagraph"/>
        <w:numPr>
          <w:ilvl w:val="0"/>
          <w:numId w:val="21"/>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Le score de Balthazar est rappelé ci-dessous :</w:t>
      </w:r>
    </w:p>
    <w:p>
      <w:pPr>
        <w:pStyle w:val="ListParagraph"/>
        <w:ind w:left="874"/>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ListParagraph"/>
        <w:ind w:left="874"/>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ListParagraph"/>
        <w:ind w:left="874"/>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tbl>
      <w:tblPr>
        <w:tblStyle w:val="Grilledutableau"/>
        <w:tblW w:w="8702" w:type="dxa"/>
        <w:jc w:val="left"/>
        <w:tblInd w:w="874" w:type="dxa"/>
        <w:tblLayout w:type="fixed"/>
        <w:tblCellMar>
          <w:top w:w="0" w:type="dxa"/>
          <w:left w:w="108" w:type="dxa"/>
          <w:bottom w:w="0" w:type="dxa"/>
          <w:right w:w="108" w:type="dxa"/>
        </w:tblCellMar>
        <w:tblLook w:val="04a0" w:noHBand="0" w:noVBand="1" w:firstColumn="1" w:lastRow="0" w:lastColumn="0" w:firstRow="1"/>
      </w:tblPr>
      <w:tblGrid>
        <w:gridCol w:w="4351"/>
        <w:gridCol w:w="4350"/>
      </w:tblGrid>
      <w:tr>
        <w:trPr/>
        <w:tc>
          <w:tcPr>
            <w:tcW w:w="4351" w:type="dxa"/>
            <w:tcBorders/>
          </w:tcPr>
          <w:p>
            <w:pPr>
              <w:pStyle w:val="ListParagraph"/>
              <w:widowControl/>
              <w:spacing w:lineRule="auto" w:line="240" w:before="0" w:after="0"/>
              <w:ind w:left="0"/>
              <w:contextualSpacing/>
              <w:jc w:val="center"/>
              <w:rPr>
                <w:rFonts w:ascii="Times New Roman" w:hAnsi="Times New Roman" w:cs="Times New Roman" w:asciiTheme="majorBidi" w:cstheme="majorBidi" w:hAnsiTheme="majorBidi"/>
                <w:sz w:val="32"/>
                <w:szCs w:val="32"/>
                <w:lang w:val="fr-FR"/>
              </w:rPr>
            </w:pPr>
            <w:r>
              <w:rPr>
                <w:rFonts w:eastAsia="Calibri" w:cs="Times New Roman" w:ascii="Times New Roman" w:hAnsi="Times New Roman" w:asciiTheme="majorBidi" w:cstheme="majorBidi" w:hAnsiTheme="majorBidi"/>
                <w:kern w:val="0"/>
                <w:sz w:val="32"/>
                <w:szCs w:val="32"/>
                <w:lang w:val="fr-FR" w:eastAsia="en-US" w:bidi="ar-SA"/>
              </w:rPr>
              <w:t>Scanner</w:t>
            </w:r>
          </w:p>
        </w:tc>
        <w:tc>
          <w:tcPr>
            <w:tcW w:w="4350" w:type="dxa"/>
            <w:tcBorders/>
          </w:tcPr>
          <w:p>
            <w:pPr>
              <w:pStyle w:val="ListParagraph"/>
              <w:widowControl/>
              <w:spacing w:lineRule="auto" w:line="240" w:before="0" w:after="0"/>
              <w:ind w:left="0"/>
              <w:contextualSpacing/>
              <w:jc w:val="center"/>
              <w:rPr>
                <w:rFonts w:ascii="Times New Roman" w:hAnsi="Times New Roman" w:cs="Times New Roman" w:asciiTheme="majorBidi" w:cstheme="majorBidi" w:hAnsiTheme="majorBidi"/>
                <w:sz w:val="32"/>
                <w:szCs w:val="32"/>
                <w:lang w:val="fr-FR"/>
              </w:rPr>
            </w:pPr>
            <w:r>
              <w:rPr>
                <w:rFonts w:eastAsia="Calibri" w:cs="Times New Roman" w:ascii="Times New Roman" w:hAnsi="Times New Roman" w:asciiTheme="majorBidi" w:cstheme="majorBidi" w:hAnsiTheme="majorBidi"/>
                <w:kern w:val="0"/>
                <w:sz w:val="32"/>
                <w:szCs w:val="32"/>
                <w:lang w:val="fr-FR" w:eastAsia="en-US" w:bidi="ar-SA"/>
              </w:rPr>
              <w:t>Scanner avec injection</w:t>
            </w:r>
          </w:p>
        </w:tc>
      </w:tr>
      <w:tr>
        <w:trPr/>
        <w:tc>
          <w:tcPr>
            <w:tcW w:w="4351" w:type="dxa"/>
            <w:tcBorders/>
          </w:tcPr>
          <w:p>
            <w:pPr>
              <w:pStyle w:val="ListParagraph"/>
              <w:widowControl/>
              <w:spacing w:lineRule="auto" w:line="240" w:before="0" w:after="0"/>
              <w:ind w:left="0"/>
              <w:contextualSpacing/>
              <w:jc w:val="left"/>
              <w:rPr>
                <w:rFonts w:ascii="Times New Roman" w:hAnsi="Times New Roman" w:cs="Times New Roman" w:asciiTheme="majorBidi" w:cstheme="majorBidi" w:hAnsiTheme="majorBidi"/>
                <w:sz w:val="32"/>
                <w:szCs w:val="32"/>
                <w:lang w:val="fr-FR"/>
              </w:rPr>
            </w:pPr>
            <w:r>
              <w:rPr>
                <w:rFonts w:eastAsia="Calibri" w:cs="Times New Roman" w:ascii="Times New Roman" w:hAnsi="Times New Roman" w:asciiTheme="majorBidi" w:cstheme="majorBidi" w:hAnsiTheme="majorBidi"/>
                <w:kern w:val="0"/>
                <w:sz w:val="32"/>
                <w:szCs w:val="32"/>
                <w:lang w:val="fr-FR" w:eastAsia="en-US" w:bidi="ar-SA"/>
              </w:rPr>
              <w:t>Stade A</w:t>
            </w:r>
          </w:p>
          <w:p>
            <w:pPr>
              <w:pStyle w:val="ListParagraph"/>
              <w:widowControl/>
              <w:spacing w:lineRule="auto" w:line="240" w:before="0" w:after="0"/>
              <w:ind w:left="0"/>
              <w:contextualSpacing/>
              <w:jc w:val="left"/>
              <w:rPr>
                <w:rFonts w:ascii="Times New Roman" w:hAnsi="Times New Roman" w:cs="Times New Roman" w:asciiTheme="majorBidi" w:cstheme="majorBidi" w:hAnsiTheme="majorBidi"/>
                <w:sz w:val="32"/>
                <w:szCs w:val="32"/>
                <w:lang w:val="fr-FR"/>
              </w:rPr>
            </w:pPr>
            <w:r>
              <w:rPr>
                <w:rFonts w:eastAsia="Calibri" w:cs="Times New Roman" w:ascii="Times New Roman" w:hAnsi="Times New Roman" w:asciiTheme="majorBidi" w:cstheme="majorBidi" w:hAnsiTheme="majorBidi"/>
                <w:kern w:val="0"/>
                <w:sz w:val="32"/>
                <w:szCs w:val="32"/>
                <w:lang w:val="fr-FR" w:eastAsia="en-US" w:bidi="ar-SA"/>
              </w:rPr>
              <w:t>Pancréas normal</w:t>
            </w:r>
          </w:p>
        </w:tc>
        <w:tc>
          <w:tcPr>
            <w:tcW w:w="4350" w:type="dxa"/>
            <w:tcBorders/>
          </w:tcPr>
          <w:p>
            <w:pPr>
              <w:pStyle w:val="ListParagraph"/>
              <w:widowControl/>
              <w:spacing w:lineRule="auto" w:line="240" w:before="0" w:after="0"/>
              <w:ind w:left="0"/>
              <w:contextualSpacing/>
              <w:jc w:val="left"/>
              <w:rPr>
                <w:rFonts w:ascii="Times New Roman" w:hAnsi="Times New Roman" w:cs="Times New Roman" w:asciiTheme="majorBidi" w:cstheme="majorBidi" w:hAnsiTheme="majorBidi"/>
                <w:sz w:val="32"/>
                <w:szCs w:val="32"/>
                <w:lang w:val="fr-FR"/>
              </w:rPr>
            </w:pPr>
            <w:r>
              <w:rPr>
                <w:rFonts w:eastAsia="Calibri" w:cs="Times New Roman" w:ascii="Times New Roman" w:hAnsi="Times New Roman" w:asciiTheme="majorBidi" w:cstheme="majorBidi" w:hAnsiTheme="majorBidi"/>
                <w:kern w:val="0"/>
                <w:sz w:val="32"/>
                <w:szCs w:val="32"/>
                <w:lang w:val="fr-FR" w:eastAsia="en-US" w:bidi="ar-SA"/>
              </w:rPr>
              <w:t>Pas de nécrose</w:t>
            </w:r>
          </w:p>
        </w:tc>
      </w:tr>
      <w:tr>
        <w:trPr/>
        <w:tc>
          <w:tcPr>
            <w:tcW w:w="4351" w:type="dxa"/>
            <w:tcBorders/>
          </w:tcPr>
          <w:p>
            <w:pPr>
              <w:pStyle w:val="ListParagraph"/>
              <w:widowControl/>
              <w:spacing w:lineRule="auto" w:line="240" w:before="0" w:after="0"/>
              <w:ind w:left="0"/>
              <w:contextualSpacing/>
              <w:jc w:val="left"/>
              <w:rPr>
                <w:rFonts w:ascii="Times New Roman" w:hAnsi="Times New Roman" w:cs="Times New Roman" w:asciiTheme="majorBidi" w:cstheme="majorBidi" w:hAnsiTheme="majorBidi"/>
                <w:sz w:val="32"/>
                <w:szCs w:val="32"/>
                <w:lang w:val="fr-FR"/>
              </w:rPr>
            </w:pPr>
            <w:r>
              <w:rPr>
                <w:rFonts w:eastAsia="Calibri" w:cs="Times New Roman" w:ascii="Times New Roman" w:hAnsi="Times New Roman" w:asciiTheme="majorBidi" w:cstheme="majorBidi" w:hAnsiTheme="majorBidi"/>
                <w:kern w:val="0"/>
                <w:sz w:val="32"/>
                <w:szCs w:val="32"/>
                <w:lang w:val="fr-FR" w:eastAsia="en-US" w:bidi="ar-SA"/>
              </w:rPr>
              <w:t>Stade B</w:t>
            </w:r>
          </w:p>
          <w:p>
            <w:pPr>
              <w:pStyle w:val="ListParagraph"/>
              <w:widowControl/>
              <w:spacing w:lineRule="auto" w:line="240" w:before="0" w:after="0"/>
              <w:ind w:left="0"/>
              <w:contextualSpacing/>
              <w:jc w:val="left"/>
              <w:rPr>
                <w:rFonts w:ascii="Times New Roman" w:hAnsi="Times New Roman" w:cs="Times New Roman" w:asciiTheme="majorBidi" w:cstheme="majorBidi" w:hAnsiTheme="majorBidi"/>
                <w:sz w:val="32"/>
                <w:szCs w:val="32"/>
                <w:lang w:val="fr-FR"/>
              </w:rPr>
            </w:pPr>
            <w:r>
              <w:rPr>
                <w:rFonts w:eastAsia="Calibri" w:cs="Times New Roman" w:ascii="Times New Roman" w:hAnsi="Times New Roman" w:asciiTheme="majorBidi" w:cstheme="majorBidi" w:hAnsiTheme="majorBidi"/>
                <w:kern w:val="0"/>
                <w:sz w:val="32"/>
                <w:szCs w:val="32"/>
                <w:lang w:val="fr-FR" w:eastAsia="en-US" w:bidi="ar-SA"/>
              </w:rPr>
              <w:t>2largissement de la glande</w:t>
            </w:r>
          </w:p>
        </w:tc>
        <w:tc>
          <w:tcPr>
            <w:tcW w:w="4350" w:type="dxa"/>
            <w:tcBorders/>
          </w:tcPr>
          <w:p>
            <w:pPr>
              <w:pStyle w:val="ListParagraph"/>
              <w:widowControl/>
              <w:spacing w:lineRule="auto" w:line="240" w:before="0" w:after="0"/>
              <w:ind w:left="0"/>
              <w:contextualSpacing/>
              <w:jc w:val="left"/>
              <w:rPr>
                <w:rFonts w:ascii="Times New Roman" w:hAnsi="Times New Roman" w:cs="Times New Roman" w:asciiTheme="majorBidi" w:cstheme="majorBidi" w:hAnsiTheme="majorBidi"/>
                <w:sz w:val="32"/>
                <w:szCs w:val="32"/>
                <w:lang w:val="fr-FR"/>
              </w:rPr>
            </w:pPr>
            <w:r>
              <w:rPr>
                <w:rFonts w:eastAsia="Calibri" w:cs="Times New Roman" w:ascii="Times New Roman" w:hAnsi="Times New Roman" w:asciiTheme="majorBidi" w:cstheme="majorBidi" w:hAnsiTheme="majorBidi"/>
                <w:kern w:val="0"/>
                <w:sz w:val="32"/>
                <w:szCs w:val="32"/>
                <w:lang w:val="fr-FR" w:eastAsia="en-US" w:bidi="ar-SA"/>
              </w:rPr>
              <w:t>Nécrose &lt; tiers de la glande</w:t>
            </w:r>
          </w:p>
        </w:tc>
      </w:tr>
      <w:tr>
        <w:trPr/>
        <w:tc>
          <w:tcPr>
            <w:tcW w:w="4351" w:type="dxa"/>
            <w:tcBorders/>
          </w:tcPr>
          <w:p>
            <w:pPr>
              <w:pStyle w:val="ListParagraph"/>
              <w:widowControl/>
              <w:spacing w:lineRule="auto" w:line="240" w:before="0" w:after="0"/>
              <w:ind w:left="0"/>
              <w:contextualSpacing/>
              <w:jc w:val="left"/>
              <w:rPr>
                <w:rFonts w:ascii="Times New Roman" w:hAnsi="Times New Roman" w:cs="Times New Roman" w:asciiTheme="majorBidi" w:cstheme="majorBidi" w:hAnsiTheme="majorBidi"/>
                <w:sz w:val="32"/>
                <w:szCs w:val="32"/>
                <w:lang w:val="fr-FR"/>
              </w:rPr>
            </w:pPr>
            <w:r>
              <w:rPr>
                <w:rFonts w:eastAsia="Calibri" w:cs="Times New Roman" w:ascii="Times New Roman" w:hAnsi="Times New Roman" w:asciiTheme="majorBidi" w:cstheme="majorBidi" w:hAnsiTheme="majorBidi"/>
                <w:kern w:val="0"/>
                <w:sz w:val="32"/>
                <w:szCs w:val="32"/>
                <w:lang w:val="fr-FR" w:eastAsia="en-US" w:bidi="ar-SA"/>
              </w:rPr>
              <w:t>Stade C</w:t>
            </w:r>
          </w:p>
          <w:p>
            <w:pPr>
              <w:pStyle w:val="ListParagraph"/>
              <w:widowControl/>
              <w:spacing w:lineRule="auto" w:line="240" w:before="0" w:after="0"/>
              <w:ind w:left="0"/>
              <w:contextualSpacing/>
              <w:jc w:val="left"/>
              <w:rPr>
                <w:rFonts w:ascii="Times New Roman" w:hAnsi="Times New Roman" w:cs="Times New Roman" w:asciiTheme="majorBidi" w:cstheme="majorBidi" w:hAnsiTheme="majorBidi"/>
                <w:sz w:val="32"/>
                <w:szCs w:val="32"/>
                <w:lang w:val="fr-FR"/>
              </w:rPr>
            </w:pPr>
            <w:r>
              <w:rPr>
                <w:rFonts w:eastAsia="Calibri" w:cs="Times New Roman" w:ascii="Times New Roman" w:hAnsi="Times New Roman" w:asciiTheme="majorBidi" w:cstheme="majorBidi" w:hAnsiTheme="majorBidi"/>
                <w:kern w:val="0"/>
                <w:sz w:val="32"/>
                <w:szCs w:val="32"/>
                <w:lang w:val="fr-FR" w:eastAsia="en-US" w:bidi="ar-SA"/>
              </w:rPr>
              <w:t>Infiltration de la graisse</w:t>
            </w:r>
          </w:p>
          <w:p>
            <w:pPr>
              <w:pStyle w:val="ListParagraph"/>
              <w:widowControl/>
              <w:spacing w:lineRule="auto" w:line="240" w:before="0" w:after="0"/>
              <w:ind w:left="0"/>
              <w:contextualSpacing/>
              <w:jc w:val="left"/>
              <w:rPr>
                <w:rFonts w:ascii="Times New Roman" w:hAnsi="Times New Roman" w:cs="Times New Roman" w:asciiTheme="majorBidi" w:cstheme="majorBidi" w:hAnsiTheme="majorBidi"/>
                <w:sz w:val="32"/>
                <w:szCs w:val="32"/>
                <w:lang w:val="fr-FR"/>
              </w:rPr>
            </w:pPr>
            <w:r>
              <w:rPr>
                <w:rFonts w:eastAsia="Calibri" w:cs="Times New Roman" w:ascii="Times New Roman" w:hAnsi="Times New Roman" w:asciiTheme="majorBidi" w:cstheme="majorBidi" w:hAnsiTheme="majorBidi"/>
                <w:kern w:val="0"/>
                <w:sz w:val="32"/>
                <w:szCs w:val="32"/>
                <w:lang w:val="fr-FR" w:eastAsia="en-US" w:bidi="ar-SA"/>
              </w:rPr>
              <w:t>péripancréatique</w:t>
            </w:r>
          </w:p>
        </w:tc>
        <w:tc>
          <w:tcPr>
            <w:tcW w:w="4350" w:type="dxa"/>
            <w:tcBorders/>
          </w:tcPr>
          <w:p>
            <w:pPr>
              <w:pStyle w:val="ListParagraph"/>
              <w:widowControl/>
              <w:spacing w:lineRule="auto" w:line="240" w:before="0" w:after="0"/>
              <w:ind w:left="0"/>
              <w:contextualSpacing/>
              <w:jc w:val="left"/>
              <w:rPr>
                <w:rFonts w:ascii="Times New Roman" w:hAnsi="Times New Roman" w:cs="Times New Roman" w:asciiTheme="majorBidi" w:cstheme="majorBidi" w:hAnsiTheme="majorBidi"/>
                <w:sz w:val="32"/>
                <w:szCs w:val="32"/>
                <w:lang w:val="fr-FR"/>
              </w:rPr>
            </w:pPr>
            <w:r>
              <w:rPr>
                <w:rFonts w:eastAsia="Calibri" w:cs="Times New Roman" w:ascii="Times New Roman" w:hAnsi="Times New Roman" w:asciiTheme="majorBidi" w:cstheme="majorBidi" w:hAnsiTheme="majorBidi"/>
                <w:kern w:val="0"/>
                <w:sz w:val="32"/>
                <w:szCs w:val="32"/>
                <w:lang w:val="fr-FR" w:eastAsia="en-US" w:bidi="ar-SA"/>
              </w:rPr>
              <w:t>Nécrose &gt; 1/3 et &lt;1/2</w:t>
            </w:r>
          </w:p>
        </w:tc>
      </w:tr>
      <w:tr>
        <w:trPr/>
        <w:tc>
          <w:tcPr>
            <w:tcW w:w="4351" w:type="dxa"/>
            <w:tcBorders/>
          </w:tcPr>
          <w:p>
            <w:pPr>
              <w:pStyle w:val="ListParagraph"/>
              <w:widowControl/>
              <w:spacing w:lineRule="auto" w:line="240" w:before="0" w:after="0"/>
              <w:ind w:left="0"/>
              <w:contextualSpacing/>
              <w:jc w:val="left"/>
              <w:rPr>
                <w:rFonts w:ascii="Times New Roman" w:hAnsi="Times New Roman" w:cs="Times New Roman" w:asciiTheme="majorBidi" w:cstheme="majorBidi" w:hAnsiTheme="majorBidi"/>
                <w:sz w:val="32"/>
                <w:szCs w:val="32"/>
                <w:lang w:val="fr-FR"/>
              </w:rPr>
            </w:pPr>
            <w:r>
              <w:rPr>
                <w:rFonts w:eastAsia="Calibri" w:cs="Times New Roman" w:ascii="Times New Roman" w:hAnsi="Times New Roman" w:asciiTheme="majorBidi" w:cstheme="majorBidi" w:hAnsiTheme="majorBidi"/>
                <w:kern w:val="0"/>
                <w:sz w:val="32"/>
                <w:szCs w:val="32"/>
                <w:lang w:val="fr-FR" w:eastAsia="en-US" w:bidi="ar-SA"/>
              </w:rPr>
              <w:t>Stade D</w:t>
            </w:r>
          </w:p>
          <w:p>
            <w:pPr>
              <w:pStyle w:val="ListParagraph"/>
              <w:widowControl/>
              <w:spacing w:lineRule="auto" w:line="240" w:before="0" w:after="0"/>
              <w:ind w:left="0"/>
              <w:contextualSpacing/>
              <w:jc w:val="left"/>
              <w:rPr>
                <w:rFonts w:ascii="Times New Roman" w:hAnsi="Times New Roman" w:cs="Times New Roman" w:asciiTheme="majorBidi" w:cstheme="majorBidi" w:hAnsiTheme="majorBidi"/>
                <w:sz w:val="32"/>
                <w:szCs w:val="32"/>
                <w:lang w:val="fr-FR"/>
              </w:rPr>
            </w:pPr>
            <w:r>
              <w:rPr>
                <w:rFonts w:eastAsia="Calibri" w:cs="Times New Roman" w:ascii="Times New Roman" w:hAnsi="Times New Roman" w:asciiTheme="majorBidi" w:cstheme="majorBidi" w:hAnsiTheme="majorBidi"/>
                <w:kern w:val="0"/>
                <w:sz w:val="32"/>
                <w:szCs w:val="32"/>
                <w:lang w:val="fr-FR" w:eastAsia="en-US" w:bidi="ar-SA"/>
              </w:rPr>
              <w:t>Une coulée de nécrose</w:t>
            </w:r>
          </w:p>
        </w:tc>
        <w:tc>
          <w:tcPr>
            <w:tcW w:w="4350" w:type="dxa"/>
            <w:tcBorders/>
          </w:tcPr>
          <w:p>
            <w:pPr>
              <w:pStyle w:val="ListParagraph"/>
              <w:widowControl/>
              <w:spacing w:lineRule="auto" w:line="240" w:before="0" w:after="0"/>
              <w:ind w:left="0"/>
              <w:contextualSpacing/>
              <w:jc w:val="left"/>
              <w:rPr>
                <w:rFonts w:ascii="Times New Roman" w:hAnsi="Times New Roman" w:cs="Times New Roman" w:asciiTheme="majorBidi" w:cstheme="majorBidi" w:hAnsiTheme="majorBidi"/>
                <w:sz w:val="32"/>
                <w:szCs w:val="32"/>
                <w:lang w:val="fr-FR"/>
              </w:rPr>
            </w:pPr>
            <w:r>
              <w:rPr>
                <w:rFonts w:eastAsia="Calibri" w:cs="Times New Roman" w:ascii="Times New Roman" w:hAnsi="Times New Roman" w:asciiTheme="majorBidi" w:cstheme="majorBidi" w:hAnsiTheme="majorBidi"/>
                <w:kern w:val="0"/>
                <w:sz w:val="32"/>
                <w:szCs w:val="32"/>
                <w:lang w:val="fr-FR" w:eastAsia="en-US" w:bidi="ar-SA"/>
              </w:rPr>
              <w:t>Nécrose &gt; ½ glande</w:t>
            </w:r>
          </w:p>
        </w:tc>
      </w:tr>
      <w:tr>
        <w:trPr/>
        <w:tc>
          <w:tcPr>
            <w:tcW w:w="4351" w:type="dxa"/>
            <w:tcBorders/>
          </w:tcPr>
          <w:p>
            <w:pPr>
              <w:pStyle w:val="ListParagraph"/>
              <w:widowControl/>
              <w:spacing w:lineRule="auto" w:line="240" w:before="0" w:after="0"/>
              <w:ind w:left="0"/>
              <w:contextualSpacing/>
              <w:jc w:val="left"/>
              <w:rPr>
                <w:rFonts w:ascii="Times New Roman" w:hAnsi="Times New Roman" w:cs="Times New Roman" w:asciiTheme="majorBidi" w:cstheme="majorBidi" w:hAnsiTheme="majorBidi"/>
                <w:sz w:val="32"/>
                <w:szCs w:val="32"/>
                <w:lang w:val="fr-FR"/>
              </w:rPr>
            </w:pPr>
            <w:r>
              <w:rPr>
                <w:rFonts w:eastAsia="Calibri" w:cs="Times New Roman" w:ascii="Times New Roman" w:hAnsi="Times New Roman" w:asciiTheme="majorBidi" w:cstheme="majorBidi" w:hAnsiTheme="majorBidi"/>
                <w:kern w:val="0"/>
                <w:sz w:val="32"/>
                <w:szCs w:val="32"/>
                <w:lang w:val="fr-FR" w:eastAsia="en-US" w:bidi="ar-SA"/>
              </w:rPr>
              <w:t>Stade E</w:t>
            </w:r>
          </w:p>
          <w:p>
            <w:pPr>
              <w:pStyle w:val="ListParagraph"/>
              <w:widowControl/>
              <w:spacing w:lineRule="auto" w:line="240" w:before="0" w:after="0"/>
              <w:ind w:left="0"/>
              <w:contextualSpacing/>
              <w:jc w:val="left"/>
              <w:rPr>
                <w:rFonts w:ascii="Times New Roman" w:hAnsi="Times New Roman" w:cs="Times New Roman" w:asciiTheme="majorBidi" w:cstheme="majorBidi" w:hAnsiTheme="majorBidi"/>
                <w:sz w:val="32"/>
                <w:szCs w:val="32"/>
                <w:lang w:val="fr-FR"/>
              </w:rPr>
            </w:pPr>
            <w:r>
              <w:rPr>
                <w:rFonts w:eastAsia="Calibri" w:cs="Times New Roman" w:ascii="Times New Roman" w:hAnsi="Times New Roman" w:asciiTheme="majorBidi" w:cstheme="majorBidi" w:hAnsiTheme="majorBidi"/>
                <w:kern w:val="0"/>
                <w:sz w:val="32"/>
                <w:szCs w:val="32"/>
                <w:lang w:val="fr-FR" w:eastAsia="en-US" w:bidi="ar-SA"/>
              </w:rPr>
              <w:t>Plus d’une coulée de nécrose ou présence de bulles au sein du pancréas ou d’une coulée de nécrose</w:t>
            </w:r>
          </w:p>
        </w:tc>
        <w:tc>
          <w:tcPr>
            <w:tcW w:w="4350" w:type="dxa"/>
            <w:tcBorders/>
          </w:tcPr>
          <w:p>
            <w:pPr>
              <w:pStyle w:val="ListParagraph"/>
              <w:widowControl/>
              <w:spacing w:lineRule="auto" w:line="240" w:before="0" w:after="0"/>
              <w:ind w:left="0"/>
              <w:contextualSpacing/>
              <w:jc w:val="left"/>
              <w:rPr>
                <w:rFonts w:ascii="Times New Roman" w:hAnsi="Times New Roman" w:cs="Times New Roman" w:asciiTheme="majorBidi" w:cstheme="majorBidi" w:hAnsiTheme="majorBidi"/>
                <w:sz w:val="32"/>
                <w:szCs w:val="32"/>
                <w:lang w:val="fr-FR"/>
              </w:rPr>
            </w:pPr>
            <w:r>
              <w:rPr>
                <w:rFonts w:eastAsia="Calibri" w:cs="Times New Roman" w:cstheme="majorBidi" w:ascii="Times New Roman" w:hAnsi="Times New Roman"/>
                <w:kern w:val="0"/>
                <w:sz w:val="32"/>
                <w:szCs w:val="32"/>
                <w:lang w:val="fr-FR" w:eastAsia="en-US" w:bidi="ar-SA"/>
              </w:rPr>
            </w:r>
          </w:p>
        </w:tc>
      </w:tr>
    </w:tbl>
    <w:p>
      <w:pPr>
        <w:pStyle w:val="ListParagraph"/>
        <w:ind w:left="874"/>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 xml:space="preserve"> </w:t>
      </w:r>
    </w:p>
    <w:p>
      <w:pPr>
        <w:pStyle w:val="ListParagraph"/>
        <w:ind w:left="1080"/>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 xml:space="preserve">  </w:t>
      </w:r>
    </w:p>
    <w:tbl>
      <w:tblPr>
        <w:tblStyle w:val="Grilledutableau"/>
        <w:tblW w:w="8496" w:type="dxa"/>
        <w:jc w:val="left"/>
        <w:tblInd w:w="1080" w:type="dxa"/>
        <w:tblLayout w:type="fixed"/>
        <w:tblCellMar>
          <w:top w:w="0" w:type="dxa"/>
          <w:left w:w="108" w:type="dxa"/>
          <w:bottom w:w="0" w:type="dxa"/>
          <w:right w:w="108" w:type="dxa"/>
        </w:tblCellMar>
        <w:tblLook w:val="04a0" w:noHBand="0" w:noVBand="1" w:firstColumn="1" w:lastRow="0" w:lastColumn="0" w:firstRow="1"/>
      </w:tblPr>
      <w:tblGrid>
        <w:gridCol w:w="2769"/>
        <w:gridCol w:w="2840"/>
        <w:gridCol w:w="2887"/>
      </w:tblGrid>
      <w:tr>
        <w:trPr/>
        <w:tc>
          <w:tcPr>
            <w:tcW w:w="2769" w:type="dxa"/>
            <w:tcBorders/>
          </w:tcPr>
          <w:p>
            <w:pPr>
              <w:pStyle w:val="ListParagraph"/>
              <w:widowControl/>
              <w:spacing w:lineRule="auto" w:line="240" w:before="0" w:after="0"/>
              <w:ind w:left="0"/>
              <w:contextualSpacing/>
              <w:jc w:val="left"/>
              <w:rPr>
                <w:rFonts w:ascii="Times New Roman" w:hAnsi="Times New Roman" w:cs="Times New Roman" w:asciiTheme="majorBidi" w:cstheme="majorBidi" w:hAnsiTheme="majorBidi"/>
                <w:sz w:val="32"/>
                <w:szCs w:val="32"/>
                <w:lang w:val="fr-FR"/>
              </w:rPr>
            </w:pPr>
            <w:r>
              <w:rPr>
                <w:rFonts w:eastAsia="Calibri" w:cs="Times New Roman" w:ascii="Times New Roman" w:hAnsi="Times New Roman" w:asciiTheme="majorBidi" w:cstheme="majorBidi" w:hAnsiTheme="majorBidi"/>
                <w:kern w:val="0"/>
                <w:sz w:val="32"/>
                <w:szCs w:val="32"/>
                <w:lang w:val="fr-FR" w:eastAsia="en-US" w:bidi="ar-SA"/>
              </w:rPr>
              <w:t>Points 0-3</w:t>
            </w:r>
          </w:p>
        </w:tc>
        <w:tc>
          <w:tcPr>
            <w:tcW w:w="2840" w:type="dxa"/>
            <w:tcBorders/>
          </w:tcPr>
          <w:p>
            <w:pPr>
              <w:pStyle w:val="ListParagraph"/>
              <w:widowControl/>
              <w:spacing w:lineRule="auto" w:line="240" w:before="0" w:after="0"/>
              <w:ind w:left="0"/>
              <w:contextualSpacing/>
              <w:jc w:val="left"/>
              <w:rPr>
                <w:rFonts w:ascii="Times New Roman" w:hAnsi="Times New Roman" w:cs="Times New Roman" w:asciiTheme="majorBidi" w:cstheme="majorBidi" w:hAnsiTheme="majorBidi"/>
                <w:sz w:val="32"/>
                <w:szCs w:val="32"/>
                <w:lang w:val="fr-FR"/>
              </w:rPr>
            </w:pPr>
            <w:r>
              <w:rPr>
                <w:rFonts w:eastAsia="Calibri" w:cs="Times New Roman" w:ascii="Times New Roman" w:hAnsi="Times New Roman" w:asciiTheme="majorBidi" w:cstheme="majorBidi" w:hAnsiTheme="majorBidi"/>
                <w:kern w:val="0"/>
                <w:sz w:val="32"/>
                <w:szCs w:val="32"/>
                <w:lang w:val="fr-FR" w:eastAsia="en-US" w:bidi="ar-SA"/>
              </w:rPr>
              <w:t>3% mortalité</w:t>
            </w:r>
          </w:p>
        </w:tc>
        <w:tc>
          <w:tcPr>
            <w:tcW w:w="2887" w:type="dxa"/>
            <w:tcBorders/>
          </w:tcPr>
          <w:p>
            <w:pPr>
              <w:pStyle w:val="ListParagraph"/>
              <w:widowControl/>
              <w:spacing w:lineRule="auto" w:line="240" w:before="0" w:after="0"/>
              <w:ind w:left="0"/>
              <w:contextualSpacing/>
              <w:jc w:val="left"/>
              <w:rPr>
                <w:rFonts w:ascii="Times New Roman" w:hAnsi="Times New Roman" w:cs="Times New Roman" w:asciiTheme="majorBidi" w:cstheme="majorBidi" w:hAnsiTheme="majorBidi"/>
                <w:sz w:val="32"/>
                <w:szCs w:val="32"/>
                <w:lang w:val="fr-FR"/>
              </w:rPr>
            </w:pPr>
            <w:r>
              <w:rPr>
                <w:rFonts w:eastAsia="Calibri" w:cs="Times New Roman" w:ascii="Times New Roman" w:hAnsi="Times New Roman" w:asciiTheme="majorBidi" w:cstheme="majorBidi" w:hAnsiTheme="majorBidi"/>
                <w:kern w:val="0"/>
                <w:sz w:val="32"/>
                <w:szCs w:val="32"/>
                <w:lang w:val="fr-FR" w:eastAsia="en-US" w:bidi="ar-SA"/>
              </w:rPr>
              <w:t>8% pancréatite sévère</w:t>
            </w:r>
          </w:p>
        </w:tc>
      </w:tr>
      <w:tr>
        <w:trPr/>
        <w:tc>
          <w:tcPr>
            <w:tcW w:w="2769" w:type="dxa"/>
            <w:tcBorders/>
          </w:tcPr>
          <w:p>
            <w:pPr>
              <w:pStyle w:val="ListParagraph"/>
              <w:widowControl/>
              <w:spacing w:lineRule="auto" w:line="240" w:before="0" w:after="0"/>
              <w:ind w:left="0"/>
              <w:contextualSpacing/>
              <w:jc w:val="left"/>
              <w:rPr>
                <w:rFonts w:ascii="Times New Roman" w:hAnsi="Times New Roman" w:cs="Times New Roman" w:asciiTheme="majorBidi" w:cstheme="majorBidi" w:hAnsiTheme="majorBidi"/>
                <w:sz w:val="32"/>
                <w:szCs w:val="32"/>
                <w:lang w:val="fr-FR"/>
              </w:rPr>
            </w:pPr>
            <w:r>
              <w:rPr>
                <w:rFonts w:eastAsia="Calibri" w:cs="Times New Roman" w:ascii="Times New Roman" w:hAnsi="Times New Roman" w:asciiTheme="majorBidi" w:cstheme="majorBidi" w:hAnsiTheme="majorBidi"/>
                <w:kern w:val="0"/>
                <w:sz w:val="32"/>
                <w:szCs w:val="32"/>
                <w:lang w:val="fr-FR" w:eastAsia="en-US" w:bidi="ar-SA"/>
              </w:rPr>
              <w:t>Points 4-6</w:t>
            </w:r>
          </w:p>
        </w:tc>
        <w:tc>
          <w:tcPr>
            <w:tcW w:w="2840" w:type="dxa"/>
            <w:tcBorders/>
          </w:tcPr>
          <w:p>
            <w:pPr>
              <w:pStyle w:val="ListParagraph"/>
              <w:widowControl/>
              <w:spacing w:lineRule="auto" w:line="240" w:before="0" w:after="0"/>
              <w:ind w:left="0"/>
              <w:contextualSpacing/>
              <w:jc w:val="left"/>
              <w:rPr>
                <w:rFonts w:ascii="Times New Roman" w:hAnsi="Times New Roman" w:cs="Times New Roman" w:asciiTheme="majorBidi" w:cstheme="majorBidi" w:hAnsiTheme="majorBidi"/>
                <w:sz w:val="32"/>
                <w:szCs w:val="32"/>
                <w:lang w:val="fr-FR"/>
              </w:rPr>
            </w:pPr>
            <w:r>
              <w:rPr>
                <w:rFonts w:eastAsia="Calibri" w:cs="Times New Roman" w:ascii="Times New Roman" w:hAnsi="Times New Roman" w:asciiTheme="majorBidi" w:cstheme="majorBidi" w:hAnsiTheme="majorBidi"/>
                <w:kern w:val="0"/>
                <w:sz w:val="32"/>
                <w:szCs w:val="32"/>
                <w:lang w:val="fr-FR" w:eastAsia="en-US" w:bidi="ar-SA"/>
              </w:rPr>
              <w:t>6% mortalité</w:t>
            </w:r>
          </w:p>
        </w:tc>
        <w:tc>
          <w:tcPr>
            <w:tcW w:w="2887" w:type="dxa"/>
            <w:tcBorders/>
          </w:tcPr>
          <w:p>
            <w:pPr>
              <w:pStyle w:val="ListParagraph"/>
              <w:widowControl/>
              <w:spacing w:lineRule="auto" w:line="240" w:before="0" w:after="0"/>
              <w:ind w:left="0"/>
              <w:contextualSpacing/>
              <w:jc w:val="left"/>
              <w:rPr>
                <w:rFonts w:ascii="Times New Roman" w:hAnsi="Times New Roman" w:cs="Times New Roman" w:asciiTheme="majorBidi" w:cstheme="majorBidi" w:hAnsiTheme="majorBidi"/>
                <w:sz w:val="32"/>
                <w:szCs w:val="32"/>
                <w:lang w:val="fr-FR"/>
              </w:rPr>
            </w:pPr>
            <w:r>
              <w:rPr>
                <w:rFonts w:eastAsia="Calibri" w:cs="Times New Roman" w:ascii="Times New Roman" w:hAnsi="Times New Roman" w:asciiTheme="majorBidi" w:cstheme="majorBidi" w:hAnsiTheme="majorBidi"/>
                <w:kern w:val="0"/>
                <w:sz w:val="32"/>
                <w:szCs w:val="32"/>
                <w:lang w:val="fr-FR" w:eastAsia="en-US" w:bidi="ar-SA"/>
              </w:rPr>
              <w:t>33% pancréatite sévère</w:t>
            </w:r>
          </w:p>
        </w:tc>
      </w:tr>
      <w:tr>
        <w:trPr/>
        <w:tc>
          <w:tcPr>
            <w:tcW w:w="2769" w:type="dxa"/>
            <w:tcBorders/>
          </w:tcPr>
          <w:p>
            <w:pPr>
              <w:pStyle w:val="ListParagraph"/>
              <w:widowControl/>
              <w:spacing w:lineRule="auto" w:line="240" w:before="0" w:after="0"/>
              <w:ind w:left="0"/>
              <w:contextualSpacing/>
              <w:jc w:val="left"/>
              <w:rPr>
                <w:rFonts w:ascii="Times New Roman" w:hAnsi="Times New Roman" w:cs="Times New Roman" w:asciiTheme="majorBidi" w:cstheme="majorBidi" w:hAnsiTheme="majorBidi"/>
                <w:sz w:val="32"/>
                <w:szCs w:val="32"/>
                <w:lang w:val="fr-FR"/>
              </w:rPr>
            </w:pPr>
            <w:r>
              <w:rPr>
                <w:rFonts w:eastAsia="Calibri" w:cs="Times New Roman" w:ascii="Times New Roman" w:hAnsi="Times New Roman" w:asciiTheme="majorBidi" w:cstheme="majorBidi" w:hAnsiTheme="majorBidi"/>
                <w:kern w:val="0"/>
                <w:sz w:val="32"/>
                <w:szCs w:val="32"/>
                <w:lang w:val="fr-FR" w:eastAsia="en-US" w:bidi="ar-SA"/>
              </w:rPr>
              <w:t>Points 7-10</w:t>
            </w:r>
          </w:p>
        </w:tc>
        <w:tc>
          <w:tcPr>
            <w:tcW w:w="2840" w:type="dxa"/>
            <w:tcBorders/>
          </w:tcPr>
          <w:p>
            <w:pPr>
              <w:pStyle w:val="ListParagraph"/>
              <w:widowControl/>
              <w:spacing w:lineRule="auto" w:line="240" w:before="0" w:after="0"/>
              <w:ind w:left="0"/>
              <w:contextualSpacing/>
              <w:jc w:val="left"/>
              <w:rPr>
                <w:rFonts w:ascii="Times New Roman" w:hAnsi="Times New Roman" w:cs="Times New Roman" w:asciiTheme="majorBidi" w:cstheme="majorBidi" w:hAnsiTheme="majorBidi"/>
                <w:sz w:val="32"/>
                <w:szCs w:val="32"/>
                <w:lang w:val="fr-FR"/>
              </w:rPr>
            </w:pPr>
            <w:r>
              <w:rPr>
                <w:rFonts w:eastAsia="Calibri" w:cs="Times New Roman" w:ascii="Times New Roman" w:hAnsi="Times New Roman" w:asciiTheme="majorBidi" w:cstheme="majorBidi" w:hAnsiTheme="majorBidi"/>
                <w:kern w:val="0"/>
                <w:sz w:val="32"/>
                <w:szCs w:val="32"/>
                <w:lang w:val="fr-FR" w:eastAsia="en-US" w:bidi="ar-SA"/>
              </w:rPr>
              <w:t>17% mortalité</w:t>
            </w:r>
          </w:p>
        </w:tc>
        <w:tc>
          <w:tcPr>
            <w:tcW w:w="2887" w:type="dxa"/>
            <w:tcBorders/>
          </w:tcPr>
          <w:p>
            <w:pPr>
              <w:pStyle w:val="ListParagraph"/>
              <w:widowControl/>
              <w:spacing w:lineRule="auto" w:line="240" w:before="0" w:after="0"/>
              <w:ind w:left="0"/>
              <w:contextualSpacing/>
              <w:jc w:val="left"/>
              <w:rPr>
                <w:rFonts w:ascii="Times New Roman" w:hAnsi="Times New Roman" w:cs="Times New Roman" w:asciiTheme="majorBidi" w:cstheme="majorBidi" w:hAnsiTheme="majorBidi"/>
                <w:sz w:val="32"/>
                <w:szCs w:val="32"/>
                <w:lang w:val="fr-FR"/>
              </w:rPr>
            </w:pPr>
            <w:r>
              <w:rPr>
                <w:rFonts w:eastAsia="Calibri" w:cs="Times New Roman" w:ascii="Times New Roman" w:hAnsi="Times New Roman" w:asciiTheme="majorBidi" w:cstheme="majorBidi" w:hAnsiTheme="majorBidi"/>
                <w:kern w:val="0"/>
                <w:sz w:val="32"/>
                <w:szCs w:val="32"/>
                <w:lang w:val="fr-FR" w:eastAsia="en-US" w:bidi="ar-SA"/>
              </w:rPr>
              <w:t>92% pancréatite sévère</w:t>
            </w:r>
          </w:p>
        </w:tc>
      </w:tr>
    </w:tbl>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b/>
          <w:bCs/>
          <w:sz w:val="32"/>
          <w:szCs w:val="32"/>
          <w:lang w:val="fr-FR"/>
        </w:rPr>
      </w:pPr>
      <w:r>
        <w:rPr>
          <w:rFonts w:cs="Times New Roman" w:ascii="Times New Roman" w:hAnsi="Times New Roman" w:asciiTheme="majorBidi" w:cstheme="majorBidi" w:hAnsiTheme="majorBidi"/>
          <w:b/>
          <w:bCs/>
          <w:sz w:val="32"/>
          <w:szCs w:val="32"/>
          <w:lang w:val="fr-FR"/>
        </w:rPr>
        <w:t xml:space="preserve">Réponse 9 : D E </w:t>
      </w:r>
    </w:p>
    <w:p>
      <w:pPr>
        <w:pStyle w:val="ListParagraph"/>
        <w:numPr>
          <w:ilvl w:val="0"/>
          <w:numId w:val="21"/>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L’infection d’une coulée de nécrose représente 50 à 80% des décès liés à la pancréatite aigue</w:t>
      </w:r>
    </w:p>
    <w:p>
      <w:pPr>
        <w:pStyle w:val="ListParagraph"/>
        <w:numPr>
          <w:ilvl w:val="0"/>
          <w:numId w:val="21"/>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 xml:space="preserve">Une coulée de nécrose est caractérisée par l’absence de prise de contraste sur le scanner </w:t>
      </w:r>
    </w:p>
    <w:p>
      <w:pPr>
        <w:pStyle w:val="ListParagraph"/>
        <w:numPr>
          <w:ilvl w:val="0"/>
          <w:numId w:val="21"/>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Elle intervient le plus souvent à j21, et se caractérise par un malade devenant septique (fièvre, élévation des leucocytes et de la CRP) et dont l’état s’aggrave (défaillance multiviscérale)</w:t>
      </w:r>
    </w:p>
    <w:p>
      <w:pPr>
        <w:pStyle w:val="ListParagraph"/>
        <w:numPr>
          <w:ilvl w:val="0"/>
          <w:numId w:val="21"/>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On retrouve parfois des bulles d’air dans les coulées de nécrose sur le scanner</w:t>
      </w:r>
    </w:p>
    <w:p>
      <w:pPr>
        <w:pStyle w:val="ListParagraph"/>
        <w:numPr>
          <w:ilvl w:val="0"/>
          <w:numId w:val="21"/>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La ponction pancréatique est réalisée par voie échographique ou scannographique</w:t>
      </w:r>
    </w:p>
    <w:p>
      <w:pPr>
        <w:pStyle w:val="ListParagraph"/>
        <w:numPr>
          <w:ilvl w:val="0"/>
          <w:numId w:val="21"/>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L’antibiothérapie est probabiliste après les prélèvements infectieux</w:t>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b/>
          <w:bCs/>
          <w:sz w:val="32"/>
          <w:szCs w:val="32"/>
          <w:lang w:val="fr-FR"/>
        </w:rPr>
      </w:pPr>
      <w:r>
        <w:rPr>
          <w:rFonts w:cs="Times New Roman" w:ascii="Times New Roman" w:hAnsi="Times New Roman" w:asciiTheme="majorBidi" w:cstheme="majorBidi" w:hAnsiTheme="majorBidi"/>
          <w:b/>
          <w:bCs/>
          <w:sz w:val="32"/>
          <w:szCs w:val="32"/>
          <w:lang w:val="fr-FR"/>
        </w:rPr>
        <w:t xml:space="preserve">Réponse 10 : C D E </w:t>
      </w:r>
    </w:p>
    <w:p>
      <w:pPr>
        <w:pStyle w:val="ListParagraph"/>
        <w:numPr>
          <w:ilvl w:val="0"/>
          <w:numId w:val="22"/>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Les critères en faveur d’une origine lithiasique correspondent au score de Blamey :</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-Sexe féminin</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-Age &gt; 50 ans</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-Phosphatases alcalines &gt;2.5 N</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-ALAT &gt; ASAT, ou ALAT &gt; 2-3 N</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Amylase &gt; 13 N</w:t>
      </w:r>
    </w:p>
    <w:p>
      <w:pPr>
        <w:pStyle w:val="ListParagraph"/>
        <w:numPr>
          <w:ilvl w:val="0"/>
          <w:numId w:val="22"/>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On peut rajouter à ces critères tous les autres facteurs de risque de lithiase biliaire (obésité, multiparité, antécédents personnels ou familiaux), un pic d’hypertransaminasémie très précoce et très transitoire…</w:t>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b/>
          <w:bCs/>
          <w:sz w:val="32"/>
          <w:szCs w:val="32"/>
          <w:lang w:val="fr-FR"/>
        </w:rPr>
      </w:pPr>
      <w:r>
        <w:rPr>
          <w:rFonts w:cs="Times New Roman" w:ascii="Times New Roman" w:hAnsi="Times New Roman" w:asciiTheme="majorBidi" w:cstheme="majorBidi" w:hAnsiTheme="majorBidi"/>
          <w:b/>
          <w:bCs/>
          <w:sz w:val="32"/>
          <w:szCs w:val="32"/>
          <w:lang w:val="fr-FR"/>
        </w:rPr>
        <w:t xml:space="preserve">Réponse 11 : A B C E </w:t>
      </w:r>
    </w:p>
    <w:p>
      <w:pPr>
        <w:pStyle w:val="ListParagraph"/>
        <w:numPr>
          <w:ilvl w:val="0"/>
          <w:numId w:val="22"/>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Les causes de pancréatite aigue sont les suivantes :</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 xml:space="preserve">-Migration d’un calcul biliaire dans la VBP </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-Alcoolisme chronique et important</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-Tumeur malignes ou bénignes</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-Post-CPRE</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-Métaboliques : hypertriglycéridémie (&gt;10 mmol/L), hypercalcémie</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-Médicamenteuses</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-Infectieuses</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-Auto-immune</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-Canalaires</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-Génétiques</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Idiopathiques</w:t>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b/>
          <w:bCs/>
          <w:sz w:val="32"/>
          <w:szCs w:val="32"/>
          <w:lang w:val="fr-FR"/>
        </w:rPr>
      </w:pPr>
      <w:r>
        <w:rPr>
          <w:rFonts w:cs="Times New Roman" w:ascii="Times New Roman" w:hAnsi="Times New Roman" w:asciiTheme="majorBidi" w:cstheme="majorBidi" w:hAnsiTheme="majorBidi"/>
          <w:b/>
          <w:bCs/>
          <w:sz w:val="32"/>
          <w:szCs w:val="32"/>
          <w:lang w:val="fr-FR"/>
        </w:rPr>
        <w:t xml:space="preserve">Réponse 12 : A C D </w:t>
      </w:r>
    </w:p>
    <w:p>
      <w:pPr>
        <w:pStyle w:val="ListParagraph"/>
        <w:numPr>
          <w:ilvl w:val="0"/>
          <w:numId w:val="22"/>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Question difficile concernant une cause rare de pancréatite aigue.</w:t>
      </w:r>
    </w:p>
    <w:p>
      <w:pPr>
        <w:pStyle w:val="ListParagraph"/>
        <w:numPr>
          <w:ilvl w:val="0"/>
          <w:numId w:val="22"/>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On peut citer :</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w:t>
      </w:r>
      <w:r>
        <w:rPr>
          <w:rFonts w:cs="Times New Roman" w:ascii="Times New Roman" w:hAnsi="Times New Roman" w:asciiTheme="majorBidi" w:cstheme="majorBidi" w:hAnsiTheme="majorBidi"/>
          <w:b/>
          <w:bCs/>
          <w:sz w:val="32"/>
          <w:szCs w:val="32"/>
          <w:lang w:val="fr-FR"/>
        </w:rPr>
        <w:t>Bactéries</w:t>
      </w:r>
      <w:r>
        <w:rPr>
          <w:rFonts w:cs="Times New Roman" w:ascii="Times New Roman" w:hAnsi="Times New Roman" w:asciiTheme="majorBidi" w:cstheme="majorBidi" w:hAnsiTheme="majorBidi"/>
          <w:sz w:val="32"/>
          <w:szCs w:val="32"/>
          <w:lang w:val="fr-FR"/>
        </w:rPr>
        <w:t> : Mycoplasme Pneumoniae, C.Jejuni, Légionnelle Leptospirose</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w:t>
      </w:r>
      <w:r>
        <w:rPr>
          <w:rFonts w:cs="Times New Roman" w:ascii="Times New Roman" w:hAnsi="Times New Roman" w:asciiTheme="majorBidi" w:cstheme="majorBidi" w:hAnsiTheme="majorBidi"/>
          <w:b/>
          <w:bCs/>
          <w:sz w:val="32"/>
          <w:szCs w:val="32"/>
          <w:lang w:val="fr-FR"/>
        </w:rPr>
        <w:t>Virus</w:t>
      </w:r>
      <w:r>
        <w:rPr>
          <w:rFonts w:cs="Times New Roman" w:ascii="Times New Roman" w:hAnsi="Times New Roman" w:asciiTheme="majorBidi" w:cstheme="majorBidi" w:hAnsiTheme="majorBidi"/>
          <w:sz w:val="32"/>
          <w:szCs w:val="32"/>
          <w:lang w:val="fr-FR"/>
        </w:rPr>
        <w:t> : oreillons, Rubéole, CMV</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w:t>
      </w:r>
      <w:r>
        <w:rPr>
          <w:rFonts w:cs="Times New Roman" w:ascii="Times New Roman" w:hAnsi="Times New Roman" w:asciiTheme="majorBidi" w:cstheme="majorBidi" w:hAnsiTheme="majorBidi"/>
          <w:b/>
          <w:bCs/>
          <w:sz w:val="32"/>
          <w:szCs w:val="32"/>
          <w:lang w:val="fr-FR"/>
        </w:rPr>
        <w:t>Parasites</w:t>
      </w:r>
      <w:r>
        <w:rPr>
          <w:rFonts w:cs="Times New Roman" w:ascii="Times New Roman" w:hAnsi="Times New Roman" w:asciiTheme="majorBidi" w:cstheme="majorBidi" w:hAnsiTheme="majorBidi"/>
          <w:sz w:val="32"/>
          <w:szCs w:val="32"/>
          <w:lang w:val="fr-FR"/>
        </w:rPr>
        <w:t> : Ascaridiose</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w:t>
      </w:r>
      <w:r>
        <w:rPr>
          <w:rFonts w:cs="Times New Roman" w:ascii="Times New Roman" w:hAnsi="Times New Roman" w:asciiTheme="majorBidi" w:cstheme="majorBidi" w:hAnsiTheme="majorBidi"/>
          <w:b/>
          <w:bCs/>
          <w:sz w:val="32"/>
          <w:szCs w:val="32"/>
          <w:lang w:val="fr-FR"/>
        </w:rPr>
        <w:t>Chez le sujet VIH</w:t>
      </w:r>
      <w:r>
        <w:rPr>
          <w:rFonts w:cs="Times New Roman" w:ascii="Times New Roman" w:hAnsi="Times New Roman" w:asciiTheme="majorBidi" w:cstheme="majorBidi" w:hAnsiTheme="majorBidi"/>
          <w:sz w:val="32"/>
          <w:szCs w:val="32"/>
          <w:lang w:val="fr-FR"/>
        </w:rPr>
        <w:t>+ : Cryptococcose, Toxoplasmose, M.Avium…</w:t>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b/>
          <w:bCs/>
          <w:sz w:val="32"/>
          <w:szCs w:val="32"/>
          <w:lang w:val="fr-FR"/>
        </w:rPr>
      </w:pPr>
      <w:r>
        <w:rPr>
          <w:rFonts w:cs="Times New Roman" w:ascii="Times New Roman" w:hAnsi="Times New Roman" w:asciiTheme="majorBidi" w:cstheme="majorBidi" w:hAnsiTheme="majorBidi"/>
          <w:b/>
          <w:bCs/>
          <w:sz w:val="32"/>
          <w:szCs w:val="32"/>
          <w:lang w:val="fr-FR"/>
        </w:rPr>
        <w:t xml:space="preserve">Réponse 13 : B C </w:t>
      </w:r>
    </w:p>
    <w:p>
      <w:pPr>
        <w:pStyle w:val="ListParagraph"/>
        <w:numPr>
          <w:ilvl w:val="0"/>
          <w:numId w:val="23"/>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Devant une pancréatite aigue, on évoquera toutes les autres causes de douleurs épigastriques importantes :</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-Ulcère perforé</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-Infarctus du myocarde (inférieure++) ou mésentérique</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-Péritonite biliaire</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Rupture d’anévrisme de l’aorte abdominale</w:t>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b/>
          <w:bCs/>
          <w:sz w:val="32"/>
          <w:szCs w:val="32"/>
          <w:lang w:val="fr-FR"/>
        </w:rPr>
      </w:pPr>
      <w:r>
        <w:rPr>
          <w:rFonts w:cs="Times New Roman" w:ascii="Times New Roman" w:hAnsi="Times New Roman" w:asciiTheme="majorBidi" w:cstheme="majorBidi" w:hAnsiTheme="majorBidi"/>
          <w:b/>
          <w:bCs/>
          <w:sz w:val="32"/>
          <w:szCs w:val="32"/>
          <w:lang w:val="fr-FR"/>
        </w:rPr>
        <w:t>Réponse 14 : D</w:t>
      </w:r>
    </w:p>
    <w:p>
      <w:pPr>
        <w:pStyle w:val="ListParagraph"/>
        <w:numPr>
          <w:ilvl w:val="0"/>
          <w:numId w:val="23"/>
        </w:numPr>
        <w:rPr>
          <w:rFonts w:ascii="Times New Roman" w:hAnsi="Times New Roman" w:cs="Times New Roman" w:asciiTheme="majorBidi" w:cstheme="majorBidi" w:hAnsiTheme="majorBidi"/>
          <w:b/>
          <w:bCs/>
          <w:sz w:val="32"/>
          <w:szCs w:val="32"/>
          <w:lang w:val="fr-FR"/>
        </w:rPr>
      </w:pPr>
      <w:r>
        <w:rPr>
          <w:rFonts w:cs="Times New Roman" w:ascii="Times New Roman" w:hAnsi="Times New Roman" w:asciiTheme="majorBidi" w:cstheme="majorBidi" w:hAnsiTheme="majorBidi"/>
          <w:sz w:val="32"/>
          <w:szCs w:val="32"/>
          <w:lang w:val="fr-FR"/>
        </w:rPr>
        <w:t>Le traitement doit être symptomatique :</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-Hospitalisation, mise à jeun</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-Antalgiques de niveau adapté(X AINS contre-indiqués I)</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-Perfusion pour rééquilibration électrolytique</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 +/- SNG(X seulement en cas de vomissement abondants)</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-Surveillance clinique et biologique</w:t>
      </w:r>
    </w:p>
    <w:p>
      <w:pPr>
        <w:pStyle w:val="ListParagraph"/>
        <w:numPr>
          <w:ilvl w:val="0"/>
          <w:numId w:val="23"/>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Le traitement doit être également étiologique :</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-Sevrage alcoolique</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-Traitement d’une lithiase vésiculaire…</w:t>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b/>
          <w:bCs/>
          <w:sz w:val="32"/>
          <w:szCs w:val="32"/>
          <w:lang w:val="fr-FR"/>
        </w:rPr>
      </w:pPr>
      <w:r>
        <w:rPr>
          <w:rFonts w:cs="Times New Roman" w:ascii="Times New Roman" w:hAnsi="Times New Roman" w:asciiTheme="majorBidi" w:cstheme="majorBidi" w:hAnsiTheme="majorBidi"/>
          <w:b/>
          <w:bCs/>
          <w:sz w:val="32"/>
          <w:szCs w:val="32"/>
          <w:lang w:val="fr-FR"/>
        </w:rPr>
        <w:t xml:space="preserve">Réponse 15 : A E </w:t>
      </w:r>
    </w:p>
    <w:p>
      <w:pPr>
        <w:pStyle w:val="ListParagraph"/>
        <w:numPr>
          <w:ilvl w:val="0"/>
          <w:numId w:val="23"/>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La nutrition artificielle est TOUJOURS préférentiellement entérale plutôt que parentérale</w:t>
      </w:r>
    </w:p>
    <w:p>
      <w:pPr>
        <w:pStyle w:val="ListParagraph"/>
        <w:numPr>
          <w:ilvl w:val="0"/>
          <w:numId w:val="23"/>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Dans le cas de la PA, elle est mise en place pendant la durée prévisible du jeûne</w:t>
      </w:r>
    </w:p>
    <w:p>
      <w:pPr>
        <w:pStyle w:val="ListParagraph"/>
        <w:numPr>
          <w:ilvl w:val="0"/>
          <w:numId w:val="23"/>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 xml:space="preserve">On y associera les </w:t>
      </w:r>
      <w:r>
        <w:rPr>
          <w:rFonts w:cs="Times New Roman" w:ascii="Times New Roman" w:hAnsi="Times New Roman" w:asciiTheme="majorBidi" w:cstheme="majorBidi" w:hAnsiTheme="majorBidi"/>
          <w:b/>
          <w:bCs/>
          <w:sz w:val="32"/>
          <w:szCs w:val="32"/>
          <w:lang w:val="fr-FR"/>
        </w:rPr>
        <w:t>mesures habituelles</w:t>
      </w:r>
      <w:r>
        <w:rPr>
          <w:rFonts w:cs="Times New Roman" w:ascii="Times New Roman" w:hAnsi="Times New Roman" w:asciiTheme="majorBidi" w:cstheme="majorBidi" w:hAnsiTheme="majorBidi"/>
          <w:sz w:val="32"/>
          <w:szCs w:val="32"/>
          <w:lang w:val="fr-FR"/>
        </w:rPr>
        <w:t> :</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 xml:space="preserve">-Débit lent </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-Position semi-assise pour prévenir la pneumopathie d’inhalation…</w:t>
      </w:r>
    </w:p>
    <w:p>
      <w:pPr>
        <w:pStyle w:val="ListParagraph"/>
        <w:numPr>
          <w:ilvl w:val="0"/>
          <w:numId w:val="24"/>
        </w:numPr>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 xml:space="preserve">X Il ne s’agit pas de la même sonde que la SNG d’aspiration. </w:t>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 xml:space="preserve"> </w:t>
      </w:r>
    </w:p>
    <w:p>
      <w:pPr>
        <w:pStyle w:val="ListParagraph"/>
        <w:rPr>
          <w:rFonts w:ascii="Times New Roman" w:hAnsi="Times New Roman" w:cs="Times New Roman" w:asciiTheme="majorBidi" w:cstheme="majorBidi" w:hAnsiTheme="majorBidi"/>
          <w:b/>
          <w:bCs/>
          <w:sz w:val="32"/>
          <w:szCs w:val="32"/>
          <w:lang w:val="fr-FR"/>
        </w:rPr>
      </w:pPr>
      <w:r>
        <w:rPr>
          <w:rFonts w:cs="Times New Roman" w:ascii="Times New Roman" w:hAnsi="Times New Roman" w:asciiTheme="majorBidi" w:cstheme="majorBidi" w:hAnsiTheme="majorBidi"/>
          <w:sz w:val="32"/>
          <w:szCs w:val="32"/>
          <w:lang w:val="fr-FR"/>
        </w:rPr>
        <w:t xml:space="preserve"> </w:t>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Normal"/>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ListParagraph"/>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ListParagraph"/>
        <w:rPr>
          <w:rFonts w:ascii="Times New Roman" w:hAnsi="Times New Roman" w:cs="Times New Roman" w:asciiTheme="majorBidi" w:cstheme="majorBidi" w:hAnsiTheme="majorBidi"/>
          <w:sz w:val="32"/>
          <w:szCs w:val="32"/>
          <w:lang w:val="fr-FR"/>
        </w:rPr>
      </w:pPr>
      <w:r>
        <w:rPr>
          <w:rFonts w:cs="Times New Roman" w:ascii="Times New Roman" w:hAnsi="Times New Roman" w:asciiTheme="majorBidi" w:cstheme="majorBidi" w:hAnsiTheme="majorBidi"/>
          <w:sz w:val="32"/>
          <w:szCs w:val="32"/>
          <w:lang w:val="fr-FR"/>
        </w:rPr>
        <w:t xml:space="preserve"> </w:t>
      </w:r>
    </w:p>
    <w:p>
      <w:pPr>
        <w:pStyle w:val="ListParagraph"/>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p>
      <w:pPr>
        <w:pStyle w:val="ListParagraph"/>
        <w:rPr>
          <w:rFonts w:ascii="Times New Roman" w:hAnsi="Times New Roman" w:cs="Times New Roman" w:asciiTheme="majorBidi" w:cstheme="majorBidi" w:hAnsiTheme="majorBidi"/>
          <w:sz w:val="32"/>
          <w:szCs w:val="32"/>
          <w:lang w:val="fr-FR"/>
        </w:rPr>
      </w:pPr>
      <w:r>
        <w:rPr>
          <w:rFonts w:cs="Times New Roman" w:cstheme="majorBidi" w:ascii="Times New Roman" w:hAnsi="Times New Roman"/>
          <w:sz w:val="32"/>
          <w:szCs w:val="32"/>
          <w:lang w:val="fr-FR"/>
        </w:rPr>
      </w:r>
    </w:p>
    <w:sectPr>
      <w:headerReference w:type="even" r:id="rId2"/>
      <w:headerReference w:type="default" r:id="rId3"/>
      <w:headerReference w:type="first" r:id="rId4"/>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Times New Roman">
    <w:charset w:val="01"/>
    <w:family w:val="roma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1080" w:hanging="360"/>
      </w:pPr>
      <w:rPr>
        <w:rFonts w:ascii="Times New Roman" w:hAnsi="Times New Roman" w:cs="Times New Roman" w:hint="default"/>
        <w:rFonts w:eastAsiaTheme="minorHAnsi"/>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874" w:hanging="360"/>
      </w:pPr>
      <w:rPr>
        <w:rFonts w:ascii="Symbol" w:hAnsi="Symbol" w:cs="Symbol" w:hint="default"/>
      </w:rPr>
    </w:lvl>
    <w:lvl w:ilvl="1">
      <w:start w:val="1"/>
      <w:numFmt w:val="bullet"/>
      <w:lvlText w:val="o"/>
      <w:lvlJc w:val="left"/>
      <w:pPr>
        <w:tabs>
          <w:tab w:val="num" w:pos="0"/>
        </w:tabs>
        <w:ind w:left="1594" w:hanging="360"/>
      </w:pPr>
      <w:rPr>
        <w:rFonts w:ascii="Courier New" w:hAnsi="Courier New" w:cs="Courier New" w:hint="default"/>
      </w:rPr>
    </w:lvl>
    <w:lvl w:ilvl="2">
      <w:start w:val="1"/>
      <w:numFmt w:val="bullet"/>
      <w:lvlText w:val=""/>
      <w:lvlJc w:val="left"/>
      <w:pPr>
        <w:tabs>
          <w:tab w:val="num" w:pos="0"/>
        </w:tabs>
        <w:ind w:left="2314" w:hanging="360"/>
      </w:pPr>
      <w:rPr>
        <w:rFonts w:ascii="Wingdings" w:hAnsi="Wingdings" w:cs="Wingdings" w:hint="default"/>
      </w:rPr>
    </w:lvl>
    <w:lvl w:ilvl="3">
      <w:start w:val="1"/>
      <w:numFmt w:val="bullet"/>
      <w:lvlText w:val=""/>
      <w:lvlJc w:val="left"/>
      <w:pPr>
        <w:tabs>
          <w:tab w:val="num" w:pos="0"/>
        </w:tabs>
        <w:ind w:left="3034" w:hanging="360"/>
      </w:pPr>
      <w:rPr>
        <w:rFonts w:ascii="Symbol" w:hAnsi="Symbol" w:cs="Symbol" w:hint="default"/>
      </w:rPr>
    </w:lvl>
    <w:lvl w:ilvl="4">
      <w:start w:val="1"/>
      <w:numFmt w:val="bullet"/>
      <w:lvlText w:val="o"/>
      <w:lvlJc w:val="left"/>
      <w:pPr>
        <w:tabs>
          <w:tab w:val="num" w:pos="0"/>
        </w:tabs>
        <w:ind w:left="3754" w:hanging="360"/>
      </w:pPr>
      <w:rPr>
        <w:rFonts w:ascii="Courier New" w:hAnsi="Courier New" w:cs="Courier New" w:hint="default"/>
      </w:rPr>
    </w:lvl>
    <w:lvl w:ilvl="5">
      <w:start w:val="1"/>
      <w:numFmt w:val="bullet"/>
      <w:lvlText w:val=""/>
      <w:lvlJc w:val="left"/>
      <w:pPr>
        <w:tabs>
          <w:tab w:val="num" w:pos="0"/>
        </w:tabs>
        <w:ind w:left="4474" w:hanging="360"/>
      </w:pPr>
      <w:rPr>
        <w:rFonts w:ascii="Wingdings" w:hAnsi="Wingdings" w:cs="Wingdings" w:hint="default"/>
      </w:rPr>
    </w:lvl>
    <w:lvl w:ilvl="6">
      <w:start w:val="1"/>
      <w:numFmt w:val="bullet"/>
      <w:lvlText w:val=""/>
      <w:lvlJc w:val="left"/>
      <w:pPr>
        <w:tabs>
          <w:tab w:val="num" w:pos="0"/>
        </w:tabs>
        <w:ind w:left="5194" w:hanging="360"/>
      </w:pPr>
      <w:rPr>
        <w:rFonts w:ascii="Symbol" w:hAnsi="Symbol" w:cs="Symbol" w:hint="default"/>
      </w:rPr>
    </w:lvl>
    <w:lvl w:ilvl="7">
      <w:start w:val="1"/>
      <w:numFmt w:val="bullet"/>
      <w:lvlText w:val="o"/>
      <w:lvlJc w:val="left"/>
      <w:pPr>
        <w:tabs>
          <w:tab w:val="num" w:pos="0"/>
        </w:tabs>
        <w:ind w:left="5914" w:hanging="360"/>
      </w:pPr>
      <w:rPr>
        <w:rFonts w:ascii="Courier New" w:hAnsi="Courier New" w:cs="Courier New" w:hint="default"/>
      </w:rPr>
    </w:lvl>
    <w:lvl w:ilvl="8">
      <w:start w:val="1"/>
      <w:numFmt w:val="bullet"/>
      <w:lvlText w:val=""/>
      <w:lvlJc w:val="left"/>
      <w:pPr>
        <w:tabs>
          <w:tab w:val="num" w:pos="0"/>
        </w:tabs>
        <w:ind w:left="6634"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95"/>
  <w:defaultTabStop w:val="720"/>
  <w:autoHyphenation w:val="true"/>
  <w:compat>
    <w:compatSetting w:name="compatibilityMode" w:uri="http://schemas.microsoft.com/office/word" w:val="12"/>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6345c"/>
    <w:pPr>
      <w:widowControl/>
      <w:bidi w:val="0"/>
      <w:spacing w:lineRule="auto" w:line="276" w:before="0" w:after="0"/>
      <w:jc w:val="left"/>
    </w:pPr>
    <w:rPr>
      <w:rFonts w:ascii="Calibri" w:hAnsi="Calibri" w:eastAsia="Calibri" w:cs="Arial"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En-tteCar" w:customStyle="1">
    <w:name w:val="En-tête Car"/>
    <w:basedOn w:val="DefaultParagraphFont"/>
    <w:uiPriority w:val="99"/>
    <w:qFormat/>
    <w:rsid w:val="00412887"/>
    <w:rPr/>
  </w:style>
  <w:style w:type="character" w:styleId="PieddepageCar" w:customStyle="1">
    <w:name w:val="Pied de page Car"/>
    <w:basedOn w:val="DefaultParagraphFont"/>
    <w:uiPriority w:val="99"/>
    <w:qFormat/>
    <w:rsid w:val="00412887"/>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e16dc7"/>
    <w:pPr>
      <w:spacing w:before="0" w:after="0"/>
      <w:ind w:left="720"/>
      <w:contextualSpacing/>
    </w:pPr>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412887"/>
    <w:pPr>
      <w:tabs>
        <w:tab w:val="clear" w:pos="720"/>
        <w:tab w:val="center" w:pos="4536" w:leader="none"/>
        <w:tab w:val="right" w:pos="9072" w:leader="none"/>
      </w:tabs>
      <w:spacing w:lineRule="auto" w:line="240"/>
    </w:pPr>
    <w:rPr/>
  </w:style>
  <w:style w:type="paragraph" w:styleId="Footer">
    <w:name w:val="Footer"/>
    <w:basedOn w:val="Normal"/>
    <w:link w:val="PieddepageCar"/>
    <w:uiPriority w:val="99"/>
    <w:unhideWhenUsed/>
    <w:rsid w:val="00412887"/>
    <w:pPr>
      <w:tabs>
        <w:tab w:val="clear" w:pos="720"/>
        <w:tab w:val="center" w:pos="4536" w:leader="none"/>
        <w:tab w:val="right" w:pos="9072" w:leader="none"/>
      </w:tabs>
      <w:spacing w:lineRule="auto" w:line="240"/>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59"/>
    <w:rsid w:val="00262855"/>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142</TotalTime>
  <Application>LibreOffice/24.2.7.2$Linux_X86_64 LibreOffice_project/420$Build-2</Application>
  <AppVersion>15.0000</AppVersion>
  <Pages>11</Pages>
  <Words>1705</Words>
  <Characters>8831</Characters>
  <CharactersWithSpaces>10209</CharactersWithSpaces>
  <Paragraphs>228</Paragraphs>
  <Company>alquds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2023-02-24T19:28:00Z</dcterms:created>
  <dc:creator>Windows User</dc:creator>
  <dc:description/>
  <dc:language>fr-FR</dc:language>
  <cp:lastModifiedBy/>
  <dcterms:modified xsi:type="dcterms:W3CDTF">2026-04-15T06:37:05Z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