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ListParagraph"/>
        <w:rPr>
          <w:b/>
          <w:sz w:val="28"/>
          <w:szCs w:val="28"/>
        </w:rPr>
      </w:pPr>
      <w:r>
        <w:rPr>
          <w:b/>
          <w:sz w:val="28"/>
          <w:szCs w:val="28"/>
        </w:rPr>
        <w:t xml:space="preserve">          </w:t>
      </w:r>
      <w:r>
        <w:rPr>
          <w:b/>
          <w:sz w:val="28"/>
          <w:szCs w:val="28"/>
        </w:rPr>
        <w:t xml:space="preserve">Evaluation du Module de Pédiatrie </w:t>
      </w:r>
    </w:p>
    <w:p>
      <w:pPr>
        <w:pStyle w:val="ListParagraph"/>
        <w:rPr>
          <w:b/>
          <w:sz w:val="28"/>
          <w:szCs w:val="28"/>
        </w:rPr>
      </w:pPr>
      <w:r>
        <w:rPr>
          <w:b/>
          <w:sz w:val="28"/>
          <w:szCs w:val="28"/>
        </w:rPr>
      </w:r>
    </w:p>
    <w:p>
      <w:pPr>
        <w:pStyle w:val="ListParagraph"/>
        <w:numPr>
          <w:ilvl w:val="0"/>
          <w:numId w:val="1"/>
        </w:numPr>
        <w:rPr>
          <w:b/>
        </w:rPr>
      </w:pPr>
      <w:r>
        <w:rPr>
          <w:b/>
        </w:rPr>
        <w:t>Concernant le lait de vache, cocher la réponse fausse</w:t>
      </w:r>
    </w:p>
    <w:p>
      <w:pPr>
        <w:pStyle w:val="ListParagraph"/>
        <w:numPr>
          <w:ilvl w:val="0"/>
          <w:numId w:val="2"/>
        </w:numPr>
        <w:rPr/>
      </w:pPr>
      <w:r>
        <w:rPr/>
        <w:t>Le taux de protéines est plus élevé par apport au lait de femme</w:t>
      </w:r>
    </w:p>
    <w:p>
      <w:pPr>
        <w:pStyle w:val="ListParagraph"/>
        <w:numPr>
          <w:ilvl w:val="0"/>
          <w:numId w:val="2"/>
        </w:numPr>
        <w:rPr/>
      </w:pPr>
      <w:r>
        <w:rPr/>
        <w:t xml:space="preserve">Contient plus de lactose </w:t>
      </w:r>
    </w:p>
    <w:p>
      <w:pPr>
        <w:pStyle w:val="ListParagraph"/>
        <w:numPr>
          <w:ilvl w:val="0"/>
          <w:numId w:val="2"/>
        </w:numPr>
        <w:rPr/>
      </w:pPr>
      <w:r>
        <w:rPr/>
        <w:t>Moins riche en acides gras insaturés</w:t>
      </w:r>
    </w:p>
    <w:p>
      <w:pPr>
        <w:pStyle w:val="ListParagraph"/>
        <w:numPr>
          <w:ilvl w:val="0"/>
          <w:numId w:val="2"/>
        </w:numPr>
        <w:rPr/>
      </w:pPr>
      <w:r>
        <w:rPr/>
        <w:t>Plus riche en sels minéraux</w:t>
      </w:r>
    </w:p>
    <w:p>
      <w:pPr>
        <w:pStyle w:val="ListParagraph"/>
        <w:numPr>
          <w:ilvl w:val="0"/>
          <w:numId w:val="2"/>
        </w:numPr>
        <w:rPr>
          <w:b/>
          <w:color w:val="FF0000"/>
        </w:rPr>
      </w:pPr>
      <w:r>
        <w:rPr>
          <w:b/>
          <w:color w:val="FF0000"/>
        </w:rPr>
        <w:t>A la même charge osmolaire que le lait de femme</w:t>
      </w:r>
    </w:p>
    <w:p>
      <w:pPr>
        <w:pStyle w:val="ListParagraph"/>
        <w:numPr>
          <w:ilvl w:val="0"/>
          <w:numId w:val="1"/>
        </w:numPr>
        <w:rPr>
          <w:b/>
        </w:rPr>
      </w:pPr>
      <w:r>
        <w:rPr>
          <w:b/>
        </w:rPr>
        <w:t>Concernant le lait maternel (réponse fausse)</w:t>
      </w:r>
    </w:p>
    <w:p>
      <w:pPr>
        <w:pStyle w:val="ListParagraph"/>
        <w:numPr>
          <w:ilvl w:val="0"/>
          <w:numId w:val="3"/>
        </w:numPr>
        <w:rPr>
          <w:b/>
          <w:color w:val="FF0000"/>
        </w:rPr>
      </w:pPr>
      <w:r>
        <w:rPr>
          <w:b/>
          <w:color w:val="FF0000"/>
        </w:rPr>
        <w:t>La mise au sein dès la 6</w:t>
      </w:r>
      <w:r>
        <w:rPr>
          <w:b/>
          <w:color w:val="FF0000"/>
          <w:vertAlign w:val="superscript"/>
        </w:rPr>
        <w:t>ème</w:t>
      </w:r>
      <w:r>
        <w:rPr>
          <w:b/>
          <w:color w:val="FF0000"/>
        </w:rPr>
        <w:t xml:space="preserve"> heure de vie</w:t>
      </w:r>
    </w:p>
    <w:p>
      <w:pPr>
        <w:pStyle w:val="ListParagraph"/>
        <w:numPr>
          <w:ilvl w:val="0"/>
          <w:numId w:val="3"/>
        </w:numPr>
        <w:rPr/>
      </w:pPr>
      <w:r>
        <w:rPr/>
        <w:t>Les tétés durant les premiers mois de vie sont au nombre de 6 à 7 par jour</w:t>
      </w:r>
    </w:p>
    <w:p>
      <w:pPr>
        <w:pStyle w:val="ListParagraph"/>
        <w:numPr>
          <w:ilvl w:val="0"/>
          <w:numId w:val="3"/>
        </w:numPr>
        <w:rPr/>
      </w:pPr>
      <w:r>
        <w:rPr/>
        <w:t>Lait maternel est suffisant jusqu’au 6</w:t>
      </w:r>
      <w:r>
        <w:rPr>
          <w:vertAlign w:val="superscript"/>
        </w:rPr>
        <w:t>ème</w:t>
      </w:r>
      <w:r>
        <w:rPr/>
        <w:t xml:space="preserve"> mois de vie</w:t>
      </w:r>
    </w:p>
    <w:p>
      <w:pPr>
        <w:pStyle w:val="ListParagraph"/>
        <w:numPr>
          <w:ilvl w:val="0"/>
          <w:numId w:val="3"/>
        </w:numPr>
        <w:rPr/>
      </w:pPr>
      <w:r>
        <w:rPr/>
        <w:t>La durée des tétés est en moyenne 15 à 20 minutes</w:t>
      </w:r>
    </w:p>
    <w:p>
      <w:pPr>
        <w:pStyle w:val="ListParagraph"/>
        <w:numPr>
          <w:ilvl w:val="0"/>
          <w:numId w:val="3"/>
        </w:numPr>
        <w:rPr/>
      </w:pPr>
      <w:r>
        <w:rPr/>
        <w:t>Le lait maternel peut entrainer une diarrhée post prandiale</w:t>
      </w:r>
    </w:p>
    <w:p>
      <w:pPr>
        <w:pStyle w:val="ListParagraph"/>
        <w:numPr>
          <w:ilvl w:val="0"/>
          <w:numId w:val="1"/>
        </w:numPr>
        <w:rPr>
          <w:b/>
        </w:rPr>
      </w:pPr>
      <w:r>
        <w:rPr>
          <w:b/>
        </w:rPr>
        <w:t>Etablir les correspondances suivantes</w:t>
      </w:r>
    </w:p>
    <w:p>
      <w:pPr>
        <w:pStyle w:val="ListParagraph"/>
        <w:numPr>
          <w:ilvl w:val="0"/>
          <w:numId w:val="20"/>
        </w:numPr>
        <w:rPr/>
      </w:pPr>
      <w:r>
        <w:rPr/>
        <w:t>Allergie aux PLV                                   1- Lait pauvre en phénylalanine</w:t>
      </w:r>
    </w:p>
    <w:p>
      <w:pPr>
        <w:pStyle w:val="ListParagraph"/>
        <w:numPr>
          <w:ilvl w:val="0"/>
          <w:numId w:val="20"/>
        </w:numPr>
        <w:rPr/>
      </w:pPr>
      <w:r>
        <w:rPr/>
        <w:t>Cholestase                                             2- Lait sans lactose</w:t>
      </w:r>
    </w:p>
    <w:p>
      <w:pPr>
        <w:pStyle w:val="ListParagraph"/>
        <w:numPr>
          <w:ilvl w:val="0"/>
          <w:numId w:val="20"/>
        </w:numPr>
        <w:rPr/>
      </w:pPr>
      <w:r>
        <w:rPr/>
        <w:t>Phénylcétonurie                                   3- Lait riche en TG à chaines moyennes</w:t>
      </w:r>
    </w:p>
    <w:p>
      <w:pPr>
        <w:pStyle w:val="ListParagraph"/>
        <w:numPr>
          <w:ilvl w:val="0"/>
          <w:numId w:val="20"/>
        </w:numPr>
        <w:rPr/>
      </w:pPr>
      <w:r>
        <w:rPr/>
        <w:t>Galactosémie congénitale                  4- Lait avec hydrolysat de caséine</w:t>
      </w:r>
    </w:p>
    <w:p>
      <w:pPr>
        <w:pStyle w:val="ListParagraph"/>
        <w:numPr>
          <w:ilvl w:val="0"/>
          <w:numId w:val="1"/>
        </w:numPr>
        <w:rPr>
          <w:b/>
        </w:rPr>
      </w:pPr>
      <w:r>
        <w:rPr>
          <w:b/>
        </w:rPr>
        <w:t>Etablir les correspondances concernant les ictères du nouveau-né</w:t>
      </w:r>
    </w:p>
    <w:p>
      <w:pPr>
        <w:pStyle w:val="ListParagraph"/>
        <w:numPr>
          <w:ilvl w:val="0"/>
          <w:numId w:val="19"/>
        </w:numPr>
        <w:rPr/>
      </w:pPr>
      <w:r>
        <w:rPr/>
        <w:t>Incompatibilité Rhésus                       1-Hypotrophie, bilirubine mixte</w:t>
      </w:r>
    </w:p>
    <w:p>
      <w:pPr>
        <w:pStyle w:val="ListParagraph"/>
        <w:numPr>
          <w:ilvl w:val="0"/>
          <w:numId w:val="19"/>
        </w:numPr>
        <w:rPr/>
      </w:pPr>
      <w:r>
        <w:rPr/>
        <w:t>Incompatibilité ABO                            2- Hépatomégalie, selles décolorées, bilirubine directe</w:t>
      </w:r>
    </w:p>
    <w:p>
      <w:pPr>
        <w:pStyle w:val="ListParagraph"/>
        <w:numPr>
          <w:ilvl w:val="0"/>
          <w:numId w:val="19"/>
        </w:numPr>
        <w:rPr/>
      </w:pPr>
      <w:r>
        <w:rPr/>
        <w:t>Cholestase                                            3- Anémie modérée, bilirubine indirecte</w:t>
      </w:r>
    </w:p>
    <w:p>
      <w:pPr>
        <w:pStyle w:val="ListParagraph"/>
        <w:numPr>
          <w:ilvl w:val="0"/>
          <w:numId w:val="19"/>
        </w:numPr>
        <w:rPr/>
      </w:pPr>
      <w:r>
        <w:rPr/>
        <w:t>Hépatite néonatale                             4- Anémie sévère, test Coombs positif</w:t>
      </w:r>
    </w:p>
    <w:p>
      <w:pPr>
        <w:pStyle w:val="ListParagraph"/>
        <w:numPr>
          <w:ilvl w:val="0"/>
          <w:numId w:val="1"/>
        </w:numPr>
        <w:rPr>
          <w:b/>
        </w:rPr>
      </w:pPr>
      <w:r>
        <w:rPr>
          <w:b/>
        </w:rPr>
        <w:t>La prévention de l’isoimmunisation Rhésus se fait par la vaccination antiD chez , (réponse juste)</w:t>
      </w:r>
    </w:p>
    <w:p>
      <w:pPr>
        <w:pStyle w:val="ListParagraph"/>
        <w:numPr>
          <w:ilvl w:val="0"/>
          <w:numId w:val="21"/>
        </w:numPr>
        <w:rPr/>
      </w:pPr>
      <w:r>
        <w:rPr/>
        <w:t>Une femme Rhésus négatif, non immunisée, ayant accouché d’un NN rhésus positif avant la 72</w:t>
      </w:r>
      <w:r>
        <w:rPr>
          <w:vertAlign w:val="superscript"/>
        </w:rPr>
        <w:t>ème</w:t>
      </w:r>
      <w:r>
        <w:rPr/>
        <w:t xml:space="preserve"> Heure</w:t>
      </w:r>
    </w:p>
    <w:p>
      <w:pPr>
        <w:pStyle w:val="ListParagraph"/>
        <w:numPr>
          <w:ilvl w:val="0"/>
          <w:numId w:val="21"/>
        </w:numPr>
        <w:rPr/>
      </w:pPr>
      <w:r>
        <w:rPr/>
        <w:t>Une femme Rhésus négatif,  ayant accouché d’un NN rhésus Négatif</w:t>
      </w:r>
    </w:p>
    <w:p>
      <w:pPr>
        <w:pStyle w:val="ListParagraph"/>
        <w:numPr>
          <w:ilvl w:val="0"/>
          <w:numId w:val="21"/>
        </w:numPr>
        <w:rPr/>
      </w:pPr>
      <w:r>
        <w:rPr/>
        <w:t>Après chaque avortement ou manipulation sur utérus chez une femme Rhésus négatif dont le mari est Rhésus Positif</w:t>
      </w:r>
    </w:p>
    <w:p>
      <w:pPr>
        <w:pStyle w:val="ListParagraph"/>
        <w:numPr>
          <w:ilvl w:val="0"/>
          <w:numId w:val="21"/>
        </w:numPr>
        <w:rPr/>
      </w:pPr>
      <w:r>
        <w:rPr/>
        <w:t>Propositions a et b sont justes</w:t>
      </w:r>
    </w:p>
    <w:p>
      <w:pPr>
        <w:pStyle w:val="ListParagraph"/>
        <w:numPr>
          <w:ilvl w:val="0"/>
          <w:numId w:val="21"/>
        </w:numPr>
        <w:rPr>
          <w:b/>
          <w:color w:val="FF0000"/>
        </w:rPr>
      </w:pPr>
      <w:r>
        <w:rPr>
          <w:b/>
          <w:color w:val="FF0000"/>
        </w:rPr>
        <w:t>Propositions a et c sont justes</w:t>
      </w:r>
    </w:p>
    <w:p>
      <w:pPr>
        <w:pStyle w:val="ListParagraph"/>
        <w:rPr/>
      </w:pPr>
      <w:r>
        <w:rPr/>
      </w:r>
    </w:p>
    <w:p>
      <w:pPr>
        <w:pStyle w:val="ListParagraph"/>
        <w:rPr/>
      </w:pPr>
      <w:r>
        <w:rPr/>
      </w:r>
    </w:p>
    <w:p>
      <w:pPr>
        <w:pStyle w:val="ListParagraph"/>
        <w:numPr>
          <w:ilvl w:val="0"/>
          <w:numId w:val="1"/>
        </w:numPr>
        <w:rPr>
          <w:b/>
        </w:rPr>
      </w:pPr>
      <w:r>
        <w:rPr>
          <w:b/>
        </w:rPr>
        <w:t xml:space="preserve">Quels critères peuvent faire évoquer un retard psychomoteur chez un nourrisson de </w:t>
      </w:r>
      <w:r>
        <w:rPr>
          <w:b/>
          <w:color w:val="FF0000"/>
        </w:rPr>
        <w:t>12 mois</w:t>
      </w:r>
      <w:r>
        <w:rPr>
          <w:b/>
        </w:rPr>
        <w:t xml:space="preserve"> (réponse fausse)</w:t>
      </w:r>
    </w:p>
    <w:p>
      <w:pPr>
        <w:pStyle w:val="ListParagraph"/>
        <w:numPr>
          <w:ilvl w:val="0"/>
          <w:numId w:val="4"/>
        </w:numPr>
        <w:rPr/>
      </w:pPr>
      <w:r>
        <w:rPr/>
        <w:t>Il n’attrape pas un objet qu’on lui tend</w:t>
      </w:r>
    </w:p>
    <w:p>
      <w:pPr>
        <w:pStyle w:val="ListParagraph"/>
        <w:numPr>
          <w:ilvl w:val="0"/>
          <w:numId w:val="4"/>
        </w:numPr>
        <w:rPr>
          <w:b/>
          <w:color w:val="FF0000"/>
        </w:rPr>
      </w:pPr>
      <w:r>
        <w:rPr>
          <w:b/>
          <w:color w:val="FF0000"/>
        </w:rPr>
        <w:t xml:space="preserve">Il ne marche pas </w:t>
      </w:r>
    </w:p>
    <w:p>
      <w:pPr>
        <w:pStyle w:val="ListParagraph"/>
        <w:numPr>
          <w:ilvl w:val="0"/>
          <w:numId w:val="4"/>
        </w:numPr>
        <w:rPr/>
      </w:pPr>
      <w:r>
        <w:rPr/>
        <w:t xml:space="preserve">Il ne vocalise aucune syllabe </w:t>
      </w:r>
    </w:p>
    <w:p>
      <w:pPr>
        <w:pStyle w:val="ListParagraph"/>
        <w:numPr>
          <w:ilvl w:val="0"/>
          <w:numId w:val="4"/>
        </w:numPr>
        <w:rPr/>
      </w:pPr>
      <w:r>
        <w:rPr/>
        <w:t>Il ne passe pas un objet d’une main à une autre</w:t>
      </w:r>
    </w:p>
    <w:p>
      <w:pPr>
        <w:pStyle w:val="ListParagraph"/>
        <w:numPr>
          <w:ilvl w:val="0"/>
          <w:numId w:val="4"/>
        </w:numPr>
        <w:rPr/>
      </w:pPr>
      <w:r>
        <w:rPr/>
        <w:t>Il n’essaie pas du tout de prendre les petits objets entre le pouce et l’index</w:t>
      </w:r>
    </w:p>
    <w:p>
      <w:pPr>
        <w:pStyle w:val="ListParagraph"/>
        <w:numPr>
          <w:ilvl w:val="0"/>
          <w:numId w:val="1"/>
        </w:numPr>
        <w:rPr>
          <w:b/>
        </w:rPr>
      </w:pPr>
      <w:r>
        <w:rPr>
          <w:b/>
        </w:rPr>
        <w:t xml:space="preserve">Un nourrisson qui tient assis sans appui, possède une préhension </w:t>
      </w:r>
      <w:r>
        <w:rPr>
          <w:b/>
          <w:color w:val="FF0000"/>
        </w:rPr>
        <w:t>palmaire en pince inférieure,</w:t>
      </w:r>
      <w:r>
        <w:rPr>
          <w:b/>
        </w:rPr>
        <w:t xml:space="preserve"> transfert un objet d’une main à une autre, a peur des visages étrangers et qui roule sur lui-même est âgé de (réponse juste)</w:t>
      </w:r>
    </w:p>
    <w:p>
      <w:pPr>
        <w:pStyle w:val="ListParagraph"/>
        <w:numPr>
          <w:ilvl w:val="0"/>
          <w:numId w:val="5"/>
        </w:numPr>
        <w:rPr/>
      </w:pPr>
      <w:r>
        <w:rPr/>
        <w:t>6mois</w:t>
      </w:r>
    </w:p>
    <w:p>
      <w:pPr>
        <w:pStyle w:val="ListParagraph"/>
        <w:numPr>
          <w:ilvl w:val="0"/>
          <w:numId w:val="5"/>
        </w:numPr>
        <w:rPr>
          <w:b/>
          <w:color w:val="FF0000"/>
        </w:rPr>
      </w:pPr>
      <w:r>
        <w:rPr>
          <w:b/>
          <w:color w:val="FF0000"/>
        </w:rPr>
        <w:t>8 mois</w:t>
      </w:r>
    </w:p>
    <w:p>
      <w:pPr>
        <w:pStyle w:val="ListParagraph"/>
        <w:numPr>
          <w:ilvl w:val="0"/>
          <w:numId w:val="5"/>
        </w:numPr>
        <w:rPr/>
      </w:pPr>
      <w:r>
        <w:rPr/>
        <w:t>10 mois</w:t>
      </w:r>
    </w:p>
    <w:p>
      <w:pPr>
        <w:pStyle w:val="ListParagraph"/>
        <w:numPr>
          <w:ilvl w:val="0"/>
          <w:numId w:val="5"/>
        </w:numPr>
        <w:rPr/>
      </w:pPr>
      <w:r>
        <w:rPr/>
        <w:t>12 mois</w:t>
      </w:r>
    </w:p>
    <w:p>
      <w:pPr>
        <w:pStyle w:val="ListParagraph"/>
        <w:numPr>
          <w:ilvl w:val="0"/>
          <w:numId w:val="5"/>
        </w:numPr>
        <w:rPr/>
      </w:pPr>
      <w:r>
        <w:rPr/>
        <w:t>14 mois</w:t>
      </w:r>
    </w:p>
    <w:p>
      <w:pPr>
        <w:pStyle w:val="ListParagraph"/>
        <w:numPr>
          <w:ilvl w:val="0"/>
          <w:numId w:val="1"/>
        </w:numPr>
        <w:rPr>
          <w:b/>
        </w:rPr>
      </w:pPr>
      <w:r>
        <w:rPr>
          <w:b/>
        </w:rPr>
        <w:t>L’ictère physiologique du nouveau-né se caractérise par (réponse juste)</w:t>
      </w:r>
    </w:p>
    <w:p>
      <w:pPr>
        <w:pStyle w:val="ListParagraph"/>
        <w:numPr>
          <w:ilvl w:val="0"/>
          <w:numId w:val="6"/>
        </w:numPr>
        <w:rPr/>
      </w:pPr>
      <w:r>
        <w:rPr/>
        <w:t>Une apparition précoce avant 12 heures de vie</w:t>
      </w:r>
    </w:p>
    <w:p>
      <w:pPr>
        <w:pStyle w:val="ListParagraph"/>
        <w:numPr>
          <w:ilvl w:val="0"/>
          <w:numId w:val="6"/>
        </w:numPr>
        <w:rPr/>
      </w:pPr>
      <w:r>
        <w:rPr/>
        <w:t>S’accompagne d’une pâleur et d’une anémie</w:t>
      </w:r>
    </w:p>
    <w:p>
      <w:pPr>
        <w:pStyle w:val="ListParagraph"/>
        <w:numPr>
          <w:ilvl w:val="0"/>
          <w:numId w:val="6"/>
        </w:numPr>
        <w:rPr/>
      </w:pPr>
      <w:r>
        <w:rPr/>
        <w:t>Associé à une décoloration des selles</w:t>
      </w:r>
    </w:p>
    <w:p>
      <w:pPr>
        <w:pStyle w:val="ListParagraph"/>
        <w:numPr>
          <w:ilvl w:val="0"/>
          <w:numId w:val="6"/>
        </w:numPr>
        <w:rPr/>
      </w:pPr>
      <w:r>
        <w:rPr/>
        <w:t>S’accompagne d’une hépato-splénomégalie</w:t>
      </w:r>
    </w:p>
    <w:p>
      <w:pPr>
        <w:pStyle w:val="ListParagraph"/>
        <w:numPr>
          <w:ilvl w:val="0"/>
          <w:numId w:val="6"/>
        </w:numPr>
        <w:rPr>
          <w:b/>
          <w:color w:val="FF0000"/>
        </w:rPr>
      </w:pPr>
      <w:r>
        <w:rPr>
          <w:b/>
          <w:color w:val="FF0000"/>
        </w:rPr>
        <w:t>Disparait spontanément en 10 à 15 jours</w:t>
      </w:r>
    </w:p>
    <w:p>
      <w:pPr>
        <w:pStyle w:val="ListParagraph"/>
        <w:numPr>
          <w:ilvl w:val="0"/>
          <w:numId w:val="1"/>
        </w:numPr>
        <w:rPr>
          <w:b/>
        </w:rPr>
      </w:pPr>
      <w:r>
        <w:rPr>
          <w:b/>
        </w:rPr>
        <w:t>Concernant l’atrésie de l’œsophage, choisir la proposition fausse</w:t>
      </w:r>
    </w:p>
    <w:p>
      <w:pPr>
        <w:pStyle w:val="ListParagraph"/>
        <w:numPr>
          <w:ilvl w:val="0"/>
          <w:numId w:val="7"/>
        </w:numPr>
        <w:rPr/>
      </w:pPr>
      <w:r>
        <w:rPr/>
        <w:t>Diagnostic est confirmé par l’épreuve à la sonde</w:t>
      </w:r>
    </w:p>
    <w:p>
      <w:pPr>
        <w:pStyle w:val="ListParagraph"/>
        <w:numPr>
          <w:ilvl w:val="0"/>
          <w:numId w:val="7"/>
        </w:numPr>
        <w:rPr/>
      </w:pPr>
      <w:r>
        <w:rPr/>
        <w:t>Le diagnostic est suspecté  en salle de naissance devant une détresse respiratoire précoce avec hyper salivation</w:t>
      </w:r>
    </w:p>
    <w:p>
      <w:pPr>
        <w:pStyle w:val="ListParagraph"/>
        <w:numPr>
          <w:ilvl w:val="0"/>
          <w:numId w:val="7"/>
        </w:numPr>
        <w:rPr>
          <w:b/>
          <w:color w:val="FF0000"/>
        </w:rPr>
      </w:pPr>
      <w:r>
        <w:rPr>
          <w:b/>
          <w:color w:val="FF0000"/>
        </w:rPr>
        <w:t>Se manifeste par des vomissements bilieux avec un abdomen plat</w:t>
      </w:r>
    </w:p>
    <w:p>
      <w:pPr>
        <w:pStyle w:val="ListParagraph"/>
        <w:numPr>
          <w:ilvl w:val="0"/>
          <w:numId w:val="7"/>
        </w:numPr>
        <w:rPr/>
      </w:pPr>
      <w:r>
        <w:rPr/>
        <w:t>Le type I de Ladd est une atrésie œsophagienne sans fistule</w:t>
      </w:r>
    </w:p>
    <w:p>
      <w:pPr>
        <w:pStyle w:val="ListParagraph"/>
        <w:numPr>
          <w:ilvl w:val="0"/>
          <w:numId w:val="7"/>
        </w:numPr>
        <w:rPr/>
      </w:pPr>
      <w:r>
        <w:rPr/>
        <w:t>La radiographie thoraco-abdominale permet de déterminer le type de l’atrésie selon l’aération d’aval</w:t>
      </w:r>
    </w:p>
    <w:p>
      <w:pPr>
        <w:pStyle w:val="ListParagraph"/>
        <w:numPr>
          <w:ilvl w:val="0"/>
          <w:numId w:val="1"/>
        </w:numPr>
        <w:rPr>
          <w:b/>
        </w:rPr>
      </w:pPr>
      <w:r>
        <w:rPr>
          <w:b/>
        </w:rPr>
        <w:t>Dans la hernie diaphragmatique, cocher la réponse juste</w:t>
      </w:r>
    </w:p>
    <w:p>
      <w:pPr>
        <w:pStyle w:val="ListParagraph"/>
        <w:numPr>
          <w:ilvl w:val="0"/>
          <w:numId w:val="25"/>
        </w:numPr>
        <w:rPr/>
      </w:pPr>
      <w:r>
        <w:rPr/>
        <w:t>La détresse respiratoire  est toujours précoce</w:t>
      </w:r>
    </w:p>
    <w:p>
      <w:pPr>
        <w:pStyle w:val="ListParagraph"/>
        <w:numPr>
          <w:ilvl w:val="0"/>
          <w:numId w:val="25"/>
        </w:numPr>
        <w:rPr/>
      </w:pPr>
      <w:r>
        <w:rPr/>
        <w:t>L’abdomen est plat et rétracté</w:t>
      </w:r>
    </w:p>
    <w:p>
      <w:pPr>
        <w:pStyle w:val="ListParagraph"/>
        <w:numPr>
          <w:ilvl w:val="0"/>
          <w:numId w:val="25"/>
        </w:numPr>
        <w:rPr/>
      </w:pPr>
      <w:r>
        <w:rPr/>
        <w:t>Le thorax est globuleux d’un coté</w:t>
      </w:r>
    </w:p>
    <w:p>
      <w:pPr>
        <w:pStyle w:val="ListParagraph"/>
        <w:numPr>
          <w:ilvl w:val="0"/>
          <w:numId w:val="25"/>
        </w:numPr>
        <w:rPr>
          <w:b/>
          <w:color w:val="FF0000"/>
        </w:rPr>
      </w:pPr>
      <w:r>
        <w:rPr/>
        <w:t>Diagnostic confirmé par une radiographie thoracique</w:t>
      </w:r>
    </w:p>
    <w:p>
      <w:pPr>
        <w:pStyle w:val="ListParagraph"/>
        <w:numPr>
          <w:ilvl w:val="0"/>
          <w:numId w:val="25"/>
        </w:numPr>
        <w:rPr/>
      </w:pPr>
      <w:r>
        <w:rPr/>
        <w:t>Propositions a et d sont fausses</w:t>
      </w:r>
    </w:p>
    <w:p>
      <w:pPr>
        <w:pStyle w:val="ListParagraph"/>
        <w:rPr>
          <w:color w:val="FF0000"/>
        </w:rPr>
      </w:pPr>
      <w:r>
        <w:rPr/>
        <w:t>1 – a+ b,           2- b+c,                      3- b+c+d,                     4</w:t>
      </w:r>
      <w:r>
        <w:rPr>
          <w:color w:val="FF0000"/>
        </w:rPr>
        <w:t>- b+c+e</w:t>
      </w:r>
    </w:p>
    <w:p>
      <w:pPr>
        <w:pStyle w:val="ListParagraph"/>
        <w:numPr>
          <w:ilvl w:val="0"/>
          <w:numId w:val="1"/>
        </w:numPr>
        <w:rPr>
          <w:b/>
        </w:rPr>
      </w:pPr>
      <w:r>
        <w:rPr>
          <w:b/>
        </w:rPr>
        <w:t>En cas d’hernie diaphragmatique, lequel parmi ces gestes est contre indiqué</w:t>
      </w:r>
    </w:p>
    <w:p>
      <w:pPr>
        <w:pStyle w:val="ListParagraph"/>
        <w:numPr>
          <w:ilvl w:val="0"/>
          <w:numId w:val="24"/>
        </w:numPr>
        <w:rPr/>
      </w:pPr>
      <w:r>
        <w:rPr/>
        <w:t>Sonde gastrique</w:t>
      </w:r>
    </w:p>
    <w:p>
      <w:pPr>
        <w:pStyle w:val="ListParagraph"/>
        <w:numPr>
          <w:ilvl w:val="0"/>
          <w:numId w:val="24"/>
        </w:numPr>
        <w:rPr/>
      </w:pPr>
      <w:r>
        <w:rPr/>
        <w:t>Sonde rectale</w:t>
      </w:r>
    </w:p>
    <w:p>
      <w:pPr>
        <w:pStyle w:val="ListParagraph"/>
        <w:numPr>
          <w:ilvl w:val="0"/>
          <w:numId w:val="24"/>
        </w:numPr>
        <w:rPr/>
      </w:pPr>
      <w:r>
        <w:rPr/>
        <w:t>Oxygénothérapie</w:t>
      </w:r>
    </w:p>
    <w:p>
      <w:pPr>
        <w:pStyle w:val="ListParagraph"/>
        <w:numPr>
          <w:ilvl w:val="0"/>
          <w:numId w:val="24"/>
        </w:numPr>
        <w:rPr>
          <w:b/>
          <w:color w:val="FF0000"/>
        </w:rPr>
      </w:pPr>
      <w:r>
        <w:rPr>
          <w:b/>
          <w:color w:val="FF0000"/>
        </w:rPr>
        <w:t>Ventilation au masque</w:t>
      </w:r>
    </w:p>
    <w:p>
      <w:pPr>
        <w:pStyle w:val="ListParagraph"/>
        <w:numPr>
          <w:ilvl w:val="0"/>
          <w:numId w:val="24"/>
        </w:numPr>
        <w:rPr/>
      </w:pPr>
      <w:r>
        <w:rPr/>
        <w:t>Réchauffement en salle de naissance</w:t>
      </w:r>
    </w:p>
    <w:p>
      <w:pPr>
        <w:pStyle w:val="ListParagraph"/>
        <w:rPr>
          <w:b/>
        </w:rPr>
      </w:pPr>
      <w:r>
        <w:rPr>
          <w:b/>
        </w:rPr>
      </w:r>
    </w:p>
    <w:p>
      <w:pPr>
        <w:pStyle w:val="ListParagraph"/>
        <w:numPr>
          <w:ilvl w:val="0"/>
          <w:numId w:val="1"/>
        </w:numPr>
        <w:rPr>
          <w:b/>
        </w:rPr>
      </w:pPr>
      <w:r>
        <w:rPr>
          <w:b/>
        </w:rPr>
        <w:t>La diarrhée aigue aqueuse chez le nourrisson est souvent en rapport  avec</w:t>
      </w:r>
    </w:p>
    <w:p>
      <w:pPr>
        <w:pStyle w:val="ListParagraph"/>
        <w:numPr>
          <w:ilvl w:val="0"/>
          <w:numId w:val="8"/>
        </w:numPr>
        <w:rPr/>
      </w:pPr>
      <w:r>
        <w:rPr/>
        <w:t>Salmonella</w:t>
      </w:r>
    </w:p>
    <w:p>
      <w:pPr>
        <w:pStyle w:val="ListParagraph"/>
        <w:numPr>
          <w:ilvl w:val="0"/>
          <w:numId w:val="8"/>
        </w:numPr>
        <w:rPr/>
      </w:pPr>
      <w:r>
        <w:rPr/>
        <w:t>Vibrion cholérique</w:t>
      </w:r>
    </w:p>
    <w:p>
      <w:pPr>
        <w:pStyle w:val="ListParagraph"/>
        <w:numPr>
          <w:ilvl w:val="0"/>
          <w:numId w:val="8"/>
        </w:numPr>
        <w:rPr/>
      </w:pPr>
      <w:r>
        <w:rPr/>
        <w:t>Shigelle</w:t>
      </w:r>
    </w:p>
    <w:p>
      <w:pPr>
        <w:pStyle w:val="ListParagraph"/>
        <w:numPr>
          <w:ilvl w:val="0"/>
          <w:numId w:val="8"/>
        </w:numPr>
        <w:rPr>
          <w:b/>
          <w:color w:val="FF0000"/>
        </w:rPr>
      </w:pPr>
      <w:r>
        <w:rPr>
          <w:b/>
          <w:color w:val="FF0000"/>
        </w:rPr>
        <w:t>Rotavirus</w:t>
      </w:r>
    </w:p>
    <w:p>
      <w:pPr>
        <w:pStyle w:val="ListParagraph"/>
        <w:numPr>
          <w:ilvl w:val="0"/>
          <w:numId w:val="8"/>
        </w:numPr>
        <w:rPr/>
      </w:pPr>
      <w:r>
        <w:rPr/>
        <w:t>Esherichia coli</w:t>
      </w:r>
    </w:p>
    <w:p>
      <w:pPr>
        <w:pStyle w:val="ListParagraph"/>
        <w:ind w:left="1440"/>
        <w:rPr/>
      </w:pPr>
      <w:r>
        <w:rPr/>
      </w:r>
    </w:p>
    <w:p>
      <w:pPr>
        <w:pStyle w:val="ListParagraph"/>
        <w:ind w:left="1440"/>
        <w:rPr/>
      </w:pPr>
      <w:r>
        <w:rPr/>
      </w:r>
    </w:p>
    <w:p>
      <w:pPr>
        <w:pStyle w:val="ListParagraph"/>
        <w:numPr>
          <w:ilvl w:val="0"/>
          <w:numId w:val="1"/>
        </w:numPr>
        <w:rPr>
          <w:b/>
        </w:rPr>
      </w:pPr>
      <w:r>
        <w:rPr>
          <w:b/>
        </w:rPr>
        <w:t>Parmi les propositions  suivantes, laquelle n’est pas un signe de déshydratation extra- cellulaire ?</w:t>
      </w:r>
    </w:p>
    <w:p>
      <w:pPr>
        <w:pStyle w:val="ListParagraph"/>
        <w:numPr>
          <w:ilvl w:val="0"/>
          <w:numId w:val="9"/>
        </w:numPr>
        <w:rPr/>
      </w:pPr>
      <w:r>
        <w:rPr/>
        <w:t>Yeux cernés</w:t>
      </w:r>
    </w:p>
    <w:p>
      <w:pPr>
        <w:pStyle w:val="ListParagraph"/>
        <w:numPr>
          <w:ilvl w:val="0"/>
          <w:numId w:val="9"/>
        </w:numPr>
        <w:rPr/>
      </w:pPr>
      <w:r>
        <w:rPr/>
        <w:t>Pli cutané</w:t>
      </w:r>
    </w:p>
    <w:p>
      <w:pPr>
        <w:pStyle w:val="ListParagraph"/>
        <w:numPr>
          <w:ilvl w:val="0"/>
          <w:numId w:val="9"/>
        </w:numPr>
        <w:rPr/>
      </w:pPr>
      <w:r>
        <w:rPr/>
        <w:t>Dépression de la fontanelle antérieure</w:t>
      </w:r>
    </w:p>
    <w:p>
      <w:pPr>
        <w:pStyle w:val="ListParagraph"/>
        <w:numPr>
          <w:ilvl w:val="0"/>
          <w:numId w:val="9"/>
        </w:numPr>
        <w:rPr>
          <w:b/>
          <w:color w:val="FF0000"/>
        </w:rPr>
      </w:pPr>
      <w:r>
        <w:rPr>
          <w:b/>
          <w:color w:val="FF0000"/>
        </w:rPr>
        <w:t>Muqueuses sèches</w:t>
      </w:r>
    </w:p>
    <w:p>
      <w:pPr>
        <w:pStyle w:val="ListParagraph"/>
        <w:numPr>
          <w:ilvl w:val="0"/>
          <w:numId w:val="9"/>
        </w:numPr>
        <w:rPr/>
      </w:pPr>
      <w:r>
        <w:rPr/>
        <w:t>Troubles hémodynamiques</w:t>
      </w:r>
    </w:p>
    <w:p>
      <w:pPr>
        <w:pStyle w:val="ListParagraph"/>
        <w:numPr>
          <w:ilvl w:val="0"/>
          <w:numId w:val="1"/>
        </w:numPr>
        <w:rPr>
          <w:b/>
        </w:rPr>
      </w:pPr>
      <w:r>
        <w:rPr>
          <w:b/>
        </w:rPr>
        <w:t>Les SRO sont administrés par voie orale en cas de (réponse juste)</w:t>
      </w:r>
    </w:p>
    <w:p>
      <w:pPr>
        <w:pStyle w:val="ListParagraph"/>
        <w:numPr>
          <w:ilvl w:val="0"/>
          <w:numId w:val="22"/>
        </w:numPr>
        <w:rPr/>
      </w:pPr>
      <w:r>
        <w:rPr/>
        <w:t xml:space="preserve">Selles aqueuses et fréquentes </w:t>
      </w:r>
    </w:p>
    <w:p>
      <w:pPr>
        <w:pStyle w:val="ListParagraph"/>
        <w:numPr>
          <w:ilvl w:val="0"/>
          <w:numId w:val="22"/>
        </w:numPr>
        <w:rPr/>
      </w:pPr>
      <w:r>
        <w:rPr/>
        <w:t>Alcalose métabolique</w:t>
      </w:r>
    </w:p>
    <w:p>
      <w:pPr>
        <w:pStyle w:val="ListParagraph"/>
        <w:numPr>
          <w:ilvl w:val="0"/>
          <w:numId w:val="22"/>
        </w:numPr>
        <w:rPr/>
      </w:pPr>
      <w:r>
        <w:rPr/>
        <w:t>Déshydratation aigue à 5%</w:t>
      </w:r>
    </w:p>
    <w:p>
      <w:pPr>
        <w:pStyle w:val="ListParagraph"/>
        <w:numPr>
          <w:ilvl w:val="0"/>
          <w:numId w:val="22"/>
        </w:numPr>
        <w:rPr>
          <w:b/>
          <w:color w:val="FF0000"/>
        </w:rPr>
      </w:pPr>
      <w:r>
        <w:rPr>
          <w:b/>
          <w:color w:val="FF0000"/>
        </w:rPr>
        <w:t>Propositions a et c sont justes</w:t>
      </w:r>
    </w:p>
    <w:p>
      <w:pPr>
        <w:pStyle w:val="ListParagraph"/>
        <w:numPr>
          <w:ilvl w:val="0"/>
          <w:numId w:val="22"/>
        </w:numPr>
        <w:rPr/>
      </w:pPr>
      <w:r>
        <w:rPr/>
        <w:t>Toutes ces propositions sont justes</w:t>
      </w:r>
    </w:p>
    <w:p>
      <w:pPr>
        <w:pStyle w:val="ListParagraph"/>
        <w:numPr>
          <w:ilvl w:val="0"/>
          <w:numId w:val="1"/>
        </w:numPr>
        <w:rPr>
          <w:b/>
        </w:rPr>
      </w:pPr>
      <w:r>
        <w:rPr>
          <w:b/>
        </w:rPr>
        <w:t>Tous ces signes sont retrouvés dans le poumon rachitique sauf un</w:t>
      </w:r>
    </w:p>
    <w:p>
      <w:pPr>
        <w:pStyle w:val="ListParagraph"/>
        <w:numPr>
          <w:ilvl w:val="0"/>
          <w:numId w:val="23"/>
        </w:numPr>
        <w:rPr/>
      </w:pPr>
      <w:r>
        <w:rPr/>
        <w:t>Chapelet costal</w:t>
      </w:r>
    </w:p>
    <w:p>
      <w:pPr>
        <w:pStyle w:val="ListParagraph"/>
        <w:numPr>
          <w:ilvl w:val="0"/>
          <w:numId w:val="23"/>
        </w:numPr>
        <w:rPr/>
      </w:pPr>
      <w:r>
        <w:rPr/>
        <w:t>Déformation thoracique</w:t>
      </w:r>
    </w:p>
    <w:p>
      <w:pPr>
        <w:pStyle w:val="ListParagraph"/>
        <w:numPr>
          <w:ilvl w:val="0"/>
          <w:numId w:val="23"/>
        </w:numPr>
        <w:rPr/>
      </w:pPr>
      <w:r>
        <w:rPr/>
        <w:t>Trachéomalacie</w:t>
      </w:r>
    </w:p>
    <w:p>
      <w:pPr>
        <w:pStyle w:val="ListParagraph"/>
        <w:numPr>
          <w:ilvl w:val="0"/>
          <w:numId w:val="23"/>
        </w:numPr>
        <w:rPr>
          <w:b/>
          <w:color w:val="FF0000"/>
        </w:rPr>
      </w:pPr>
      <w:r>
        <w:rPr>
          <w:b/>
          <w:color w:val="FF0000"/>
        </w:rPr>
        <w:t>Paralysie diaphragmatique</w:t>
      </w:r>
    </w:p>
    <w:p>
      <w:pPr>
        <w:pStyle w:val="ListParagraph"/>
        <w:numPr>
          <w:ilvl w:val="0"/>
          <w:numId w:val="23"/>
        </w:numPr>
        <w:rPr/>
      </w:pPr>
      <w:r>
        <w:rPr/>
        <w:t>Hypotonie musculaire</w:t>
      </w:r>
    </w:p>
    <w:p>
      <w:pPr>
        <w:pStyle w:val="ListParagraph"/>
        <w:numPr>
          <w:ilvl w:val="0"/>
          <w:numId w:val="1"/>
        </w:numPr>
        <w:rPr>
          <w:b/>
        </w:rPr>
      </w:pPr>
      <w:r>
        <w:rPr>
          <w:b/>
        </w:rPr>
        <w:t>Concernant le sd de West, cocher la réponse fausse</w:t>
      </w:r>
    </w:p>
    <w:p>
      <w:pPr>
        <w:pStyle w:val="ListParagraph"/>
        <w:numPr>
          <w:ilvl w:val="0"/>
          <w:numId w:val="10"/>
        </w:numPr>
        <w:rPr/>
      </w:pPr>
      <w:r>
        <w:rPr/>
        <w:t>Le diagnostic repose sur une triade caractéristique</w:t>
      </w:r>
    </w:p>
    <w:p>
      <w:pPr>
        <w:pStyle w:val="ListParagraph"/>
        <w:numPr>
          <w:ilvl w:val="0"/>
          <w:numId w:val="10"/>
        </w:numPr>
        <w:rPr/>
      </w:pPr>
      <w:r>
        <w:rPr/>
        <w:t>La présence d’une hypsarythmie à l’EEG est pathognomonique</w:t>
      </w:r>
    </w:p>
    <w:p>
      <w:pPr>
        <w:pStyle w:val="ListParagraph"/>
        <w:numPr>
          <w:ilvl w:val="0"/>
          <w:numId w:val="10"/>
        </w:numPr>
        <w:rPr/>
      </w:pPr>
      <w:r>
        <w:rPr/>
        <w:t>Les spasmes évoluent en salves</w:t>
      </w:r>
    </w:p>
    <w:p>
      <w:pPr>
        <w:pStyle w:val="ListParagraph"/>
        <w:numPr>
          <w:ilvl w:val="0"/>
          <w:numId w:val="10"/>
        </w:numPr>
        <w:rPr>
          <w:b/>
          <w:color w:val="FF0000"/>
        </w:rPr>
      </w:pPr>
      <w:r>
        <w:rPr>
          <w:b/>
          <w:color w:val="FF0000"/>
        </w:rPr>
        <w:t>Il est toujours idiopathique</w:t>
      </w:r>
    </w:p>
    <w:p>
      <w:pPr>
        <w:pStyle w:val="ListParagraph"/>
        <w:numPr>
          <w:ilvl w:val="0"/>
          <w:numId w:val="10"/>
        </w:numPr>
        <w:rPr/>
      </w:pPr>
      <w:r>
        <w:rPr/>
        <w:t>Peut s’accompagner d’un retard intellectuel</w:t>
      </w:r>
    </w:p>
    <w:p>
      <w:pPr>
        <w:pStyle w:val="ListParagraph"/>
        <w:rPr/>
      </w:pPr>
      <w:r>
        <w:rPr/>
      </w:r>
    </w:p>
    <w:p>
      <w:pPr>
        <w:pStyle w:val="ListParagraph"/>
        <w:numPr>
          <w:ilvl w:val="0"/>
          <w:numId w:val="1"/>
        </w:numPr>
        <w:rPr>
          <w:b/>
        </w:rPr>
      </w:pPr>
      <w:r>
        <w:rPr>
          <w:b/>
        </w:rPr>
        <w:t>Dans les crises convulsives fébriles complexes du nourrisson, cocher la réponse juste</w:t>
      </w:r>
    </w:p>
    <w:p>
      <w:pPr>
        <w:pStyle w:val="ListParagraph"/>
        <w:numPr>
          <w:ilvl w:val="0"/>
          <w:numId w:val="18"/>
        </w:numPr>
        <w:rPr/>
      </w:pPr>
      <w:r>
        <w:rPr/>
        <w:t>Les crises sont généralisées</w:t>
      </w:r>
    </w:p>
    <w:p>
      <w:pPr>
        <w:pStyle w:val="ListParagraph"/>
        <w:numPr>
          <w:ilvl w:val="0"/>
          <w:numId w:val="18"/>
        </w:numPr>
        <w:rPr/>
      </w:pPr>
      <w:r>
        <w:rPr/>
        <w:t>La durée de la crise est supérieure à 15 minutes</w:t>
      </w:r>
    </w:p>
    <w:p>
      <w:pPr>
        <w:pStyle w:val="ListParagraph"/>
        <w:numPr>
          <w:ilvl w:val="0"/>
          <w:numId w:val="18"/>
        </w:numPr>
        <w:rPr/>
      </w:pPr>
      <w:r>
        <w:rPr/>
        <w:t>L’examen neurologique est pathologique</w:t>
      </w:r>
    </w:p>
    <w:p>
      <w:pPr>
        <w:pStyle w:val="ListParagraph"/>
        <w:numPr>
          <w:ilvl w:val="0"/>
          <w:numId w:val="18"/>
        </w:numPr>
        <w:rPr/>
      </w:pPr>
      <w:r>
        <w:rPr/>
        <w:t>Les convulsions sont partielles</w:t>
      </w:r>
    </w:p>
    <w:p>
      <w:pPr>
        <w:pStyle w:val="ListParagraph"/>
        <w:numPr>
          <w:ilvl w:val="0"/>
          <w:numId w:val="18"/>
        </w:numPr>
        <w:rPr/>
      </w:pPr>
      <w:r>
        <w:rPr/>
        <w:t>Le traitement de première intention est le phénobarbital en intraveineux</w:t>
      </w:r>
    </w:p>
    <w:p>
      <w:pPr>
        <w:pStyle w:val="ListParagraph"/>
        <w:rPr/>
      </w:pPr>
      <w:r>
        <w:rPr/>
        <w:t xml:space="preserve">1  - a+b+c  ,    2-a+b+d,     </w:t>
      </w:r>
      <w:r>
        <w:rPr>
          <w:b/>
          <w:color w:val="FF0000"/>
        </w:rPr>
        <w:t>3-  b+c+d</w:t>
      </w:r>
      <w:r>
        <w:rPr/>
        <w:t>,     4- b+d+e ,    5- b+c+d+e</w:t>
      </w:r>
    </w:p>
    <w:p>
      <w:pPr>
        <w:pStyle w:val="ListParagraph"/>
        <w:numPr>
          <w:ilvl w:val="0"/>
          <w:numId w:val="1"/>
        </w:numPr>
        <w:rPr>
          <w:b/>
        </w:rPr>
      </w:pPr>
      <w:r>
        <w:rPr>
          <w:b/>
        </w:rPr>
        <w:t>Parmi ces médicaments, lequel ne fait pas partie du traitement d’une crise convulsive</w:t>
      </w:r>
    </w:p>
    <w:p>
      <w:pPr>
        <w:pStyle w:val="ListParagraph"/>
        <w:numPr>
          <w:ilvl w:val="0"/>
          <w:numId w:val="11"/>
        </w:numPr>
        <w:rPr/>
      </w:pPr>
      <w:r>
        <w:rPr/>
        <w:t>Phénobarbital</w:t>
      </w:r>
    </w:p>
    <w:p>
      <w:pPr>
        <w:pStyle w:val="ListParagraph"/>
        <w:numPr>
          <w:ilvl w:val="0"/>
          <w:numId w:val="11"/>
        </w:numPr>
        <w:rPr/>
      </w:pPr>
      <w:r>
        <w:rPr/>
        <w:t>Diazepam</w:t>
      </w:r>
    </w:p>
    <w:p>
      <w:pPr>
        <w:pStyle w:val="ListParagraph"/>
        <w:numPr>
          <w:ilvl w:val="0"/>
          <w:numId w:val="11"/>
        </w:numPr>
        <w:rPr>
          <w:b/>
          <w:color w:val="FF0000"/>
        </w:rPr>
      </w:pPr>
      <w:r>
        <w:rPr>
          <w:b/>
          <w:color w:val="FF0000"/>
        </w:rPr>
        <w:t>Carbamazepine</w:t>
      </w:r>
    </w:p>
    <w:p>
      <w:pPr>
        <w:pStyle w:val="ListParagraph"/>
        <w:numPr>
          <w:ilvl w:val="0"/>
          <w:numId w:val="11"/>
        </w:numPr>
        <w:rPr/>
      </w:pPr>
      <w:r>
        <w:rPr/>
        <w:t>Clonazepam</w:t>
      </w:r>
    </w:p>
    <w:p>
      <w:pPr>
        <w:pStyle w:val="ListParagraph"/>
        <w:numPr>
          <w:ilvl w:val="0"/>
          <w:numId w:val="11"/>
        </w:numPr>
        <w:rPr/>
      </w:pPr>
      <w:r>
        <w:rPr/>
        <w:t>Midazolam</w:t>
      </w:r>
    </w:p>
    <w:p>
      <w:pPr>
        <w:pStyle w:val="ListParagraph"/>
        <w:numPr>
          <w:ilvl w:val="0"/>
          <w:numId w:val="1"/>
        </w:numPr>
        <w:rPr>
          <w:b/>
        </w:rPr>
      </w:pPr>
      <w:r>
        <w:rPr>
          <w:b/>
        </w:rPr>
        <w:t>Concernant la maladie cœliaque, cocher la réponse fausse</w:t>
      </w:r>
    </w:p>
    <w:p>
      <w:pPr>
        <w:pStyle w:val="ListParagraph"/>
        <w:numPr>
          <w:ilvl w:val="0"/>
          <w:numId w:val="12"/>
        </w:numPr>
        <w:rPr/>
      </w:pPr>
      <w:r>
        <w:rPr/>
        <w:t>Peut s’accompagner d’un retard statural</w:t>
      </w:r>
    </w:p>
    <w:p>
      <w:pPr>
        <w:pStyle w:val="ListParagraph"/>
        <w:numPr>
          <w:ilvl w:val="0"/>
          <w:numId w:val="12"/>
        </w:numPr>
        <w:rPr>
          <w:b/>
          <w:color w:val="FF0000"/>
        </w:rPr>
      </w:pPr>
      <w:r>
        <w:rPr>
          <w:b/>
          <w:color w:val="FF0000"/>
        </w:rPr>
        <w:t>La diarrhée est un élément constant</w:t>
      </w:r>
    </w:p>
    <w:p>
      <w:pPr>
        <w:pStyle w:val="ListParagraph"/>
        <w:numPr>
          <w:ilvl w:val="0"/>
          <w:numId w:val="12"/>
        </w:numPr>
        <w:rPr/>
      </w:pPr>
      <w:r>
        <w:rPr/>
        <w:t>L’atrophie villositaire est totale</w:t>
      </w:r>
    </w:p>
    <w:p>
      <w:pPr>
        <w:pStyle w:val="ListParagraph"/>
        <w:numPr>
          <w:ilvl w:val="0"/>
          <w:numId w:val="12"/>
        </w:numPr>
        <w:rPr/>
      </w:pPr>
      <w:r>
        <w:rPr/>
        <w:t>Présence d’anticorps anti-endomysium</w:t>
      </w:r>
    </w:p>
    <w:p>
      <w:pPr>
        <w:pStyle w:val="ListParagraph"/>
        <w:numPr>
          <w:ilvl w:val="0"/>
          <w:numId w:val="12"/>
        </w:numPr>
        <w:rPr/>
      </w:pPr>
      <w:r>
        <w:rPr/>
        <w:t>Peut se manifester par une anémie</w:t>
      </w:r>
    </w:p>
    <w:p>
      <w:pPr>
        <w:pStyle w:val="ListParagraph"/>
        <w:numPr>
          <w:ilvl w:val="0"/>
          <w:numId w:val="1"/>
        </w:numPr>
        <w:rPr>
          <w:b/>
        </w:rPr>
      </w:pPr>
      <w:r>
        <w:rPr>
          <w:b/>
        </w:rPr>
        <w:t>Parmi les vaccins suivants lesquels sont des vaccins vivants ?</w:t>
      </w:r>
    </w:p>
    <w:p>
      <w:pPr>
        <w:pStyle w:val="ListParagraph"/>
        <w:numPr>
          <w:ilvl w:val="0"/>
          <w:numId w:val="13"/>
        </w:numPr>
        <w:rPr/>
      </w:pPr>
      <w:r>
        <w:rPr/>
        <w:t>Anti rougeoleux</w:t>
      </w:r>
    </w:p>
    <w:p>
      <w:pPr>
        <w:pStyle w:val="ListParagraph"/>
        <w:numPr>
          <w:ilvl w:val="0"/>
          <w:numId w:val="13"/>
        </w:numPr>
        <w:rPr/>
      </w:pPr>
      <w:r>
        <w:rPr/>
        <w:t>Antitétanique</w:t>
      </w:r>
    </w:p>
    <w:p>
      <w:pPr>
        <w:pStyle w:val="ListParagraph"/>
        <w:numPr>
          <w:ilvl w:val="0"/>
          <w:numId w:val="13"/>
        </w:numPr>
        <w:rPr/>
      </w:pPr>
      <w:r>
        <w:rPr/>
        <w:t>BCG</w:t>
      </w:r>
    </w:p>
    <w:p>
      <w:pPr>
        <w:pStyle w:val="ListParagraph"/>
        <w:numPr>
          <w:ilvl w:val="0"/>
          <w:numId w:val="13"/>
        </w:numPr>
        <w:rPr/>
      </w:pPr>
      <w:r>
        <w:rPr/>
        <w:t>Antigrippal</w:t>
      </w:r>
    </w:p>
    <w:p>
      <w:pPr>
        <w:pStyle w:val="ListParagraph"/>
        <w:numPr>
          <w:ilvl w:val="0"/>
          <w:numId w:val="13"/>
        </w:numPr>
        <w:rPr/>
      </w:pPr>
      <w:r>
        <w:rPr/>
        <w:t>Anticoquelucheux</w:t>
      </w:r>
    </w:p>
    <w:p>
      <w:pPr>
        <w:pStyle w:val="ListParagraph"/>
        <w:numPr>
          <w:ilvl w:val="0"/>
          <w:numId w:val="14"/>
        </w:numPr>
        <w:rPr>
          <w:b/>
          <w:color w:val="FF0000"/>
        </w:rPr>
      </w:pPr>
      <w:r>
        <w:rPr/>
        <w:t xml:space="preserve">a+b+c,         2-   b+d+e,                3- a+d+e,                      </w:t>
      </w:r>
      <w:r>
        <w:rPr>
          <w:b/>
          <w:color w:val="FF0000"/>
        </w:rPr>
        <w:t>4- a+c+e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spacing w:lineRule="auto" w:line="360" w:before="0" w:after="0"/>
        <w:rPr>
          <w:rFonts w:ascii="Times New Roman" w:hAnsi="Times New Roman" w:eastAsia="Trebuchet MS" w:cs="Times New Roman"/>
          <w:sz w:val="24"/>
          <w:szCs w:val="24"/>
        </w:rPr>
      </w:pPr>
      <w:r>
        <w:rPr>
          <w:rFonts w:eastAsia="Trebuchet MS" w:cs="Times New Roman" w:ascii="Times New Roman" w:hAnsi="Times New Roman"/>
          <w:sz w:val="24"/>
          <w:szCs w:val="24"/>
        </w:rPr>
        <w:t>QCM 6 : Le petit Loïc, 6 mois et demi est amené par ses parents car ils ont</w:t>
      </w:r>
      <w:r>
        <w:rPr>
          <w:rFonts w:eastAsia="Trebuchet MS" w:cs="Times New Roman" w:ascii="Times New Roman" w:hAnsi="Times New Roman"/>
          <w:sz w:val="24"/>
          <w:szCs w:val="24"/>
          <w:vertAlign w:val="superscript"/>
        </w:rPr>
        <w:t xml:space="preserve">1 </w:t>
      </w:r>
      <w:r>
        <w:rPr>
          <w:rFonts w:eastAsia="Trebuchet MS" w:cs="Times New Roman" w:ascii="Times New Roman" w:hAnsi="Times New Roman"/>
          <w:sz w:val="24"/>
          <w:szCs w:val="24"/>
        </w:rPr>
        <w:t>constatés que leur fils était « en retard » par rapport aux autres enfants de son âge, notamment à la crèche. Quelles sont les acquisitions que Loïc est censé avoir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A - Tenue de la tête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B - Position assise avec appui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C - Position assise sans appui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D - Position debout avec appui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E - Sur le ventre : soulève juste sa tête et ses épaules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F - Sur le ventre : s'appuie sur les avant-bras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G - Se retourne seul ventre-dos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H - Préhension digitopalmaire '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I - Mise à la bouche des objets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J - Passe les objets d’une main à l’autre </w:t>
      </w:r>
    </w:p>
    <w:p>
      <w:pPr>
        <w:pStyle w:val="Normal"/>
        <w:widowControl w:val="false"/>
        <w:spacing w:lineRule="auto" w:line="360" w:before="0" w:after="0"/>
        <w:ind w:right="2000"/>
        <w:rPr>
          <w:rFonts w:ascii="Times New Roman" w:hAnsi="Times New Roman" w:eastAsia="Trebuchet MS" w:cs="Times New Roman"/>
          <w:sz w:val="24"/>
          <w:szCs w:val="24"/>
        </w:rPr>
      </w:pPr>
      <w:r>
        <w:rPr>
          <w:rFonts w:eastAsia="Trebuchet MS" w:cs="Times New Roman" w:ascii="Times New Roman" w:hAnsi="Times New Roman"/>
          <w:sz w:val="24"/>
          <w:szCs w:val="24"/>
        </w:rPr>
        <w:t>K- Babillage</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L- Premiers mots</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Réponses : A B F G H I J k</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Connaître des repères pour chaque âge :</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Tenue de la tête = 2 mois</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Mise à la bouche et passe objets d'une main à l'autre = 6mois</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Pince pouce-index = 9 mois (avant préhension = digitopalmaire = entre main et le pouce)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 xml:space="preserve">Assis </w:t>
      </w:r>
      <w:r>
        <w:rPr>
          <w:rFonts w:eastAsia="Calibri" w:cs="Times New Roman" w:ascii="Times New Roman" w:hAnsi="Times New Roman"/>
          <w:b/>
          <w:bCs/>
          <w:sz w:val="24"/>
          <w:szCs w:val="24"/>
        </w:rPr>
        <w:t xml:space="preserve">sans </w:t>
      </w:r>
      <w:r>
        <w:rPr>
          <w:rFonts w:eastAsia="Calibri" w:cs="Times New Roman" w:ascii="Times New Roman" w:hAnsi="Times New Roman"/>
          <w:sz w:val="24"/>
          <w:szCs w:val="24"/>
        </w:rPr>
        <w:t>appui = 9 mois</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Babillage dès 6 mois et 1 ers mots dès 12 mois</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w:t>
      </w:r>
      <w:r>
        <w:rPr>
          <w:rFonts w:eastAsia="Calibri" w:cs="Times New Roman" w:ascii="Times New Roman" w:hAnsi="Times New Roman"/>
          <w:sz w:val="24"/>
          <w:szCs w:val="24"/>
        </w:rPr>
        <w:t>Marche= 12 à 18 mois</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QCM 7 : lors de votre examen, vous remarquez un retard psychomoteur. De plus, les parents vous expliquent que Loïc fait parfois des mouvements bizarres que vous interprétez comme des spasmes typiques du syndrome de West. Quelles sont leurs caractéristiques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Mouvements de flexion des 4 membres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Mouvements d’extension des 4 membres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Mouvement de flexion de la nuque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Plusieurs spasmes à la suite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Un seul spasme rapide à chaque fois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 xml:space="preserve">Spasme dure environ 3 secondes </w:t>
      </w:r>
    </w:p>
    <w:p>
      <w:pPr>
        <w:pStyle w:val="Normal"/>
        <w:widowControl w:val="false"/>
        <w:numPr>
          <w:ilvl w:val="0"/>
          <w:numId w:val="15"/>
        </w:numPr>
        <w:spacing w:lineRule="auto" w:line="360" w:before="0" w:after="0"/>
        <w:ind w:hanging="284" w:left="284"/>
        <w:rPr>
          <w:rFonts w:ascii="Times New Roman" w:hAnsi="Times New Roman" w:eastAsia="Trebuchet MS" w:cs="Times New Roman"/>
          <w:sz w:val="24"/>
          <w:szCs w:val="24"/>
        </w:rPr>
      </w:pPr>
      <w:r>
        <w:rPr>
          <w:rFonts w:eastAsia="Trebuchet MS" w:cs="Times New Roman" w:ascii="Times New Roman" w:hAnsi="Times New Roman"/>
          <w:sz w:val="24"/>
          <w:szCs w:val="24"/>
        </w:rPr>
        <w:t>Spasme dure environ 1 minute</w:t>
      </w:r>
    </w:p>
    <w:p>
      <w:pPr>
        <w:pStyle w:val="Normal"/>
        <w:numPr>
          <w:ilvl w:val="0"/>
          <w:numId w:val="15"/>
        </w:numPr>
        <w:spacing w:lineRule="auto" w:line="360" w:before="0" w:after="16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Mouvement tonicoclonique des 4 membres</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Réponses : A B C D F</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Spasmes typiques = en flexion ou en extension des 4 membres et de la nuque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Souvent en salves = 4 ou 5 spasmes à la suite</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Chaque spasme dure environ 3 secondes</w:t>
      </w:r>
    </w:p>
    <w:p>
      <w:pPr>
        <w:pStyle w:val="Normal"/>
        <w:spacing w:lineRule="auto" w:line="360"/>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360" w:before="0" w:after="0"/>
        <w:rPr>
          <w:rFonts w:ascii="Times New Roman" w:hAnsi="Times New Roman" w:eastAsia="Calibri" w:cs="Times New Roman"/>
          <w:b/>
          <w:bCs/>
          <w:sz w:val="24"/>
          <w:szCs w:val="24"/>
        </w:rPr>
      </w:pPr>
      <w:r>
        <w:rPr>
          <w:rFonts w:eastAsia="Calibri" w:cs="Times New Roman" w:ascii="Times New Roman" w:hAnsi="Times New Roman"/>
          <w:sz w:val="24"/>
          <w:szCs w:val="24"/>
        </w:rPr>
        <w:t xml:space="preserve">QCM 8 : Vous examinez Thomas, 9 mois. Il a présenté ce jour une convulsion, qui a conduit les parents à appeler les pompiers. La crise a duré environ 10 minutes, Thomas a présenté une révulsion oculaire puis a eu des secousses de tout le corps. A l'arrivée des pompiers, Thomas ne convulsait plus, était conscient, et l'examen neurologique des pompiers était normal. Thomas n'a pas d'antécédent particulier. C'est le premier épisode de ce type. Le petit garçon ne marche pas encore selon les </w:t>
      </w:r>
      <w:r>
        <w:rPr>
          <w:rFonts w:eastAsia="Calibri" w:cs="Times New Roman" w:ascii="Times New Roman" w:hAnsi="Times New Roman"/>
          <w:b/>
          <w:bCs/>
          <w:sz w:val="24"/>
          <w:szCs w:val="24"/>
        </w:rPr>
        <w:t xml:space="preserve">parents, mais tient assis. </w:t>
      </w:r>
      <w:r>
        <w:rPr>
          <w:rFonts w:eastAsia="Calibri" w:cs="Times New Roman" w:ascii="Times New Roman" w:hAnsi="Times New Roman"/>
          <w:sz w:val="24"/>
          <w:szCs w:val="24"/>
        </w:rPr>
        <w:t xml:space="preserve">Il </w:t>
      </w:r>
      <w:r>
        <w:rPr>
          <w:rFonts w:eastAsia="Calibri" w:cs="Times New Roman" w:ascii="Times New Roman" w:hAnsi="Times New Roman"/>
          <w:b/>
          <w:bCs/>
          <w:sz w:val="24"/>
          <w:szCs w:val="24"/>
        </w:rPr>
        <w:t>attrape les objets entre son pouce et</w:t>
      </w:r>
      <w:r>
        <w:rPr>
          <w:rFonts w:eastAsia="Calibri" w:cs="Times New Roman" w:ascii="Times New Roman" w:hAnsi="Times New Roman"/>
          <w:sz w:val="24"/>
          <w:szCs w:val="24"/>
        </w:rPr>
        <w:t xml:space="preserve"> </w:t>
      </w:r>
      <w:r>
        <w:rPr>
          <w:rFonts w:eastAsia="Calibri" w:cs="Times New Roman" w:ascii="Times New Roman" w:hAnsi="Times New Roman"/>
          <w:b/>
          <w:bCs/>
          <w:sz w:val="24"/>
          <w:szCs w:val="24"/>
        </w:rPr>
        <w:t>son index, et s'amuse même depuis quelques jours à faire</w:t>
      </w:r>
      <w:r>
        <w:rPr>
          <w:rFonts w:eastAsia="Calibri" w:cs="Times New Roman" w:ascii="Times New Roman" w:hAnsi="Times New Roman"/>
          <w:sz w:val="24"/>
          <w:szCs w:val="24"/>
        </w:rPr>
        <w:t xml:space="preserve"> </w:t>
      </w:r>
      <w:r>
        <w:rPr>
          <w:rFonts w:eastAsia="Calibri" w:cs="Times New Roman" w:ascii="Times New Roman" w:hAnsi="Times New Roman"/>
          <w:b/>
          <w:bCs/>
          <w:sz w:val="24"/>
          <w:szCs w:val="24"/>
        </w:rPr>
        <w:t xml:space="preserve">coucou à ses parents. A l'examen, </w:t>
      </w:r>
      <w:r>
        <w:rPr>
          <w:rFonts w:eastAsia="Calibri" w:cs="Times New Roman" w:ascii="Times New Roman" w:hAnsi="Times New Roman"/>
          <w:sz w:val="24"/>
          <w:szCs w:val="24"/>
        </w:rPr>
        <w:t xml:space="preserve">il </w:t>
      </w:r>
      <w:r>
        <w:rPr>
          <w:rFonts w:eastAsia="Calibri" w:cs="Times New Roman" w:ascii="Times New Roman" w:hAnsi="Times New Roman"/>
          <w:b/>
          <w:bCs/>
          <w:sz w:val="24"/>
          <w:szCs w:val="24"/>
        </w:rPr>
        <w:t>a une température de 39°C,</w:t>
      </w:r>
      <w:r>
        <w:rPr>
          <w:rFonts w:eastAsia="Calibri" w:cs="Times New Roman" w:ascii="Times New Roman" w:hAnsi="Times New Roman"/>
          <w:sz w:val="24"/>
          <w:szCs w:val="24"/>
        </w:rPr>
        <w:t xml:space="preserve"> </w:t>
      </w:r>
      <w:r>
        <w:rPr>
          <w:rFonts w:eastAsia="Calibri" w:cs="Times New Roman" w:ascii="Times New Roman" w:hAnsi="Times New Roman"/>
          <w:b/>
          <w:bCs/>
          <w:sz w:val="24"/>
          <w:szCs w:val="24"/>
        </w:rPr>
        <w:t>et l'examen neurologique s'avère normal.</w:t>
      </w:r>
    </w:p>
    <w:p>
      <w:pPr>
        <w:pStyle w:val="Normal"/>
        <w:numPr>
          <w:ilvl w:val="0"/>
          <w:numId w:val="16"/>
        </w:numPr>
        <w:spacing w:lineRule="auto" w:line="360" w:before="0" w:after="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Thomas présente un retard de développement psychomoteur</w:t>
      </w:r>
    </w:p>
    <w:p>
      <w:pPr>
        <w:pStyle w:val="Normal"/>
        <w:numPr>
          <w:ilvl w:val="0"/>
          <w:numId w:val="16"/>
        </w:numPr>
        <w:spacing w:lineRule="auto" w:line="360" w:before="0" w:after="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Thomas a fait une crise convulsive hyperthermique</w:t>
      </w:r>
    </w:p>
    <w:p>
      <w:pPr>
        <w:pStyle w:val="Normal"/>
        <w:numPr>
          <w:ilvl w:val="0"/>
          <w:numId w:val="16"/>
        </w:numPr>
        <w:spacing w:lineRule="auto" w:line="360" w:before="0" w:after="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Il manque un critère pour différencier une crise convulsive hyperthermique simple d'un complexe</w:t>
      </w:r>
    </w:p>
    <w:p>
      <w:pPr>
        <w:pStyle w:val="Normal"/>
        <w:numPr>
          <w:ilvl w:val="0"/>
          <w:numId w:val="16"/>
        </w:numPr>
        <w:spacing w:lineRule="auto" w:line="360" w:before="0" w:after="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Aucun examen complémentaire n'est nécessaire</w:t>
      </w:r>
    </w:p>
    <w:p>
      <w:pPr>
        <w:pStyle w:val="Normal"/>
        <w:numPr>
          <w:ilvl w:val="0"/>
          <w:numId w:val="16"/>
        </w:numPr>
        <w:spacing w:lineRule="auto" w:line="360" w:before="0" w:after="0"/>
        <w:ind w:hanging="284" w:left="284"/>
        <w:contextualSpacing/>
        <w:rPr>
          <w:rFonts w:ascii="Times New Roman" w:hAnsi="Times New Roman" w:eastAsia="Calibri" w:cs="Times New Roman"/>
          <w:sz w:val="24"/>
          <w:szCs w:val="24"/>
        </w:rPr>
      </w:pPr>
      <w:r>
        <w:rPr>
          <w:rFonts w:eastAsia="Calibri" w:cs="Times New Roman" w:ascii="Times New Roman" w:hAnsi="Times New Roman"/>
          <w:sz w:val="24"/>
          <w:szCs w:val="24"/>
        </w:rPr>
        <w:t>Une ponction lombaire est nécessaire</w:t>
      </w:r>
    </w:p>
    <w:p>
      <w:pPr>
        <w:pStyle w:val="Normal"/>
        <w:numPr>
          <w:ilvl w:val="0"/>
          <w:numId w:val="16"/>
        </w:numPr>
        <w:spacing w:lineRule="auto" w:line="360" w:before="0" w:after="0"/>
        <w:ind w:hanging="284" w:left="284"/>
        <w:contextualSpacing/>
        <w:rPr>
          <w:rFonts w:ascii="Times New Roman" w:hAnsi="Times New Roman" w:eastAsia="Calibri" w:cs="Times New Roman"/>
          <w:b/>
          <w:bCs/>
          <w:sz w:val="24"/>
          <w:szCs w:val="24"/>
        </w:rPr>
      </w:pPr>
      <w:r>
        <w:rPr>
          <w:rFonts w:eastAsia="Calibri" w:cs="Times New Roman" w:ascii="Times New Roman" w:hAnsi="Times New Roman"/>
          <w:sz w:val="24"/>
          <w:szCs w:val="24"/>
        </w:rPr>
        <w:t>Un EEG est nécessaire</w:t>
      </w:r>
    </w:p>
    <w:p>
      <w:pPr>
        <w:pStyle w:val="Normal"/>
        <w:spacing w:lineRule="auto" w:line="360" w:before="0" w:after="0"/>
        <w:rPr>
          <w:rFonts w:ascii="Times New Roman" w:hAnsi="Times New Roman" w:eastAsia="Calibri" w:cs="Times New Roman"/>
          <w:b/>
          <w:bCs/>
          <w:sz w:val="24"/>
          <w:szCs w:val="24"/>
        </w:rPr>
      </w:pPr>
      <w:r>
        <w:rPr>
          <w:rFonts w:eastAsia="Calibri" w:cs="Times New Roman" w:ascii="Times New Roman" w:hAnsi="Times New Roman"/>
          <w:b/>
          <w:bCs/>
          <w:sz w:val="24"/>
          <w:szCs w:val="24"/>
        </w:rPr>
      </w:r>
    </w:p>
    <w:p>
      <w:pPr>
        <w:pStyle w:val="Normal"/>
        <w:spacing w:lineRule="auto" w:line="360" w:before="0" w:after="0"/>
        <w:rPr>
          <w:rFonts w:ascii="Times New Roman" w:hAnsi="Times New Roman" w:eastAsia="Calibri" w:cs="Times New Roman"/>
          <w:b/>
          <w:bCs/>
          <w:sz w:val="24"/>
          <w:szCs w:val="24"/>
        </w:rPr>
      </w:pPr>
      <w:r>
        <w:rPr>
          <w:rFonts w:eastAsia="Calibri" w:cs="Times New Roman" w:ascii="Times New Roman" w:hAnsi="Times New Roman"/>
          <w:b/>
          <w:bCs/>
          <w:sz w:val="24"/>
          <w:szCs w:val="24"/>
        </w:rPr>
        <w:t xml:space="preserve">Réponses : B E F </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Développement psychomoteur normal pour un enfant de 9 mois, donc pas de retard</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Tous les critères sont ici cités :</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Durée &lt; 15 minutes et 1 seul épisode sur 24 h</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Âge &gt; 1 an • CCH complexe (1 seul critère suffit pour basculer de la CCH simple à la CCH complexe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Type crise : généralisée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Pas de déficit postcritique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Examen neurologique normal</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Pas de retard de développement</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En cas de CCH &lt; 1 an • Pl pour examen du LCR systématique</w:t>
      </w:r>
    </w:p>
    <w:p>
      <w:pPr>
        <w:pStyle w:val="Normal"/>
        <w:spacing w:lineRule="auto" w:line="360" w:before="0" w:after="0"/>
        <w:rPr>
          <w:rFonts w:ascii="Times New Roman" w:hAnsi="Times New Roman" w:eastAsia="Calibri" w:cs="Times New Roman"/>
          <w:b/>
          <w:bCs/>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En cas de CCH corn lexe • bilan dont EEG</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360" w:before="0" w:after="0"/>
        <w:rPr>
          <w:rFonts w:ascii="Times New Roman" w:hAnsi="Times New Roman" w:eastAsia="Calibri" w:cs="Times New Roman"/>
          <w:b/>
          <w:bCs/>
          <w:sz w:val="24"/>
          <w:szCs w:val="24"/>
        </w:rPr>
      </w:pPr>
      <w:r>
        <w:rPr>
          <w:rFonts w:eastAsia="Calibri" w:cs="Times New Roman" w:ascii="Times New Roman" w:hAnsi="Times New Roman"/>
          <w:sz w:val="24"/>
          <w:szCs w:val="24"/>
        </w:rPr>
        <w:t xml:space="preserve">QCM 9 : </w:t>
      </w:r>
      <w:r>
        <w:rPr>
          <w:rFonts w:eastAsia="Calibri" w:cs="Times New Roman" w:ascii="Times New Roman" w:hAnsi="Times New Roman"/>
          <w:b/>
          <w:bCs/>
          <w:sz w:val="24"/>
          <w:szCs w:val="24"/>
        </w:rPr>
        <w:t>Alors que Thomas s'apprête à rentrer chez lui, les parents ont plusieurs interrogations sur ces crises convulsives, vous tentez de leur répondre.</w:t>
      </w:r>
    </w:p>
    <w:p>
      <w:pPr>
        <w:pStyle w:val="Normal"/>
        <w:numPr>
          <w:ilvl w:val="0"/>
          <w:numId w:val="17"/>
        </w:numPr>
        <w:spacing w:lineRule="auto" w:line="360" w:before="0" w:after="0"/>
        <w:ind w:hanging="142"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t>Thomas a un risque plus élevé de développer une maladie épileptique ultérieurement</w:t>
      </w:r>
    </w:p>
    <w:p>
      <w:pPr>
        <w:pStyle w:val="Normal"/>
        <w:numPr>
          <w:ilvl w:val="0"/>
          <w:numId w:val="17"/>
        </w:numPr>
        <w:spacing w:lineRule="auto" w:line="360" w:before="0" w:after="0"/>
        <w:ind w:hanging="142"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t>Thomas a un risque plus élevé de refaire des convulsions hyperthermiques en cas de fièvre ultérieure</w:t>
      </w:r>
    </w:p>
    <w:p>
      <w:pPr>
        <w:pStyle w:val="Normal"/>
        <w:numPr>
          <w:ilvl w:val="0"/>
          <w:numId w:val="17"/>
        </w:numPr>
        <w:spacing w:lineRule="auto" w:line="360" w:before="0" w:after="0"/>
        <w:ind w:hanging="142"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t>Thomas a besoin d'un traitement antiépileptique de fond</w:t>
      </w:r>
    </w:p>
    <w:p>
      <w:pPr>
        <w:pStyle w:val="Normal"/>
        <w:numPr>
          <w:ilvl w:val="0"/>
          <w:numId w:val="17"/>
        </w:numPr>
        <w:spacing w:lineRule="auto" w:line="360" w:before="0" w:after="0"/>
        <w:ind w:hanging="142"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t>En cas de récidive de convulsions à la maison, une injection intra-rectale de diazé am est à réaliser immédiatement</w:t>
      </w:r>
    </w:p>
    <w:p>
      <w:pPr>
        <w:pStyle w:val="Normal"/>
        <w:spacing w:lineRule="auto" w:line="360" w:before="0" w:after="0"/>
        <w:ind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360" w:before="0" w:after="0"/>
        <w:ind w:left="142"/>
        <w:contextualSpacing/>
        <w:rPr>
          <w:rFonts w:ascii="Times New Roman" w:hAnsi="Times New Roman" w:eastAsia="Calibri" w:cs="Times New Roman"/>
          <w:sz w:val="24"/>
          <w:szCs w:val="24"/>
        </w:rPr>
      </w:pPr>
      <w:r>
        <w:rPr>
          <w:rFonts w:eastAsia="Calibri" w:cs="Times New Roman" w:ascii="Times New Roman" w:hAnsi="Times New Roman"/>
          <w:sz w:val="24"/>
          <w:szCs w:val="24"/>
        </w:rPr>
        <w:t xml:space="preserve">Réponses : B </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CCH = risque de récidive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 xml:space="preserve">CCH </w:t>
      </w:r>
      <w:r>
        <w:rPr>
          <w:rFonts w:eastAsia="Calibri" w:cs="Times New Roman" w:ascii="Times New Roman" w:hAnsi="Times New Roman"/>
          <w:i/>
          <w:iCs/>
          <w:sz w:val="24"/>
          <w:szCs w:val="24"/>
        </w:rPr>
        <w:t xml:space="preserve">-1- </w:t>
      </w:r>
      <w:r>
        <w:rPr>
          <w:rFonts w:eastAsia="Calibri" w:cs="Times New Roman" w:ascii="Times New Roman" w:hAnsi="Times New Roman"/>
          <w:sz w:val="24"/>
          <w:szCs w:val="24"/>
        </w:rPr>
        <w:t>risque de maladie épileptique ultérieure</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Diazépam en intra-rectale si convulsion persiste &gt; 5 minutes</w:t>
      </w:r>
    </w:p>
    <w:p>
      <w:pPr>
        <w:pStyle w:val="Normal"/>
        <w:spacing w:lineRule="auto" w:line="360" w:before="0" w:after="0"/>
        <w:rPr>
          <w:rFonts w:ascii="Times New Roman" w:hAnsi="Times New Roman" w:eastAsia="Calibri" w:cs="Times New Roman"/>
          <w:sz w:val="24"/>
          <w:szCs w:val="24"/>
        </w:rPr>
      </w:pPr>
      <w:r>
        <w:rPr>
          <w:rFonts w:eastAsia="Calibri" w:cs="Times New Roman" w:ascii="Times New Roman" w:hAnsi="Times New Roman"/>
          <w:sz w:val="24"/>
          <w:szCs w:val="24"/>
        </w:rPr>
        <w:t xml:space="preserve">• </w:t>
      </w:r>
      <w:r>
        <w:rPr>
          <w:rFonts w:eastAsia="Calibri" w:cs="Times New Roman" w:ascii="Times New Roman" w:hAnsi="Times New Roman"/>
          <w:sz w:val="24"/>
          <w:szCs w:val="24"/>
        </w:rPr>
        <w:t>Retenez pour l'ECN : pas de traitement antiépileptique de fond en cas de CCH</w:t>
      </w:r>
    </w:p>
    <w:p>
      <w:pPr>
        <w:pStyle w:val="Bodytext21"/>
        <w:shd w:val="clear" w:color="auto" w:fill="auto"/>
        <w:tabs>
          <w:tab w:val="clear" w:pos="708"/>
          <w:tab w:val="left" w:pos="789" w:leader="none"/>
        </w:tabs>
        <w:spacing w:lineRule="auto" w:line="360"/>
        <w:jc w:val="left"/>
        <w:rPr>
          <w:rFonts w:cs="" w:asciiTheme="majorBidi" w:cstheme="majorBidi" w:hAnsiTheme="majorBidi"/>
          <w:sz w:val="24"/>
          <w:szCs w:val="24"/>
        </w:rPr>
      </w:pPr>
      <w:r>
        <w:rPr>
          <w:rFonts w:cs="" w:asciiTheme="majorBidi" w:cstheme="majorBidi" w:hAnsiTheme="majorBidi"/>
          <w:sz w:val="24"/>
          <w:szCs w:val="24"/>
        </w:rPr>
      </w:r>
    </w:p>
    <w:p>
      <w:pPr>
        <w:pStyle w:val="Normal"/>
        <w:rPr/>
      </w:pPr>
      <w:r>
        <w:rPr/>
      </w:r>
    </w:p>
    <w:p>
      <w:pPr>
        <w:pStyle w:val="ListParagraph"/>
        <w:rPr/>
      </w:pPr>
      <w:r>
        <w:rPr/>
        <w:t xml:space="preserve"> </w:t>
      </w:r>
    </w:p>
    <w:p>
      <w:pPr>
        <w:pStyle w:val="ListParagraph"/>
        <w:rPr/>
      </w:pPr>
      <w:r>
        <w:rPr/>
      </w:r>
    </w:p>
    <w:p>
      <w:pPr>
        <w:pStyle w:val="ListParagraph"/>
        <w:spacing w:before="0" w:after="200"/>
        <w:ind w:left="720"/>
        <w:contextualSpacing/>
        <w:rPr/>
      </w:pPr>
      <w:r>
        <w:rPr/>
        <w:t xml:space="preserve">  </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4">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5">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6">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7">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0">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2">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4">
    <w:lvl w:ilvl="0">
      <w:start w:val="1"/>
      <w:numFmt w:val="decimal"/>
      <w:lvlText w:val="%1-"/>
      <w:lvlJc w:val="left"/>
      <w:pPr>
        <w:tabs>
          <w:tab w:val="num" w:pos="0"/>
        </w:tabs>
        <w:ind w:left="1800" w:hanging="360"/>
      </w:pPr>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15">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9">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0">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1">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2">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5">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48"/>
  <w:defaultTabStop w:val="708"/>
  <w:autoHyphenation w:val="true"/>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b252b"/>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Bodytext2" w:customStyle="1">
    <w:name w:val="Body text (2)_"/>
    <w:basedOn w:val="DefaultParagraphFont"/>
    <w:link w:val="Bodytext21"/>
    <w:qFormat/>
    <w:locked/>
    <w:rsid w:val="006a1b67"/>
    <w:rPr>
      <w:rFonts w:ascii="Trebuchet MS" w:hAnsi="Trebuchet MS" w:eastAsia="Trebuchet MS" w:cs="Trebuchet MS"/>
      <w:sz w:val="19"/>
      <w:szCs w:val="19"/>
      <w:shd w:fill="FFFFFF"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457e0"/>
    <w:pPr>
      <w:spacing w:before="0" w:after="200"/>
      <w:ind w:left="720"/>
      <w:contextualSpacing/>
    </w:pPr>
    <w:rPr/>
  </w:style>
  <w:style w:type="paragraph" w:styleId="Bodytext21" w:customStyle="1">
    <w:name w:val="Body text (2)"/>
    <w:basedOn w:val="Normal"/>
    <w:link w:val="Bodytext2"/>
    <w:qFormat/>
    <w:rsid w:val="006a1b67"/>
    <w:pPr>
      <w:widowControl w:val="false"/>
      <w:shd w:val="clear" w:color="auto" w:fill="FFFFFF"/>
      <w:spacing w:lineRule="exact" w:line="218" w:before="0" w:after="0"/>
      <w:jc w:val="both"/>
    </w:pPr>
    <w:rPr>
      <w:rFonts w:ascii="Trebuchet MS" w:hAnsi="Trebuchet MS" w:eastAsia="Trebuchet MS" w:cs="Trebuchet MS"/>
      <w:sz w:val="19"/>
      <w:szCs w:val="19"/>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8</Pages>
  <Words>1665</Words>
  <Characters>7985</Characters>
  <CharactersWithSpaces>9734</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2023-07-07T11:00:00Z</dcterms:created>
  <dc:creator>HP</dc:creator>
  <dc:description/>
  <dc:language>fr-FR</dc:language>
  <cp:lastModifiedBy/>
  <dcterms:modified xsi:type="dcterms:W3CDTF">2026-04-15T08:18:30Z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