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u w:val="single"/>
          <w:lang w:val="fr-FR"/>
        </w:rPr>
      </w:pP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u w:val="single"/>
          <w:lang w:val="fr-FR"/>
        </w:rPr>
        <w:t>QCM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1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quelle(s) est (sont) la (les) question(s) importante(s) à se poser devant un syndrome occlusif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Y a-t-il des bruits hydroaériques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Y a-t-il des signes de choc ou de souffrance intestinale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Quel est le niveau anatomique de l’occlusion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Quel est le mécanisme de l’occlusion ?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vomissements sont-ils fécaloïdes ?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2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quelle(s) est (sont) une (des) cause(s) d’obstacle organique intraluminal ?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Cancer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Maladie de Crohn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Brides post-opératoires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Fécalome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Parasitose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3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quelle(s) est (sont) une (des) cause(s) d’occlusion fonctionnelle ?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Prise de médicaments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Diabète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Hypothyroïdie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Colique néphrétique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Traumatisme du bassin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4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laquelle (lesquelles) est (sont) en faveur d’une occlusion par strangulation ?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Occlusion d’apparition progressive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Douleur peu importante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Météorisme important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Silence auscultatoire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Vomissements précoces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5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laquelle (lesquelles) est (sont) en faveur d’une occlusion par obstruction ?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Phase pré-occlusive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Vomissements tardifs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Bruits hydro-aériques non perçus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État général conservé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Syndrome de Koenig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6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laquelle (lesquelles) est (sont) une (des) étiologie (s) d’occlusion par strangulation 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Bride cicatricielle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Iléus biliaire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Cancer colo-rectal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Volvulus du grêle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Invagination intestinale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7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Concernant la radiographie par abdomen sans préparation (ASP) dans une occlusion, quelle(s) proposition(s) est (sont) exacte(s) ?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d’occlusion haute, les niveaux hydro-aériques sont plus hauts que larges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d’occlusion haute, les niveaux hydro-aériques sont rares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d’occlusion basse, on note des haustrations coliques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d’occlusion basse, les niveaux hydro-aériques sont plus larges que haut</w:t>
      </w:r>
    </w:p>
    <w:p>
      <w:pPr>
        <w:pStyle w:val="ListParagraph"/>
        <w:numPr>
          <w:ilvl w:val="0"/>
          <w:numId w:val="7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cas d’occlusion basse, on note des valvules conniventes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QCM 8 :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Parmi les propositions suivantes, concernant le syndrome d’Ogilive, laquelle (lesquelles) est (sont) exacte(s) ?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s’agit d’une pseudo-occlusion grêlique aigue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Elle survient souvent chez un homme de plus de soixante ans 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distension abdominale est majeure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scanner est systématique</w:t>
      </w:r>
    </w:p>
    <w:p>
      <w:pPr>
        <w:pStyle w:val="ListParagraph"/>
        <w:numPr>
          <w:ilvl w:val="0"/>
          <w:numId w:val="8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traitement est chirurgical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u w:val="single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u w:val="single"/>
          <w:lang w:val="fr-FR"/>
        </w:rPr>
        <w:t>Réponses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1 : B C D 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Devant une occlusion, il faut déterminer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la gravité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de celle-ci et chercher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des arguments étiologiques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Les trois questions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à se poser sont donc :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-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Y a-t-il des signes de choc ou de souffrance intestinale ? (diagnostic de gravité)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-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Quel est le niveau anatomique de l’occlusion ? (diagnostic étiologique)</w:t>
      </w:r>
    </w:p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-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Quel est le mécanisme de l’occlusion ? (diagnostic étiologique)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2 : D E 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Devant un obstacle organique, il faut déterminer si celui-ci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est intraluminal, pariétal ou extraluminal. </w:t>
      </w:r>
    </w:p>
    <w:p>
      <w:pPr>
        <w:pStyle w:val="ListParagraph"/>
        <w:numPr>
          <w:ilvl w:val="0"/>
          <w:numId w:val="10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Les causes d’obstacle intraluminal sont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 :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Bézoard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Calcul (iléus biliaire)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Parasite (ascaridiose)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Fécalome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X Les autres propositions correspondaient à des obstacles pariétaux ou extraluminaux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3 : A B C D E 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plupart des affections aigues peut être responsable d’occlusion fonctionnelle par iléus réflexe !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faut ajouter aux iléus réflexes les causes d’occlusions fonctionnelles par ralentissement du transit.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principales étiologiques de syndrome occlusif sont rappelées dans le tableau ci-dessous :</w:t>
      </w:r>
    </w:p>
    <w:tbl>
      <w:tblPr>
        <w:tblStyle w:val="Grilledutableau"/>
        <w:tblW w:w="8856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04"/>
        <w:gridCol w:w="4451"/>
      </w:tblGrid>
      <w:tr>
        <w:trPr/>
        <w:tc>
          <w:tcPr>
            <w:tcW w:w="440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Obstacle organique</w:t>
            </w:r>
          </w:p>
        </w:tc>
        <w:tc>
          <w:tcPr>
            <w:tcW w:w="445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Occlusion fonctionnelle</w:t>
            </w:r>
          </w:p>
        </w:tc>
      </w:tr>
      <w:tr>
        <w:trPr>
          <w:trHeight w:val="2780" w:hRule="atLeast"/>
        </w:trPr>
        <w:tc>
          <w:tcPr>
            <w:tcW w:w="4404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32"/>
                <w:szCs w:val="32"/>
                <w:lang w:val="fr-FR" w:eastAsia="en-US" w:bidi="ar-SA"/>
              </w:rPr>
              <w:t>Intraluminal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 xml:space="preserve"> (Bézoard, calcul, parasite, fécalome)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32"/>
                <w:szCs w:val="32"/>
                <w:lang w:val="fr-FR" w:eastAsia="en-US" w:bidi="ar-SA"/>
              </w:rPr>
              <w:t>Pariétal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 xml:space="preserve"> (tumoral, inflammatoire, hématome…)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Extraluminal (brides, volvulus, hernie, carcinose péritonéale…)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</w:tc>
        <w:tc>
          <w:tcPr>
            <w:tcW w:w="4451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32"/>
                <w:szCs w:val="32"/>
                <w:lang w:val="fr-FR" w:eastAsia="en-US" w:bidi="ar-SA"/>
              </w:rPr>
              <w:t>Iléus réflexe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 xml:space="preserve"> (toute affection aigue, traumatisme)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b/>
                <w:bCs/>
                <w:kern w:val="0"/>
                <w:sz w:val="32"/>
                <w:szCs w:val="32"/>
                <w:lang w:val="fr-FR" w:eastAsia="en-US" w:bidi="ar-SA"/>
              </w:rPr>
              <w:t>Pseudo-obstruction intestinale</w:t>
            </w: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 xml:space="preserve"> (métabolique, médicamenteuse, liée à une maladie générale, Syndrome d’Ogilvie)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</w:tc>
      </w:tr>
    </w:tbl>
    <w:p>
      <w:pPr>
        <w:pStyle w:val="ListParagraph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4 : D E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arguments en faveur d’une occlusion par strangulation sont :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Début brutal et sans prodrome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Douleur vive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Vomissements précoces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Météorisme discret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Silence auscultatoire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Retentissements général important pouvant aller jusqu’au choc hypovolémique.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5 : A B D E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Dans une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occlusion par obstruction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, on peut retrouver :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L’apparition de l’occlusion est progressive, avec parfois apparition ou aggravation d’une constipation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peut noter un syndrome de Koenig en cas d’obstruction grêlique (douleurs abdominales cédant brutalement avec gargouillement associé à une débâcle hydro-aérique)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Vomissements tardifs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État général longtemps conservé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Météorisme diffuse avec parfois un hyperpéristaltisme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Bruits hydro-aériques conservés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6 : A D E 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causes d’occlusions mécaniques par strangulation et obstruction sont rappelées dans le tableau ci-dessous :</w:t>
      </w:r>
    </w:p>
    <w:tbl>
      <w:tblPr>
        <w:tblStyle w:val="Grilledutableau"/>
        <w:tblW w:w="8856" w:type="dxa"/>
        <w:jc w:val="left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28"/>
        <w:gridCol w:w="4427"/>
      </w:tblGrid>
      <w:tr>
        <w:trPr/>
        <w:tc>
          <w:tcPr>
            <w:tcW w:w="44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Strangulation</w:t>
            </w:r>
          </w:p>
        </w:tc>
        <w:tc>
          <w:tcPr>
            <w:tcW w:w="442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Obstruction</w:t>
            </w:r>
          </w:p>
        </w:tc>
      </w:tr>
      <w:tr>
        <w:trPr/>
        <w:tc>
          <w:tcPr>
            <w:tcW w:w="8855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Occlusion haute</w:t>
            </w:r>
          </w:p>
        </w:tc>
      </w:tr>
      <w:tr>
        <w:trPr/>
        <w:tc>
          <w:tcPr>
            <w:tcW w:w="44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Bride cicatricielle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Étranglement herniaire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Volvulus du grêle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Invagination intestinale aigue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</w:tc>
        <w:tc>
          <w:tcPr>
            <w:tcW w:w="442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Sténose inflammatoire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Tumeur du grêle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Carcinose péritonéale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Bézoard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Entérite radique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Iléus biliaire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Parasitose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Compression extrinsèque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Hématome pariétal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32"/>
                <w:szCs w:val="32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b/>
                <w:bCs/>
                <w:sz w:val="32"/>
                <w:szCs w:val="32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b/>
                <w:bCs/>
                <w:kern w:val="0"/>
                <w:sz w:val="32"/>
                <w:szCs w:val="32"/>
                <w:lang w:val="fr-FR" w:eastAsia="en-US" w:bidi="ar-SA"/>
              </w:rPr>
            </w:r>
          </w:p>
        </w:tc>
      </w:tr>
      <w:tr>
        <w:trPr>
          <w:trHeight w:val="341" w:hRule="atLeast"/>
        </w:trPr>
        <w:tc>
          <w:tcPr>
            <w:tcW w:w="8855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Occlusion basse</w:t>
            </w:r>
          </w:p>
        </w:tc>
      </w:tr>
      <w:tr>
        <w:trPr/>
        <w:tc>
          <w:tcPr>
            <w:tcW w:w="4428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Volvulus du côlon pelvien ou du caecum</w:t>
            </w:r>
          </w:p>
        </w:tc>
        <w:tc>
          <w:tcPr>
            <w:tcW w:w="4427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Cancer colo-rectal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Fécalome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Sténose inflammatoire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Times New Roman" w:hAnsi="Times New Roman" w:cs="Times New Roman" w:asciiTheme="majorBidi" w:cstheme="majorBidi" w:hAnsiTheme="majorBidi"/>
                <w:sz w:val="32"/>
                <w:szCs w:val="32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32"/>
                <w:szCs w:val="32"/>
                <w:lang w:val="fr-FR" w:eastAsia="en-US" w:bidi="ar-SA"/>
              </w:rPr>
              <w:t>Syndrome d’Ogilvie</w:t>
            </w:r>
          </w:p>
        </w:tc>
      </w:tr>
    </w:tbl>
    <w:p>
      <w:pPr>
        <w:pStyle w:val="ListParagraph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b/>
          <w:bCs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Réponse 7 : C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L’ASP n’a normalement plus d’indication dans l’occlusion colique, et ne doit plus être réalisé.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Cependant, son interprétation est toujours présente dans le référentiel (y compris dans la partie « points clés », et la question est facile à poser en QCM.</w:t>
      </w:r>
    </w:p>
    <w:p>
      <w:pPr>
        <w:pStyle w:val="ListParagraph"/>
        <w:numPr>
          <w:ilvl w:val="0"/>
          <w:numId w:val="13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Retenez donc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qu’en cas d’occlusion haute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 :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niveaux hydro-aériques sont multiples, centraux, plus larges que haut</w:t>
      </w:r>
    </w:p>
    <w:p>
      <w:pPr>
        <w:pStyle w:val="ListParagraph"/>
        <w:numPr>
          <w:ilvl w:val="0"/>
          <w:numId w:val="11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peut voir des valvules conniventes (fines incisures allant d’un bord à l’autre de l’intestin dilaté)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En cas d’occlusion basse :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Les niveaux hydro-aériques sont rares, périphériques plus haut que large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On voit des haustrations : larges incisures asymétriques n’allant pas d’un bord à l’autre du côlon, dilaté.</w:t>
      </w: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Attention dans ce genre de question à bien prendre les propositions une par une et à ne pas vous emmêler les pinceaux.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 xml:space="preserve">Réponse 8 : B C D 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 xml:space="preserve">Le syndrome </w:t>
      </w:r>
      <w:r>
        <w:rPr>
          <w:rFonts w:cs="Times New Roman" w:ascii="Times New Roman" w:hAnsi="Times New Roman" w:asciiTheme="majorBidi" w:cstheme="majorBidi" w:hAnsiTheme="majorBidi"/>
          <w:b/>
          <w:bCs/>
          <w:sz w:val="32"/>
          <w:szCs w:val="32"/>
          <w:lang w:val="fr-FR"/>
        </w:rPr>
        <w:t>d’Ogilvie est une pseudo-occlusion colique aigue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survient typiquement chez un homme de plus de soixante ans, dans un contexte médical ou chirurgical sévère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La distension abdominale est majeure et diffuse, le ventre tympanique avec arrêt des matières et des gaz, silence auscultatoire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n’y a pas de signes péritonéaux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Il peut se compliquer d’insuffisance respiratoire, de perforation du caecum et de choc hypovolémique ou  septique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scanner est systématique pour éliminer une étiologie organique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Le traitement médical repose sur la correction des facteurs favorisants +/- mise en place d’un tube de Faucher +/- Néostigmine en IV lente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deuxième intention, on réalisera une coloscopie d’exsufflation</w:t>
      </w:r>
    </w:p>
    <w:p>
      <w:pPr>
        <w:pStyle w:val="ListParagraph"/>
        <w:numPr>
          <w:ilvl w:val="0"/>
          <w:numId w:val="14"/>
        </w:numPr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ascii="Times New Roman" w:hAnsi="Times New Roman" w:asciiTheme="majorBidi" w:cstheme="majorBidi" w:hAnsiTheme="majorBidi"/>
          <w:sz w:val="32"/>
          <w:szCs w:val="32"/>
          <w:lang w:val="fr-FR"/>
        </w:rPr>
        <w:t>En dernière intention, le traitement chirurgical par colectomie totale sera requis.</w:t>
      </w:r>
    </w:p>
    <w:p>
      <w:pPr>
        <w:pStyle w:val="Normal"/>
        <w:ind w:left="429"/>
        <w:rPr>
          <w:rFonts w:ascii="Times New Roman" w:hAnsi="Times New Roman" w:cs="Times New Roman" w:asciiTheme="majorBidi" w:cstheme="majorBidi" w:hAnsiTheme="majorBidi"/>
          <w:sz w:val="32"/>
          <w:szCs w:val="32"/>
          <w:lang w:val="fr-FR"/>
        </w:rPr>
      </w:pPr>
      <w:r>
        <w:rPr>
          <w:rFonts w:cs="Times New Roman" w:cstheme="majorBidi" w:ascii="Times New Roman" w:hAnsi="Times New Roman"/>
          <w:sz w:val="32"/>
          <w:szCs w:val="32"/>
          <w:lang w:val="fr-FR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9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6345c"/>
    <w:pPr>
      <w:widowControl/>
      <w:bidi w:val="0"/>
      <w:spacing w:lineRule="auto" w:line="276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7834b6"/>
    <w:rPr/>
  </w:style>
  <w:style w:type="character" w:styleId="PieddepageCar" w:customStyle="1">
    <w:name w:val="Pied de page Car"/>
    <w:basedOn w:val="DefaultParagraphFont"/>
    <w:uiPriority w:val="99"/>
    <w:qFormat/>
    <w:rsid w:val="007834b6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64259"/>
    <w:pPr>
      <w:spacing w:before="0" w:after="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7834b6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7834b6"/>
    <w:pPr>
      <w:tabs>
        <w:tab w:val="clear" w:pos="720"/>
        <w:tab w:val="center" w:pos="4536" w:leader="none"/>
        <w:tab w:val="right" w:pos="9072" w:leader="none"/>
      </w:tabs>
      <w:spacing w:lineRule="auto" w:line="24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0919ce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  <Pages>7</Pages>
  <Words>1026</Words>
  <Characters>5755</Characters>
  <CharactersWithSpaces>6573</CharactersWithSpaces>
  <Paragraphs>135</Paragraphs>
  <Company>alquds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2023-02-26T17:28:00Z</dcterms:created>
  <dc:creator>Windows User</dc:creator>
  <dc:description/>
  <dc:language>fr-FR</dc:language>
  <cp:lastModifiedBy/>
  <dcterms:modified xsi:type="dcterms:W3CDTF">2026-04-15T09:03:31Z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