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_rels/numbering.xml.rels" ContentType="application/vnd.openxmlformats-package.relationships+xml"/>
  <Override PartName="/word/_rels/document.xml.rels" ContentType="application/vnd.openxmlformats-package.relationships+xml"/>
  <Override PartName="/word/media/image1.gif" ContentType="image/gif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left="720"/>
        <w:rPr/>
      </w:pPr>
      <w:r>
        <w:rPr>
          <w:b/>
          <w:bCs/>
        </w:rPr>
        <w:t xml:space="preserve">                                        </w:t>
      </w:r>
      <w:r>
        <w:rPr>
          <w:b/>
          <w:bCs/>
        </w:rPr>
        <w:t>POLYMYOSITES- DERM</w:t>
      </w:r>
      <w:bookmarkStart w:id="0" w:name="_GoBack"/>
      <w:bookmarkEnd w:id="0"/>
      <w:r>
        <w:rPr>
          <w:b/>
          <w:bCs/>
        </w:rPr>
        <w:t>ATOPOLYMYOSITES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La PM et DM: Myopathies inflammatoires </w:t>
      </w:r>
      <w:r>
        <w:rPr>
          <w:b/>
          <w:bCs/>
        </w:rPr>
        <w:t>primitives.</w:t>
      </w:r>
      <w:r>
        <w:rPr/>
        <w:t xml:space="preserve"> Déficit moteur proximal, avec élévation des enz musculaires.</w:t>
      </w:r>
    </w:p>
    <w:p>
      <w:pPr>
        <w:pStyle w:val="ListParagraph"/>
        <w:numPr>
          <w:ilvl w:val="0"/>
          <w:numId w:val="13"/>
        </w:numPr>
        <w:rPr/>
      </w:pPr>
      <w:r>
        <w:rPr/>
        <w:t xml:space="preserve">La DM est cliniquement caractérisée par une atteinte cutanée et une atteinte musculaire  se voit chez l’enfant et adulte, </w:t>
      </w:r>
    </w:p>
    <w:p>
      <w:pPr>
        <w:pStyle w:val="ListParagraph"/>
        <w:numPr>
          <w:ilvl w:val="0"/>
          <w:numId w:val="13"/>
        </w:numPr>
        <w:rPr/>
      </w:pPr>
      <w:r>
        <w:rPr/>
        <w:t>la PM ne se voit que chez l’adulte, et ne donne qu’une atteinte musculaire.</w:t>
      </w:r>
    </w:p>
    <w:p>
      <w:pPr>
        <w:pStyle w:val="ListParagraph"/>
        <w:numPr>
          <w:ilvl w:val="0"/>
          <w:numId w:val="13"/>
        </w:numPr>
        <w:rPr/>
      </w:pPr>
      <w:r>
        <w:rPr/>
        <w:t>La PM et DM peuvent s’associer ou précéde l’apparition du cancer ds 70%des cas</w:t>
      </w:r>
    </w:p>
    <w:p>
      <w:pPr>
        <w:pStyle w:val="ListParagraph"/>
        <w:numPr>
          <w:ilvl w:val="0"/>
          <w:numId w:val="13"/>
        </w:numPr>
        <w:rPr/>
      </w:pPr>
      <w:r>
        <w:rPr/>
        <w:t>Peuvent s’associer à une autre connectivite ou parfois à une infection par le VIH.</w:t>
      </w:r>
    </w:p>
    <w:p>
      <w:pPr>
        <w:pStyle w:val="ListParagraph"/>
        <w:numPr>
          <w:ilvl w:val="0"/>
          <w:numId w:val="13"/>
        </w:numPr>
        <w:rPr/>
      </w:pPr>
      <w:r>
        <w:rPr/>
        <w:t>Le cancer svt : ovaire, sein, colon, estomac...</w:t>
      </w:r>
    </w:p>
    <w:p>
      <w:pPr>
        <w:pStyle w:val="ListParagraph"/>
        <w:numPr>
          <w:ilvl w:val="0"/>
          <w:numId w:val="13"/>
        </w:numPr>
        <w:rPr/>
      </w:pPr>
      <w:r>
        <w:rPr/>
        <w:t>La DM plus frqt que la PM</w:t>
      </w:r>
    </w:p>
    <w:p>
      <w:pPr>
        <w:pStyle w:val="Normal"/>
        <w:rPr>
          <w:u w:val="single"/>
        </w:rPr>
      </w:pPr>
      <w:r>
        <w:rPr>
          <w:u w:val="single"/>
        </w:rPr>
        <w:t>EPIDEMIOLOGIE</w:t>
      </w:r>
    </w:p>
    <w:p>
      <w:pPr>
        <w:pStyle w:val="ListParagraph"/>
        <w:numPr>
          <w:ilvl w:val="0"/>
          <w:numId w:val="1"/>
        </w:numPr>
        <w:rPr/>
      </w:pPr>
      <w:r>
        <w:rPr/>
        <w:t>Connectivite rare</w:t>
      </w:r>
    </w:p>
    <w:p>
      <w:pPr>
        <w:pStyle w:val="ListParagraph"/>
        <w:numPr>
          <w:ilvl w:val="0"/>
          <w:numId w:val="1"/>
        </w:numPr>
        <w:rPr/>
      </w:pPr>
      <w:r>
        <w:rPr/>
        <w:t>Sexe: 2F/1H</w:t>
      </w:r>
    </w:p>
    <w:p>
      <w:pPr>
        <w:pStyle w:val="Normal"/>
        <w:rPr>
          <w:u w:val="single"/>
        </w:rPr>
      </w:pPr>
      <w:r>
        <w:rPr>
          <w:u w:val="single"/>
        </w:rPr>
        <w:t>ETUDE CLINIQUE</w:t>
      </w:r>
    </w:p>
    <w:p>
      <w:pPr>
        <w:pStyle w:val="Normal"/>
        <w:rPr/>
      </w:pPr>
      <w:r>
        <w:rPr>
          <w:b/>
          <w:bCs/>
        </w:rPr>
        <w:t>A/ Le Syndrome musculaire</w:t>
      </w:r>
    </w:p>
    <w:p>
      <w:pPr>
        <w:pStyle w:val="ListParagraph"/>
        <w:numPr>
          <w:ilvl w:val="0"/>
          <w:numId w:val="2"/>
        </w:numPr>
        <w:rPr/>
      </w:pPr>
      <w:r>
        <w:rPr/>
        <w:t xml:space="preserve">la faiblesse musculaire: touche les muscles </w:t>
      </w:r>
      <w:r>
        <w:rPr>
          <w:b/>
          <w:bCs/>
        </w:rPr>
        <w:t>proximaux</w:t>
      </w:r>
      <w:r>
        <w:rPr/>
        <w:t xml:space="preserve"> , </w:t>
      </w:r>
      <w:r>
        <w:rPr>
          <w:b/>
          <w:bCs/>
        </w:rPr>
        <w:t>bilatérale</w:t>
      </w:r>
      <w:r>
        <w:rPr/>
        <w:t xml:space="preserve">, </w:t>
      </w:r>
      <w:r>
        <w:rPr>
          <w:b/>
          <w:bCs/>
        </w:rPr>
        <w:t>symétrique</w:t>
      </w:r>
      <w:r>
        <w:rPr/>
        <w:t xml:space="preserve"> et </w:t>
      </w:r>
      <w:r>
        <w:rPr>
          <w:b/>
          <w:bCs/>
        </w:rPr>
        <w:t>non</w:t>
      </w:r>
      <w:r>
        <w:rPr/>
        <w:t xml:space="preserve"> </w:t>
      </w:r>
      <w:r>
        <w:rPr>
          <w:b/>
          <w:bCs/>
        </w:rPr>
        <w:t>sélective</w:t>
      </w:r>
      <w:r>
        <w:rPr/>
        <w:t xml:space="preserve"> Intéresse les ceintures scapulaire et pelvienne et les muscles cervicaux , responsable d’une marche dandinante( de cannard de Duchenne).</w:t>
      </w:r>
    </w:p>
    <w:p>
      <w:pPr>
        <w:pStyle w:val="ListParagraph"/>
        <w:numPr>
          <w:ilvl w:val="0"/>
          <w:numId w:val="3"/>
        </w:numPr>
        <w:rPr/>
      </w:pPr>
      <w:r>
        <w:rPr/>
        <w:t>Peut aller de la simple gene fonctionn à un état grabataire</w:t>
      </w:r>
    </w:p>
    <w:p>
      <w:pPr>
        <w:pStyle w:val="ListParagraph"/>
        <w:numPr>
          <w:ilvl w:val="0"/>
          <w:numId w:val="3"/>
        </w:numPr>
        <w:rPr/>
      </w:pPr>
      <w:r>
        <w:rPr/>
        <w:t>La musculature oculaire et facial svt epargner</w:t>
      </w:r>
    </w:p>
    <w:p>
      <w:pPr>
        <w:pStyle w:val="Normal"/>
        <w:rPr/>
      </w:pPr>
      <w:r>
        <w:rPr/>
        <w:t xml:space="preserve">2-Les douleurs musculaires: ds 30% associé, </w:t>
      </w:r>
      <w:r>
        <w:rPr>
          <w:u w:val="single"/>
        </w:rPr>
        <w:t>rebelles aux antalgiques et AINS</w:t>
      </w:r>
    </w:p>
    <w:p>
      <w:pPr>
        <w:pStyle w:val="Normal"/>
        <w:rPr/>
      </w:pPr>
      <w:r>
        <w:rPr/>
        <w:t xml:space="preserve">3- Troubles oesopharyngés: 25à 30% des cas </w:t>
      </w:r>
      <w:r>
        <w:rPr>
          <w:u w:val="single"/>
        </w:rPr>
        <w:t xml:space="preserve">signe de gravité </w:t>
      </w:r>
      <w:r>
        <w:rPr/>
        <w:t xml:space="preserve">  dysphone, dysphagie voire des troubles de la déglutition et des fausses routes</w:t>
      </w:r>
    </w:p>
    <w:p>
      <w:pPr>
        <w:pStyle w:val="Normal"/>
        <w:rPr/>
      </w:pPr>
      <w:r>
        <w:rPr/>
        <w:t>4- amyotrophie, contractures et hyporéflexie ostéo-tendineuse ds les formes sévères de la maladie</w:t>
      </w:r>
    </w:p>
    <w:p>
      <w:pPr>
        <w:pStyle w:val="Normal"/>
        <w:rPr/>
      </w:pPr>
      <w:r>
        <w:rPr>
          <w:b/>
          <w:bCs/>
        </w:rPr>
        <w:t>Absence</w:t>
      </w:r>
      <w:r>
        <w:rPr/>
        <w:t xml:space="preserve"> de signes neurologiques centraux sauf en cas d’association à un </w:t>
      </w:r>
      <w:r>
        <w:rPr>
          <w:b/>
          <w:bCs/>
        </w:rPr>
        <w:t>syndrome de Sjörgen ou de vascularite.</w:t>
      </w:r>
    </w:p>
    <w:p>
      <w:pPr>
        <w:pStyle w:val="Normal"/>
        <w:rPr/>
      </w:pPr>
      <w:r>
        <w:rPr>
          <w:b/>
          <w:bCs/>
        </w:rPr>
        <w:t>B/ Signes cutanés (DM):</w:t>
      </w:r>
    </w:p>
    <w:p>
      <w:pPr>
        <w:pStyle w:val="ListParagraph"/>
        <w:numPr>
          <w:ilvl w:val="0"/>
          <w:numId w:val="4"/>
        </w:numPr>
        <w:rPr/>
      </w:pPr>
      <w:r>
        <w:rPr/>
        <w:t>Erythroedème photosensible des zones découvertes (visage, face ant du cou, face d’ext des membres)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Erythème orbitaire en lunette: coloration liliacée des paupières sup avec oedéme péri-orbitaire (éruption héliotrope), </w:t>
      </w:r>
      <w:r>
        <w:rPr>
          <w:b/>
          <w:bCs/>
          <w:u w:val="single"/>
        </w:rPr>
        <w:t>quasi</w:t>
      </w:r>
      <w:r>
        <w:rPr>
          <w:u w:val="single"/>
        </w:rPr>
        <w:t>-</w:t>
      </w:r>
      <w:r>
        <w:rPr>
          <w:b/>
          <w:bCs/>
          <w:u w:val="single"/>
        </w:rPr>
        <w:t>pathognomoniques</w:t>
      </w:r>
    </w:p>
    <w:p>
      <w:pPr>
        <w:pStyle w:val="ListParagraph"/>
        <w:numPr>
          <w:ilvl w:val="0"/>
          <w:numId w:val="4"/>
        </w:numPr>
        <w:rPr/>
      </w:pPr>
      <w:r>
        <w:rPr/>
        <w:t>Papules de Gottron: plaques éryth à la face dorsal des MCP et IPP</w:t>
      </w:r>
    </w:p>
    <w:p>
      <w:pPr>
        <w:pStyle w:val="ListParagraph"/>
        <w:numPr>
          <w:ilvl w:val="0"/>
          <w:numId w:val="4"/>
        </w:numPr>
        <w:rPr/>
      </w:pPr>
      <w:r>
        <w:rPr/>
        <w:t>Erythème péri-unguéal: douloureux à la pression (</w:t>
      </w:r>
      <w:r>
        <w:rPr>
          <w:u w:val="single"/>
        </w:rPr>
        <w:t>signe de la manucure)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Œdème cutané: aspect pseudo-myxoedèmateux </w:t>
      </w:r>
    </w:p>
    <w:p>
      <w:pPr>
        <w:pStyle w:val="ListParagraph"/>
        <w:numPr>
          <w:ilvl w:val="0"/>
          <w:numId w:val="4"/>
        </w:numPr>
        <w:rPr/>
      </w:pPr>
      <w:r>
        <w:rPr/>
        <w:t xml:space="preserve">Autres lésions cutanées: vascularite cutnée, photosensibilisation,hémorragies en flammèches, ulcération muqueuse, syndrome de reynaud , calcinose </w:t>
      </w:r>
    </w:p>
    <w:p>
      <w:pPr>
        <w:pStyle w:val="Normal"/>
        <w:rPr/>
      </w:pPr>
      <w:r>
        <w:rPr/>
        <w:t xml:space="preserve">C/ </w:t>
      </w:r>
      <w:r>
        <w:rPr>
          <w:b/>
          <w:bCs/>
        </w:rPr>
        <w:t>Manifestations</w:t>
      </w:r>
      <w:r>
        <w:rPr/>
        <w:t xml:space="preserve"> </w:t>
      </w:r>
      <w:r>
        <w:rPr>
          <w:b/>
          <w:bCs/>
        </w:rPr>
        <w:t>articulaires</w:t>
      </w:r>
      <w:r>
        <w:rPr/>
        <w:t>: 15à 30%</w:t>
      </w:r>
    </w:p>
    <w:p>
      <w:pPr>
        <w:pStyle w:val="ListParagraph"/>
        <w:numPr>
          <w:ilvl w:val="0"/>
          <w:numId w:val="32"/>
        </w:numPr>
        <w:rPr/>
      </w:pPr>
      <w:r>
        <w:rPr/>
        <w:t>Le plus svt arthralgies d’horaire inflmm, bilatéral, symétrique sans déformation ni destruction</w:t>
      </w:r>
    </w:p>
    <w:p>
      <w:pPr>
        <w:pStyle w:val="ListParagraph"/>
        <w:numPr>
          <w:ilvl w:val="0"/>
          <w:numId w:val="32"/>
        </w:numPr>
        <w:rPr/>
      </w:pPr>
      <w:r>
        <w:rPr/>
        <w:t>une polyarthrite destructive et déformative peut s’observer dans le cadre d’un syndrome des anti-synthétases (intérêt de la biothérapie)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D/ </w:t>
      </w:r>
      <w:r>
        <w:rPr>
          <w:b/>
          <w:bCs/>
        </w:rPr>
        <w:t>Atteinte</w:t>
      </w:r>
      <w:r>
        <w:rPr/>
        <w:t xml:space="preserve"> </w:t>
      </w:r>
      <w:r>
        <w:rPr>
          <w:b/>
          <w:bCs/>
        </w:rPr>
        <w:t>cardiaque</w:t>
      </w:r>
      <w:r>
        <w:rPr/>
        <w:t>:30à 70%</w:t>
      </w:r>
    </w:p>
    <w:p>
      <w:pPr>
        <w:pStyle w:val="ListParagraph"/>
        <w:numPr>
          <w:ilvl w:val="0"/>
          <w:numId w:val="12"/>
        </w:numPr>
        <w:rPr/>
      </w:pPr>
      <w:r>
        <w:rPr/>
        <w:t>Ds 50% anomalie electrique (sur (ECG) sans traduction clinique</w:t>
      </w:r>
    </w:p>
    <w:p>
      <w:pPr>
        <w:pStyle w:val="ListParagraph"/>
        <w:numPr>
          <w:ilvl w:val="0"/>
          <w:numId w:val="12"/>
        </w:numPr>
        <w:rPr/>
      </w:pPr>
      <w:r>
        <w:rPr/>
        <w:t>peut étre responsable d’une mort subite par Troubles du rythme et/ou de la conduction</w:t>
      </w:r>
    </w:p>
    <w:p>
      <w:pPr>
        <w:pStyle w:val="ListParagraph"/>
        <w:numPr>
          <w:ilvl w:val="0"/>
          <w:numId w:val="12"/>
        </w:numPr>
        <w:rPr/>
      </w:pPr>
      <w:r>
        <w:rPr/>
        <w:t>Rarement: péricardite ou coronarite, myocardite</w:t>
      </w:r>
    </w:p>
    <w:p>
      <w:pPr>
        <w:pStyle w:val="Normal"/>
        <w:rPr/>
      </w:pPr>
      <w:r>
        <w:rPr/>
        <w:t xml:space="preserve">E/ </w:t>
      </w:r>
      <w:r>
        <w:rPr>
          <w:b/>
          <w:bCs/>
        </w:rPr>
        <w:t>Atteinte</w:t>
      </w:r>
      <w:r>
        <w:rPr/>
        <w:t xml:space="preserve"> </w:t>
      </w:r>
      <w:r>
        <w:rPr>
          <w:b/>
          <w:bCs/>
        </w:rPr>
        <w:t>pulmonaire</w:t>
      </w:r>
      <w:r>
        <w:rPr/>
        <w:t>: 10à 15%</w:t>
      </w:r>
    </w:p>
    <w:p>
      <w:pPr>
        <w:pStyle w:val="ListParagraph"/>
        <w:numPr>
          <w:ilvl w:val="0"/>
          <w:numId w:val="30"/>
        </w:numPr>
        <w:rPr/>
      </w:pPr>
      <w:r>
        <w:rPr/>
        <w:t>Pneumopathie d’inhalation: sec à l’att pharyngée</w:t>
      </w:r>
    </w:p>
    <w:p>
      <w:pPr>
        <w:pStyle w:val="ListParagraph"/>
        <w:numPr>
          <w:ilvl w:val="0"/>
          <w:numId w:val="30"/>
        </w:numPr>
        <w:rPr/>
      </w:pPr>
      <w:r>
        <w:rPr/>
        <w:t xml:space="preserve">Pneumopathie inerstitielle diffuse: dyspnée fébrile, toux sèche, Infiltrat réticulo-nodulaire sur la Rx pulm </w:t>
      </w:r>
    </w:p>
    <w:p>
      <w:pPr>
        <w:pStyle w:val="ListParagraph"/>
        <w:numPr>
          <w:ilvl w:val="0"/>
          <w:numId w:val="30"/>
        </w:numPr>
        <w:rPr/>
      </w:pPr>
      <w:r>
        <w:rPr/>
        <w:t>Pneumopathie à germe opportuniste</w:t>
      </w:r>
    </w:p>
    <w:p>
      <w:pPr>
        <w:pStyle w:val="ListParagraph"/>
        <w:numPr>
          <w:ilvl w:val="0"/>
          <w:numId w:val="30"/>
        </w:numPr>
        <w:rPr/>
      </w:pPr>
      <w:r>
        <w:rPr/>
        <w:t>Pneumopathie iatrogène(MTX)</w:t>
      </w:r>
    </w:p>
    <w:p>
      <w:pPr>
        <w:pStyle w:val="Normal"/>
        <w:rPr>
          <w:u w:val="single"/>
        </w:rPr>
      </w:pPr>
      <w:r>
        <w:rPr>
          <w:u w:val="single"/>
        </w:rPr>
        <w:t>EXAMENS COMPLEMENTAIRES</w:t>
      </w:r>
    </w:p>
    <w:p>
      <w:pPr>
        <w:pStyle w:val="Normal"/>
        <w:rPr/>
      </w:pPr>
      <w:r>
        <w:rPr>
          <w:b/>
          <w:bCs/>
        </w:rPr>
        <w:t>Bilan Inflammatoire</w:t>
      </w:r>
      <w:r>
        <w:rPr/>
        <w:t>:</w:t>
      </w:r>
    </w:p>
    <w:p>
      <w:pPr>
        <w:pStyle w:val="ListParagraph"/>
        <w:numPr>
          <w:ilvl w:val="0"/>
          <w:numId w:val="8"/>
        </w:numPr>
        <w:rPr/>
      </w:pPr>
      <w:r>
        <w:rPr/>
        <w:t xml:space="preserve">VS modérément élevée (si très élever rechercher un cancer) </w:t>
      </w:r>
    </w:p>
    <w:p>
      <w:pPr>
        <w:pStyle w:val="ListParagraph"/>
        <w:numPr>
          <w:ilvl w:val="0"/>
          <w:numId w:val="8"/>
        </w:numPr>
        <w:rPr/>
      </w:pPr>
      <w:r>
        <w:rPr/>
        <w:t>Hyperleucocytose à PN inconstante</w:t>
      </w:r>
    </w:p>
    <w:p>
      <w:pPr>
        <w:pStyle w:val="ListParagraph"/>
        <w:numPr>
          <w:ilvl w:val="0"/>
          <w:numId w:val="8"/>
        </w:numPr>
        <w:rPr/>
      </w:pPr>
      <w:r>
        <w:rPr/>
        <w:t>Elévation des CPK, LDH et transaminases, témoins de la nécrose musculaire</w:t>
      </w:r>
    </w:p>
    <w:p>
      <w:pPr>
        <w:pStyle w:val="ListParagraph"/>
        <w:numPr>
          <w:ilvl w:val="0"/>
          <w:numId w:val="8"/>
        </w:numPr>
        <w:rPr/>
      </w:pPr>
      <w:r>
        <w:rPr/>
        <w:t>CPK plus spécifiques (retrouver ds 80%)</w:t>
      </w:r>
    </w:p>
    <w:p>
      <w:pPr>
        <w:pStyle w:val="Normal"/>
        <w:rPr/>
      </w:pPr>
      <w:r>
        <w:rPr>
          <w:b/>
          <w:bCs/>
        </w:rPr>
        <w:t>Bilan d’auto-immunité:</w:t>
      </w:r>
    </w:p>
    <w:p>
      <w:pPr>
        <w:pStyle w:val="ListParagraph"/>
        <w:numPr>
          <w:ilvl w:val="0"/>
          <w:numId w:val="6"/>
        </w:numPr>
        <w:rPr/>
      </w:pPr>
      <w:r>
        <w:rPr/>
        <w:t xml:space="preserve">FR: présents dans 20%  des cas </w:t>
      </w:r>
    </w:p>
    <w:p>
      <w:pPr>
        <w:pStyle w:val="ListParagraph"/>
        <w:numPr>
          <w:ilvl w:val="0"/>
          <w:numId w:val="6"/>
        </w:numPr>
        <w:rPr/>
      </w:pPr>
      <w:r>
        <w:rPr/>
        <w:t>AAN: 30 à 50%, Anti-RNP, Anti-PM/Scl  très évocateur, Anti-SSA/SSB</w:t>
      </w:r>
    </w:p>
    <w:p>
      <w:pPr>
        <w:pStyle w:val="ListParagraph"/>
        <w:numPr>
          <w:ilvl w:val="0"/>
          <w:numId w:val="6"/>
        </w:numPr>
        <w:rPr/>
      </w:pPr>
      <w:r>
        <w:rPr/>
        <w:t>Ac Antiaminoacyl-ARNt –synthétase</w:t>
      </w:r>
    </w:p>
    <w:p>
      <w:pPr>
        <w:pStyle w:val="ListParagraph"/>
        <w:numPr>
          <w:ilvl w:val="0"/>
          <w:numId w:val="6"/>
        </w:numPr>
        <w:rPr/>
      </w:pPr>
      <w:r>
        <w:rPr/>
        <w:t>Ac anti- SRP : formes associées à une myocardite.</w:t>
      </w:r>
    </w:p>
    <w:p>
      <w:pPr>
        <w:pStyle w:val="Normal"/>
        <w:rPr/>
      </w:pPr>
      <w:r>
        <w:rPr>
          <w:b/>
          <w:bCs/>
        </w:rPr>
        <w:t>Electromyographie:</w:t>
      </w:r>
    </w:p>
    <w:p>
      <w:pPr>
        <w:pStyle w:val="ListParagraph"/>
        <w:numPr>
          <w:ilvl w:val="0"/>
          <w:numId w:val="7"/>
        </w:numPr>
        <w:rPr/>
      </w:pPr>
      <w:r>
        <w:rPr/>
        <w:t>Mise en évidence d’anomalies électriques dans les territoires cliniquement atteints</w:t>
      </w:r>
    </w:p>
    <w:p>
      <w:pPr>
        <w:pStyle w:val="ListParagraph"/>
        <w:numPr>
          <w:ilvl w:val="0"/>
          <w:numId w:val="7"/>
        </w:numPr>
        <w:rPr/>
      </w:pPr>
      <w:r>
        <w:rPr/>
        <w:t xml:space="preserve">Potentiels d’unités motrices de </w:t>
      </w:r>
      <w:r>
        <w:rPr>
          <w:b/>
          <w:bCs/>
        </w:rPr>
        <w:t>faible</w:t>
      </w:r>
      <w:r>
        <w:rPr/>
        <w:t xml:space="preserve"> </w:t>
      </w:r>
      <w:r>
        <w:rPr>
          <w:b/>
          <w:bCs/>
        </w:rPr>
        <w:t>amplitude</w:t>
      </w:r>
      <w:r>
        <w:rPr/>
        <w:t>,</w:t>
      </w:r>
      <w:r>
        <w:rPr>
          <w:b/>
          <w:bCs/>
        </w:rPr>
        <w:t>nombreux</w:t>
      </w:r>
      <w:r>
        <w:rPr/>
        <w:t xml:space="preserve">, </w:t>
      </w:r>
      <w:r>
        <w:rPr>
          <w:b/>
          <w:bCs/>
        </w:rPr>
        <w:t>brefs</w:t>
      </w:r>
      <w:r>
        <w:rPr/>
        <w:t xml:space="preserve"> et </w:t>
      </w:r>
      <w:r>
        <w:rPr>
          <w:b/>
          <w:bCs/>
        </w:rPr>
        <w:t>polyphasiques</w:t>
      </w:r>
      <w:r>
        <w:rPr/>
        <w:t xml:space="preserve"> associés à des potentiels de </w:t>
      </w:r>
      <w:r>
        <w:rPr>
          <w:b/>
          <w:bCs/>
          <w:color w:val="FF0000"/>
        </w:rPr>
        <w:t xml:space="preserve">fibrillation </w:t>
      </w:r>
      <w:r>
        <w:rPr/>
        <w:t>(recrutement spatial)</w:t>
      </w:r>
    </w:p>
    <w:p>
      <w:pPr>
        <w:pStyle w:val="Normal"/>
        <w:rPr/>
      </w:pPr>
      <w:r>
        <w:rPr>
          <w:b/>
          <w:bCs/>
        </w:rPr>
        <w:t>AUTRES:</w:t>
      </w:r>
    </w:p>
    <w:p>
      <w:pPr>
        <w:pStyle w:val="ListParagraph"/>
        <w:numPr>
          <w:ilvl w:val="0"/>
          <w:numId w:val="5"/>
        </w:numPr>
        <w:rPr/>
      </w:pPr>
      <w:r>
        <w:rPr/>
        <w:t>ECG: anomalies du sgt ST, troubles de la conduction AV</w:t>
      </w:r>
    </w:p>
    <w:p>
      <w:pPr>
        <w:pStyle w:val="ListParagraph"/>
        <w:numPr>
          <w:ilvl w:val="0"/>
          <w:numId w:val="5"/>
        </w:numPr>
        <w:rPr/>
      </w:pPr>
      <w:r>
        <w:rPr/>
        <w:t>Echocardio: valvulopathie, cardiomyopathie dilatée, péricardite rare.</w:t>
      </w:r>
    </w:p>
    <w:p>
      <w:pPr>
        <w:pStyle w:val="ListParagraph"/>
        <w:numPr>
          <w:ilvl w:val="0"/>
          <w:numId w:val="5"/>
        </w:numPr>
        <w:rPr/>
      </w:pPr>
      <w:r>
        <w:rPr/>
        <w:t xml:space="preserve">RX Thorax: syndrome interstitiel 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>TDM musculaire</w:t>
      </w:r>
      <w:r>
        <w:rPr/>
        <w:t>: disparition de la structure normale, remplacement des masses musculaires par des dépots graisseux.</w:t>
      </w:r>
    </w:p>
    <w:p>
      <w:pPr>
        <w:pStyle w:val="ListParagraph"/>
        <w:numPr>
          <w:ilvl w:val="0"/>
          <w:numId w:val="5"/>
        </w:numPr>
        <w:rPr/>
      </w:pPr>
      <w:r>
        <w:rPr>
          <w:b/>
          <w:bCs/>
        </w:rPr>
        <w:t xml:space="preserve">IRM avec inj de gado </w:t>
      </w:r>
      <w:r>
        <w:rPr/>
        <w:t xml:space="preserve">: permet de localiser les territoires inflamm </w:t>
      </w:r>
    </w:p>
    <w:p>
      <w:pPr>
        <w:pStyle w:val="Normal"/>
        <w:rPr>
          <w:u w:val="single"/>
        </w:rPr>
      </w:pPr>
      <w:r>
        <w:rPr>
          <w:u w:val="single"/>
        </w:rPr>
        <w:t>ANATOMIE-PATHOLOGIQUE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La biopsie musculaire confirme le dgc de PM ou DM, doit intéresser les muscles proximaux </w:t>
      </w:r>
      <w:r>
        <w:rPr>
          <w:b/>
          <w:bCs/>
        </w:rPr>
        <w:t>cliniquement atteints</w:t>
      </w:r>
      <w:r>
        <w:rPr/>
        <w:t xml:space="preserve">. permet de classer la myosite ds le groupe des myopathies inflamm et </w:t>
      </w:r>
      <w:r>
        <w:rPr>
          <w:b/>
          <w:bCs/>
        </w:rPr>
        <w:t>d’éliminer</w:t>
      </w:r>
      <w:r>
        <w:rPr/>
        <w:t xml:space="preserve"> les autres dgcs.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En cas de PM: lésions </w:t>
      </w:r>
      <w:r>
        <w:rPr>
          <w:b/>
          <w:bCs/>
        </w:rPr>
        <w:t>endomysiales</w:t>
      </w:r>
      <w:r>
        <w:rPr/>
        <w:t>, nécrose, régénération, infiltrats lymph CD8 périmyocytaires, infiltrat macrophagique  (</w:t>
      </w:r>
      <w:r>
        <w:rPr>
          <w:b/>
          <w:bCs/>
        </w:rPr>
        <w:t xml:space="preserve">Immunité cellulaire </w:t>
      </w:r>
      <w:r>
        <w:rPr/>
        <w:t>cytotoxique dirigée contre le myocyte).</w:t>
      </w:r>
    </w:p>
    <w:p>
      <w:pPr>
        <w:pStyle w:val="ListParagraph"/>
        <w:numPr>
          <w:ilvl w:val="0"/>
          <w:numId w:val="9"/>
        </w:numPr>
        <w:rPr/>
      </w:pPr>
      <w:r>
        <w:rPr/>
        <w:t xml:space="preserve">En cas de DM: Lésions </w:t>
      </w:r>
      <w:r>
        <w:rPr>
          <w:b/>
          <w:bCs/>
        </w:rPr>
        <w:t>périmysiales</w:t>
      </w:r>
      <w:r>
        <w:rPr/>
        <w:t xml:space="preserve">; nécrose, régénération; atrophie péri-fasciculaire, infiltrats péri-vasc par les LB, T CD4 et MPH, micro-angiopathie(Immunité </w:t>
      </w:r>
      <w:r>
        <w:rPr>
          <w:b/>
          <w:bCs/>
        </w:rPr>
        <w:t>humorale</w:t>
      </w:r>
      <w:r>
        <w:rPr/>
        <w:t xml:space="preserve"> contre les capillaires : ischémie myocytaite)</w:t>
      </w:r>
    </w:p>
    <w:p>
      <w:pPr>
        <w:pStyle w:val="Normal"/>
        <w:rPr>
          <w:u w:val="single"/>
        </w:rPr>
      </w:pPr>
      <w:r>
        <w:rPr>
          <w:u w:val="single"/>
        </w:rPr>
        <w:t>DIAGNOSTIC DIFFERENTIEL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Myosite à inclusions Myosite granulomateuse: sarcoidose, Maladie de Crohn </w:t>
      </w:r>
    </w:p>
    <w:p>
      <w:pPr>
        <w:pStyle w:val="ListParagraph"/>
        <w:numPr>
          <w:ilvl w:val="0"/>
          <w:numId w:val="10"/>
        </w:numPr>
        <w:rPr/>
      </w:pPr>
      <w:r>
        <w:rPr/>
        <w:t>Myosite au cours des connectivites: LES, Syndrome de GS et sclérodermie</w:t>
      </w:r>
    </w:p>
    <w:p>
      <w:pPr>
        <w:pStyle w:val="ListParagraph"/>
        <w:numPr>
          <w:ilvl w:val="0"/>
          <w:numId w:val="10"/>
        </w:numPr>
        <w:rPr/>
      </w:pPr>
      <w:r>
        <w:rPr/>
        <w:t xml:space="preserve">Myosite iatrogène: hypocholésterolémiants, colchicine, zidoruvine </w:t>
      </w:r>
    </w:p>
    <w:p>
      <w:pPr>
        <w:pStyle w:val="ListParagraph"/>
        <w:numPr>
          <w:ilvl w:val="0"/>
          <w:numId w:val="10"/>
        </w:numPr>
        <w:rPr/>
      </w:pPr>
      <w:r>
        <w:rPr/>
        <w:t>Myopathie post cortisonique: Tx de CPK normal, pas d’infiltrat ou de nécrose</w:t>
      </w:r>
    </w:p>
    <w:p>
      <w:pPr>
        <w:pStyle w:val="ListParagraph"/>
        <w:numPr>
          <w:ilvl w:val="0"/>
          <w:numId w:val="10"/>
        </w:numPr>
        <w:rPr/>
      </w:pPr>
      <w:r>
        <w:rPr/>
        <w:t>Dystrophies musculaires héréditaires ( myopathie de Duchenne)</w:t>
      </w:r>
    </w:p>
    <w:p>
      <w:pPr>
        <w:pStyle w:val="ListParagraph"/>
        <w:numPr>
          <w:ilvl w:val="0"/>
          <w:numId w:val="10"/>
        </w:numPr>
        <w:rPr/>
      </w:pPr>
      <w:r>
        <w:rPr/>
        <w:t>Myasthénie  Myopathie thyroïdienne.</w:t>
      </w:r>
    </w:p>
    <w:tbl>
      <w:tblPr>
        <w:tblStyle w:val="Grilledutableau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06"/>
      </w:tblGrid>
      <w:tr>
        <w:trPr/>
        <w:tc>
          <w:tcPr>
            <w:tcW w:w="10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Toute myosite chez&gt; 40ans impose un bilan carcinologique répété par : rx du thorax, fibroscopie surtout si dysphagie,colonoscopie et echo endovaginal, PSA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>
          <w:u w:val="single"/>
        </w:rPr>
      </w:pPr>
      <w:r>
        <w:rPr>
          <w:u w:val="single"/>
        </w:rPr>
        <w:t>FACTEURS PRONOSTIQUES</w:t>
      </w:r>
    </w:p>
    <w:p>
      <w:pPr>
        <w:pStyle w:val="ListParagraph"/>
        <w:numPr>
          <w:ilvl w:val="0"/>
          <w:numId w:val="11"/>
        </w:numPr>
        <w:rPr/>
      </w:pPr>
      <w:r>
        <w:rPr/>
        <w:t>Pathologie tumorale associée</w:t>
      </w:r>
    </w:p>
    <w:p>
      <w:pPr>
        <w:pStyle w:val="ListParagraph"/>
        <w:numPr>
          <w:ilvl w:val="0"/>
          <w:numId w:val="11"/>
        </w:numPr>
        <w:rPr/>
      </w:pPr>
      <w:r>
        <w:rPr/>
        <w:t>Age élevé</w:t>
      </w:r>
    </w:p>
    <w:p>
      <w:pPr>
        <w:pStyle w:val="ListParagraph"/>
        <w:numPr>
          <w:ilvl w:val="0"/>
          <w:numId w:val="11"/>
        </w:numPr>
        <w:rPr/>
      </w:pPr>
      <w:r>
        <w:rPr/>
        <w:t>Race noire</w:t>
      </w:r>
    </w:p>
    <w:p>
      <w:pPr>
        <w:pStyle w:val="ListParagraph"/>
        <w:numPr>
          <w:ilvl w:val="0"/>
          <w:numId w:val="11"/>
        </w:numPr>
        <w:rPr/>
      </w:pPr>
      <w:r>
        <w:rPr/>
        <w:t>Dysphagie  , Atteinte cardiaque</w:t>
      </w:r>
    </w:p>
    <w:p>
      <w:pPr>
        <w:pStyle w:val="ListParagraph"/>
        <w:numPr>
          <w:ilvl w:val="0"/>
          <w:numId w:val="11"/>
        </w:numPr>
        <w:rPr/>
      </w:pPr>
      <w:r>
        <w:rPr/>
        <w:t>Pneumopathie interstitielle</w:t>
      </w:r>
    </w:p>
    <w:p>
      <w:pPr>
        <w:pStyle w:val="ListParagraph"/>
        <w:numPr>
          <w:ilvl w:val="0"/>
          <w:numId w:val="11"/>
        </w:numPr>
        <w:rPr/>
      </w:pPr>
      <w:r>
        <w:rPr/>
        <w:t>Début brutal et très fébrile</w:t>
      </w:r>
    </w:p>
    <w:p>
      <w:pPr>
        <w:pStyle w:val="ListParagraph"/>
        <w:numPr>
          <w:ilvl w:val="0"/>
          <w:numId w:val="11"/>
        </w:numPr>
        <w:rPr/>
      </w:pPr>
      <w:r>
        <w:rPr/>
        <w:t>Ac anti-synthétase ou anti-SRP( polyarthrite déformante, pneumopathie ID, raynaud)</w:t>
      </w:r>
    </w:p>
    <w:p>
      <w:pPr>
        <w:pStyle w:val="ListParagraph"/>
        <w:numPr>
          <w:ilvl w:val="0"/>
          <w:numId w:val="11"/>
        </w:numPr>
        <w:rPr/>
      </w:pPr>
      <w:r>
        <w:rPr/>
        <w:t>Thérapeutique initiale inadéquate</w:t>
      </w:r>
    </w:p>
    <w:p>
      <w:pPr>
        <w:pStyle w:val="Normal"/>
        <w:rPr>
          <w:u w:val="single"/>
        </w:rPr>
      </w:pPr>
      <w:r>
        <w:rPr>
          <w:u w:val="single"/>
        </w:rPr>
        <w:t>Prise en charge thérapeutique</w:t>
      </w:r>
    </w:p>
    <w:p>
      <w:pPr>
        <w:pStyle w:val="Normal"/>
        <w:rPr/>
      </w:pPr>
      <w:r>
        <w:rPr>
          <w:b/>
          <w:bCs/>
        </w:rPr>
        <w:t xml:space="preserve">1- Corticoides: à forte dose : Prednisone 1-2 mg/kg/jr maintenue pdt 4- 6 semaines </w:t>
      </w:r>
      <w:r>
        <w:rPr/>
        <w:t>(régression des signes cliniques et normalisation des enz musculaires).  dégression lente: 10% de la dose initiale tous les 15jours jusqu’ à la dose minimale efficace maintenue plusieurs mois.</w:t>
      </w:r>
    </w:p>
    <w:p>
      <w:pPr>
        <w:pStyle w:val="Normal"/>
        <w:rPr/>
      </w:pPr>
      <w:r>
        <w:rPr/>
        <w:t>TRT adjuvants : mesures hygiéno-diététiques et suppl vit D/Ca voire prescription de bisphosphonates.</w:t>
      </w:r>
    </w:p>
    <w:p>
      <w:pPr>
        <w:pStyle w:val="Normal"/>
        <w:rPr/>
      </w:pPr>
      <w:r>
        <w:rPr>
          <w:b/>
          <w:bCs/>
        </w:rPr>
        <w:t>2-Immunosuppresseurs : si cortico-résistance ou dépendance:</w:t>
      </w:r>
      <w:r>
        <w:rPr/>
        <w:t xml:space="preserve"> Azathioprine, méthotrexate: si att articulaire Cyclophosphamide: en cas de pneumopathie inertstitielle.</w:t>
      </w:r>
    </w:p>
    <w:p>
      <w:pPr>
        <w:pStyle w:val="Normal"/>
        <w:rPr/>
      </w:pPr>
      <w:r>
        <w:rPr/>
        <w:t>3-</w:t>
      </w:r>
      <w:r>
        <w:rPr>
          <w:b/>
          <w:bCs/>
        </w:rPr>
        <w:t>biothérapie</w:t>
      </w:r>
      <w:r>
        <w:rPr/>
        <w:t xml:space="preserve"> : si échec aux immunosuppresseurs, sd des anti-synthétase</w:t>
      </w:r>
    </w:p>
    <w:p>
      <w:pPr>
        <w:pStyle w:val="ListParagraph"/>
        <w:ind w:left="360"/>
        <w:rPr/>
      </w:pPr>
      <w:r>
        <w:rPr/>
      </w:r>
    </w:p>
    <w:tbl>
      <w:tblPr>
        <w:tblStyle w:val="Grilledutableau"/>
        <w:tblW w:w="10322" w:type="dxa"/>
        <w:jc w:val="left"/>
        <w:tblInd w:w="36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169"/>
        <w:gridCol w:w="5152"/>
      </w:tblGrid>
      <w:tr>
        <w:trPr>
          <w:trHeight w:val="602" w:hRule="atLeast"/>
        </w:trPr>
        <w:tc>
          <w:tcPr>
            <w:tcW w:w="516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Dermatomyosite</w:t>
            </w:r>
          </w:p>
        </w:tc>
        <w:tc>
          <w:tcPr>
            <w:tcW w:w="515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sz w:val="24"/>
                <w:szCs w:val="24"/>
              </w:rPr>
            </w:pPr>
            <w:r>
              <w:rPr>
                <w:rFonts w:eastAsia="Calibri" w:cs="Arial"/>
                <w:kern w:val="0"/>
                <w:sz w:val="24"/>
                <w:szCs w:val="24"/>
                <w:lang w:val="fr-FR" w:eastAsia="en-US" w:bidi="ar-SA"/>
              </w:rPr>
              <w:t>polymyosite</w:t>
            </w:r>
          </w:p>
        </w:tc>
      </w:tr>
      <w:tr>
        <w:trPr/>
        <w:tc>
          <w:tcPr>
            <w:tcW w:w="10321" w:type="dxa"/>
            <w:gridSpan w:val="2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Musculature proximal, bilatéral, symétrique, non sélective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Accompagne un cancer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center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  <w:tr>
        <w:trPr/>
        <w:tc>
          <w:tcPr>
            <w:tcW w:w="5169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Adulte, enfant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Atteinte cutané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Pas d’infection viral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Immunité humoral donnant microangiopathie avec nécrose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lésions périmysiale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  <w:tc>
          <w:tcPr>
            <w:tcW w:w="5152" w:type="dxa"/>
            <w:tcBorders/>
          </w:tcPr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Adulte+++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Pas d’atteinte cutanée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Associée à une infection viral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Immunité cellulaire,pas de microangiopathie</w:t>
            </w:r>
          </w:p>
          <w:p>
            <w:pPr>
              <w:pStyle w:val="ListParagraph"/>
              <w:widowControl/>
              <w:spacing w:lineRule="auto" w:line="240" w:before="0" w:after="0"/>
              <w:ind w:left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lésion endomysiale</w:t>
            </w:r>
          </w:p>
        </w:tc>
      </w:tr>
    </w:tbl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Cs/>
        </w:rPr>
      </w:pPr>
      <w:r>
        <w:rPr>
          <w:b/>
          <w:bCs/>
        </w:rPr>
      </w:r>
    </w:p>
    <w:p>
      <w:pPr>
        <w:pStyle w:val="Normal"/>
        <w:ind w:left="360"/>
        <w:rPr/>
      </w:pPr>
      <w:r>
        <w:rPr>
          <w:b/>
          <w:bCs/>
        </w:rPr>
        <w:t xml:space="preserve">                                                               </w:t>
      </w:r>
      <w:r>
        <w:rPr>
          <w:b/>
          <w:bCs/>
        </w:rPr>
        <w:t>SYNDROME DE SJOGREN</w:t>
      </w:r>
    </w:p>
    <w:p>
      <w:pPr>
        <w:pStyle w:val="ListParagraph"/>
        <w:numPr>
          <w:ilvl w:val="0"/>
          <w:numId w:val="14"/>
        </w:numPr>
        <w:rPr/>
      </w:pPr>
      <w:r>
        <w:rPr/>
        <w:t>MAI systémique caractérisée par l’association d’une atteinte des glandes salivaires exocrines (salivaires et lacrymales+++) et une atteinte systémique( articulaires, neurologiques…)</w:t>
      </w:r>
    </w:p>
    <w:p>
      <w:pPr>
        <w:pStyle w:val="ListParagraph"/>
        <w:numPr>
          <w:ilvl w:val="0"/>
          <w:numId w:val="14"/>
        </w:numPr>
        <w:rPr/>
      </w:pPr>
      <w:r>
        <w:rPr/>
        <w:t>Il ya 2 type : primaire ou secondaire à une autre M systémique(les manifestations du sd GSJ sont au second plan)</w:t>
      </w:r>
    </w:p>
    <w:p>
      <w:pPr>
        <w:pStyle w:val="ListParagraph"/>
        <w:numPr>
          <w:ilvl w:val="0"/>
          <w:numId w:val="14"/>
        </w:numPr>
        <w:rPr/>
      </w:pPr>
      <w:r>
        <w:rPr/>
        <w:t xml:space="preserve">Le signe caractéristique est le syndrome sec:  </w:t>
      </w:r>
      <w:r>
        <w:rPr>
          <w:b/>
          <w:bCs/>
        </w:rPr>
        <w:t>Xérostomie</w:t>
      </w:r>
      <w:r>
        <w:rPr/>
        <w:t xml:space="preserve">  -  </w:t>
      </w:r>
      <w:r>
        <w:rPr>
          <w:b/>
          <w:bCs/>
        </w:rPr>
        <w:t xml:space="preserve">Xérophtalmie </w:t>
      </w:r>
    </w:p>
    <w:p>
      <w:pPr>
        <w:pStyle w:val="ListParagraph"/>
        <w:numPr>
          <w:ilvl w:val="0"/>
          <w:numId w:val="14"/>
        </w:numPr>
        <w:rPr/>
      </w:pPr>
      <w:r>
        <w:rPr>
          <w:b/>
          <w:bCs/>
        </w:rPr>
        <w:t xml:space="preserve">Epithélite auto immune </w:t>
      </w:r>
      <w:r>
        <w:rPr/>
        <w:t>non spécifique d’organe (atteinte préférentielle des glandes exocrines)</w:t>
      </w:r>
    </w:p>
    <w:p>
      <w:pPr>
        <w:pStyle w:val="ListParagraph"/>
        <w:numPr>
          <w:ilvl w:val="0"/>
          <w:numId w:val="14"/>
        </w:numPr>
        <w:rPr/>
      </w:pPr>
      <w:r>
        <w:rPr/>
        <w:t>Maladie poly factorielle</w:t>
      </w:r>
    </w:p>
    <w:p>
      <w:pPr>
        <w:pStyle w:val="Normal"/>
        <w:rPr>
          <w:b/>
          <w:bCs/>
        </w:rPr>
      </w:pPr>
      <w:r>
        <w:rPr>
          <w:b/>
          <w:bCs/>
          <w:u w:val="single"/>
        </w:rPr>
        <w:t>Terrain</w:t>
      </w:r>
      <w:r>
        <w:rPr>
          <w:b/>
          <w:bCs/>
        </w:rPr>
        <w:t> : femme ds 90% des cas , age 40-50ans</w:t>
      </w:r>
    </w:p>
    <w:p>
      <w:pPr>
        <w:pStyle w:val="ListParagraph"/>
        <w:numPr>
          <w:ilvl w:val="0"/>
          <w:numId w:val="15"/>
        </w:numPr>
        <w:rPr/>
      </w:pPr>
      <w:r>
        <w:rPr/>
        <w:t xml:space="preserve">Risque de </w:t>
      </w:r>
      <w:r>
        <w:rPr>
          <w:b/>
          <w:bCs/>
          <w:color w:val="FF0000"/>
        </w:rPr>
        <w:t>lymphome</w:t>
      </w:r>
      <w:r>
        <w:rPr/>
        <w:t xml:space="preserve"> important (</w:t>
      </w:r>
      <w:r>
        <w:rPr>
          <w:b/>
          <w:bCs/>
          <w:color w:val="FF0000"/>
        </w:rPr>
        <w:t>multiplie</w:t>
      </w:r>
      <w:r>
        <w:rPr/>
        <w:t xml:space="preserve"> par </w:t>
      </w:r>
      <w:r>
        <w:rPr>
          <w:b/>
          <w:bCs/>
          <w:color w:val="FF0000"/>
        </w:rPr>
        <w:t>40</w:t>
      </w:r>
      <w:r>
        <w:rPr/>
        <w:t>)</w:t>
      </w:r>
    </w:p>
    <w:p>
      <w:pPr>
        <w:pStyle w:val="ListParagraph"/>
        <w:numPr>
          <w:ilvl w:val="0"/>
          <w:numId w:val="15"/>
        </w:numPr>
        <w:rPr/>
      </w:pPr>
      <w:r>
        <w:rPr/>
        <w:t>La présentation clinique variable : svt le sd sec au 1</w:t>
      </w:r>
      <w:r>
        <w:rPr>
          <w:vertAlign w:val="superscript"/>
        </w:rPr>
        <w:t>er</w:t>
      </w:r>
      <w:r>
        <w:rPr/>
        <w:t xml:space="preserve"> plan parfois manifestations articulaire</w:t>
      </w:r>
    </w:p>
    <w:p>
      <w:pPr>
        <w:pStyle w:val="Normal"/>
        <w:rPr/>
      </w:pPr>
      <w:r>
        <w:rPr>
          <w:b/>
          <w:bCs/>
          <w:u w:val="single"/>
        </w:rPr>
        <w:t>Physiopathologie</w:t>
      </w:r>
      <w:r>
        <w:rPr/>
        <w:t> :</w:t>
      </w:r>
    </w:p>
    <w:p>
      <w:pPr>
        <w:pStyle w:val="Normal"/>
        <w:rPr/>
      </w:pPr>
      <w:r>
        <w:rPr/>
        <w:t>Production d’auto AC anti Ag nucléaire soluble et infiltrat inflammatoire ds les glandes exocrines</w:t>
      </w:r>
    </w:p>
    <w:p>
      <w:pPr>
        <w:pStyle w:val="Normal"/>
        <w:rPr/>
      </w:pPr>
      <w:r>
        <w:rPr>
          <w:b/>
          <w:bCs/>
          <w:u w:val="single"/>
        </w:rPr>
        <w:t>Clinique</w:t>
      </w:r>
      <w:r>
        <w:rPr/>
        <w:t> :</w:t>
      </w:r>
    </w:p>
    <w:p>
      <w:pPr>
        <w:pStyle w:val="Normal"/>
        <w:rPr/>
      </w:pPr>
      <w:r>
        <w:rPr>
          <w:b/>
          <w:bCs/>
        </w:rPr>
        <w:t>Signes généraux</w:t>
      </w:r>
      <w:r>
        <w:rPr/>
        <w:t>: Asthénie++++ état depressif</w:t>
      </w:r>
    </w:p>
    <w:p>
      <w:pPr>
        <w:pStyle w:val="Normal"/>
        <w:rPr/>
      </w:pPr>
      <w:r>
        <w:rPr>
          <w:b/>
          <w:bCs/>
        </w:rPr>
        <w:t>Syndrome sec</w:t>
      </w:r>
      <w:r>
        <w:rPr/>
        <w:t>: 50%</w:t>
      </w:r>
    </w:p>
    <w:p>
      <w:pPr>
        <w:pStyle w:val="ListParagraph"/>
        <w:numPr>
          <w:ilvl w:val="0"/>
          <w:numId w:val="16"/>
        </w:numPr>
        <w:rPr/>
      </w:pPr>
      <w:r>
        <w:rPr/>
        <w:t>Oculaire: sensation de sable dans les yeux, flou visuel ou voile, douleur oculaire type brulure, kérato-conjonctivite sèche</w:t>
      </w:r>
    </w:p>
    <w:p>
      <w:pPr>
        <w:pStyle w:val="ListParagraph"/>
        <w:numPr>
          <w:ilvl w:val="0"/>
          <w:numId w:val="16"/>
        </w:numPr>
        <w:rPr/>
      </w:pPr>
      <w:r>
        <w:rPr/>
        <w:t>Buccale: hyposialie ,chéilite, dysphagie, agueusie, caries dentaires, difficulté à mastiquer les aliments secs.</w:t>
      </w:r>
    </w:p>
    <w:p>
      <w:pPr>
        <w:pStyle w:val="ListParagraph"/>
        <w:numPr>
          <w:ilvl w:val="0"/>
          <w:numId w:val="16"/>
        </w:numPr>
        <w:rPr/>
      </w:pPr>
      <w:r>
        <w:rPr/>
        <w:t>Sécheresse vaginal (dysparenie) des bronches( toux séche, asthme..)</w:t>
      </w:r>
    </w:p>
    <w:p>
      <w:pPr>
        <w:pStyle w:val="ListParagraph"/>
        <w:numPr>
          <w:ilvl w:val="0"/>
          <w:numId w:val="16"/>
        </w:numPr>
        <w:rPr/>
      </w:pPr>
      <w:r>
        <w:rPr/>
        <w:t>Hypertrophie des glandes parotides: si SS primitif</w:t>
      </w:r>
    </w:p>
    <w:p>
      <w:pPr>
        <w:pStyle w:val="ListParagraph"/>
        <w:numPr>
          <w:ilvl w:val="0"/>
          <w:numId w:val="16"/>
        </w:numPr>
        <w:rPr/>
      </w:pPr>
      <w:r>
        <w:rPr/>
        <w:t>Infections à répitition</w:t>
      </w:r>
    </w:p>
    <w:p>
      <w:pPr>
        <w:pStyle w:val="Normal"/>
        <w:rPr/>
      </w:pPr>
      <w:r>
        <w:rPr>
          <w:b/>
          <w:bCs/>
        </w:rPr>
        <w:t>Signes rhumatologiques</w:t>
      </w:r>
      <w:r>
        <w:rPr/>
        <w:t xml:space="preserve">:  Polyarthralgies inflammatoires, bilatérale et symétrique  </w:t>
      </w:r>
      <w:r>
        <w:rPr>
          <w:b/>
          <w:bCs/>
        </w:rPr>
        <w:t>non érosif</w:t>
      </w:r>
    </w:p>
    <w:tbl>
      <w:tblPr>
        <w:tblStyle w:val="Grilledutableau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06"/>
      </w:tblGrid>
      <w:tr>
        <w:trPr/>
        <w:tc>
          <w:tcPr>
            <w:tcW w:w="10606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La présentation la plus  fréquente est l’association:Asthénie, arthralgies et syndrome sec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>Manifestations systémiques</w:t>
      </w:r>
      <w:r>
        <w:rPr/>
        <w:t xml:space="preserve"> </w:t>
      </w:r>
    </w:p>
    <w:p>
      <w:pPr>
        <w:pStyle w:val="ListParagraph"/>
        <w:numPr>
          <w:ilvl w:val="0"/>
          <w:numId w:val="17"/>
        </w:numPr>
        <w:rPr/>
      </w:pPr>
      <w:r>
        <w:rPr/>
        <w:t>Neuropathies périphériques sensitives ou sensitivo motrice</w:t>
      </w:r>
    </w:p>
    <w:p>
      <w:pPr>
        <w:pStyle w:val="ListParagraph"/>
        <w:numPr>
          <w:ilvl w:val="0"/>
          <w:numId w:val="17"/>
        </w:numPr>
        <w:rPr/>
      </w:pPr>
      <w:r>
        <w:rPr/>
        <w:t>Neuro gougerot central : encéphalopathie démyélinisante</w:t>
      </w:r>
    </w:p>
    <w:p>
      <w:pPr>
        <w:pStyle w:val="ListParagraph"/>
        <w:numPr>
          <w:ilvl w:val="0"/>
          <w:numId w:val="17"/>
        </w:numPr>
        <w:rPr/>
      </w:pPr>
      <w:r>
        <w:rPr/>
        <w:t>Adénopathie, splénomégalie</w:t>
      </w:r>
    </w:p>
    <w:p>
      <w:pPr>
        <w:pStyle w:val="ListParagraph"/>
        <w:numPr>
          <w:ilvl w:val="0"/>
          <w:numId w:val="17"/>
        </w:numPr>
        <w:rPr/>
      </w:pPr>
      <w:r>
        <w:rPr/>
        <w:t>Pneumopathie interstitielle</w:t>
      </w:r>
    </w:p>
    <w:p>
      <w:pPr>
        <w:pStyle w:val="ListParagraph"/>
        <w:numPr>
          <w:ilvl w:val="0"/>
          <w:numId w:val="17"/>
        </w:numPr>
        <w:rPr/>
      </w:pPr>
      <w:r>
        <w:rPr/>
        <w:t>Syndrome de raynaud (vascularite systémique grave)</w:t>
      </w:r>
    </w:p>
    <w:p>
      <w:pPr>
        <w:pStyle w:val="ListParagraph"/>
        <w:numPr>
          <w:ilvl w:val="0"/>
          <w:numId w:val="17"/>
        </w:numPr>
        <w:rPr/>
      </w:pPr>
      <w:r>
        <w:rPr/>
        <w:t>Purpura des membres inférieurs</w:t>
      </w:r>
    </w:p>
    <w:p>
      <w:pPr>
        <w:pStyle w:val="ListParagraph"/>
        <w:numPr>
          <w:ilvl w:val="0"/>
          <w:numId w:val="17"/>
        </w:numPr>
        <w:rPr/>
      </w:pPr>
      <w:r>
        <w:rPr/>
        <w:t>Néphropathie tubulo  interstitielle avec acidose tubulaire distal et hypok+</w:t>
      </w:r>
    </w:p>
    <w:p>
      <w:pPr>
        <w:pStyle w:val="Normal"/>
        <w:rPr/>
      </w:pPr>
      <w:r>
        <w:rPr/>
        <w:t>Diagnostic paraclinique :</w:t>
      </w:r>
    </w:p>
    <w:p>
      <w:pPr>
        <w:pStyle w:val="ListParagraph"/>
        <w:numPr>
          <w:ilvl w:val="0"/>
          <w:numId w:val="31"/>
        </w:numPr>
        <w:rPr/>
      </w:pPr>
      <w:r>
        <w:rPr/>
        <w:t>test de scheimer : positif si &lt;5mm après 5mn</w:t>
      </w:r>
    </w:p>
    <w:p>
      <w:pPr>
        <w:pStyle w:val="ListParagraph"/>
        <w:numPr>
          <w:ilvl w:val="0"/>
          <w:numId w:val="31"/>
        </w:numPr>
        <w:rPr/>
      </w:pPr>
      <w:r>
        <w:rPr/>
        <w:t>Break up test : positif si film lacrymal rompu après &lt;5s au test de fluoresciene</w:t>
      </w:r>
    </w:p>
    <w:p>
      <w:pPr>
        <w:pStyle w:val="ListParagraph"/>
        <w:numPr>
          <w:ilvl w:val="0"/>
          <w:numId w:val="31"/>
        </w:numPr>
        <w:rPr/>
      </w:pPr>
      <w:r>
        <w:rPr/>
        <w:t>Sialogramme pathologique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BIOLOGIE</w:t>
      </w:r>
    </w:p>
    <w:p>
      <w:pPr>
        <w:pStyle w:val="ListParagraph"/>
        <w:numPr>
          <w:ilvl w:val="0"/>
          <w:numId w:val="18"/>
        </w:numPr>
        <w:rPr/>
      </w:pPr>
      <w:r>
        <w:rPr>
          <w:b/>
          <w:bCs/>
        </w:rPr>
        <w:t>Hypergammaglobulinémie polyclonale</w:t>
      </w:r>
      <w:r>
        <w:rPr/>
        <w:t xml:space="preserve"> 80% des cas, cryoglobulinémie ds 20% des cas</w:t>
      </w:r>
    </w:p>
    <w:p>
      <w:pPr>
        <w:pStyle w:val="ListParagraph"/>
        <w:numPr>
          <w:ilvl w:val="0"/>
          <w:numId w:val="18"/>
        </w:numPr>
        <w:rPr/>
      </w:pPr>
      <w:r>
        <w:rPr/>
        <w:t>élévation de la VS, CRP normal</w:t>
      </w:r>
    </w:p>
    <w:p>
      <w:pPr>
        <w:pStyle w:val="ListParagraph"/>
        <w:numPr>
          <w:ilvl w:val="0"/>
          <w:numId w:val="18"/>
        </w:numPr>
        <w:rPr/>
      </w:pPr>
      <w:r>
        <w:rPr/>
        <w:t>Thrombopénie, lymphopénie, neutropénie</w:t>
      </w:r>
    </w:p>
    <w:p>
      <w:pPr>
        <w:pStyle w:val="Normal"/>
        <w:rPr>
          <w:b/>
          <w:bCs/>
          <w:u w:val="single"/>
        </w:rPr>
      </w:pPr>
      <w:r>
        <w:rPr>
          <w:b/>
          <w:bCs/>
          <w:u w:val="single"/>
        </w:rPr>
        <w:t>Anticorps:</w:t>
      </w:r>
    </w:p>
    <w:p>
      <w:pPr>
        <w:pStyle w:val="ListParagraph"/>
        <w:numPr>
          <w:ilvl w:val="0"/>
          <w:numId w:val="20"/>
        </w:numPr>
        <w:rPr/>
      </w:pPr>
      <w:r>
        <w:rPr/>
        <w:t>Facteurs rhumatoïde (parfois à titre élevé) ds  75% des cas</w:t>
      </w:r>
    </w:p>
    <w:p>
      <w:pPr>
        <w:pStyle w:val="ListParagraph"/>
        <w:numPr>
          <w:ilvl w:val="0"/>
          <w:numId w:val="20"/>
        </w:numPr>
        <w:rPr/>
      </w:pPr>
      <w:r>
        <w:rPr/>
        <w:t>ACAN (</w:t>
      </w:r>
      <w:r>
        <w:rPr>
          <w:b/>
          <w:bCs/>
        </w:rPr>
        <w:t>FAN</w:t>
      </w:r>
      <w:r>
        <w:rPr/>
        <w:t xml:space="preserve">) rechercher par immunofluorescence </w:t>
      </w:r>
      <w:r>
        <w:rPr>
          <w:b/>
          <w:bCs/>
        </w:rPr>
        <w:t>d’aspect</w:t>
      </w:r>
      <w:r>
        <w:rPr/>
        <w:t xml:space="preserve"> </w:t>
      </w:r>
      <w:r>
        <w:rPr>
          <w:b/>
          <w:bCs/>
        </w:rPr>
        <w:t>moucheté</w:t>
      </w:r>
      <w:r>
        <w:rPr/>
        <w:t xml:space="preserve"> si (+) en recherche : anti SSA, SSB  (ne sont pas spécifique car retrouvé ds LED et infection viral)</w:t>
      </w:r>
    </w:p>
    <w:p>
      <w:pPr>
        <w:pStyle w:val="ListParagraph"/>
        <w:numPr>
          <w:ilvl w:val="0"/>
          <w:numId w:val="20"/>
        </w:numPr>
        <w:rPr/>
      </w:pPr>
      <w:r>
        <w:rPr/>
        <w:t>Anti SSA evoque un SGJ primitif /// anti SSB evoque un SGJ secondaire</w:t>
      </w:r>
    </w:p>
    <w:p>
      <w:pPr>
        <w:pStyle w:val="ListParagraph"/>
        <w:numPr>
          <w:ilvl w:val="0"/>
          <w:numId w:val="20"/>
        </w:numPr>
        <w:rPr/>
      </w:pPr>
      <w:r>
        <w:rPr/>
        <w:t>Anti SSA/ SSB donne un bloc de branche congénital</w:t>
      </w:r>
    </w:p>
    <w:p>
      <w:pPr>
        <w:pStyle w:val="ListParagraph"/>
        <w:numPr>
          <w:ilvl w:val="0"/>
          <w:numId w:val="19"/>
        </w:numPr>
        <w:rPr/>
      </w:pPr>
      <w:r>
        <w:rPr/>
        <w:t>5-30% séronégative</w:t>
      </w:r>
    </w:p>
    <w:p>
      <w:pPr>
        <w:pStyle w:val="Normal"/>
        <w:rPr/>
      </w:pPr>
      <w:r>
        <w:rPr/>
        <w:t>5-HISTOLOGIE</w:t>
      </w:r>
    </w:p>
    <w:p>
      <w:pPr>
        <w:pStyle w:val="ListParagraph"/>
        <w:numPr>
          <w:ilvl w:val="0"/>
          <w:numId w:val="29"/>
        </w:numPr>
        <w:rPr/>
      </w:pPr>
      <w:r>
        <w:rPr/>
        <w:t>Biopsie des GSA: permet de quantifier l’infiltrat lympho-plasmocytaire ( organisés en amas arrondis &gt; 50 cell: Focus) mais n’est pas spécifique retrouvé aussi ds les infections viral</w:t>
      </w:r>
    </w:p>
    <w:p>
      <w:pPr>
        <w:pStyle w:val="ListParagraph"/>
        <w:numPr>
          <w:ilvl w:val="0"/>
          <w:numId w:val="29"/>
        </w:numPr>
        <w:rPr/>
      </w:pPr>
      <w:r>
        <w:rPr/>
        <w:t>3 composantes: infiltrat lympho-plasmocytaire, lésions canalaires et acineuses, fibrose</w:t>
      </w:r>
    </w:p>
    <w:p>
      <w:pPr>
        <w:pStyle w:val="ListParagraph"/>
        <w:numPr>
          <w:ilvl w:val="0"/>
          <w:numId w:val="29"/>
        </w:numPr>
        <w:rPr/>
      </w:pPr>
      <w:r>
        <w:rPr/>
        <w:t xml:space="preserve">En pratique, la classification de Schisolm est la plus utilisée. </w:t>
      </w:r>
    </w:p>
    <w:p>
      <w:pPr>
        <w:pStyle w:val="Normal"/>
        <w:rPr>
          <w:u w:val="single"/>
        </w:rPr>
      </w:pPr>
      <w:r>
        <w:rPr>
          <w:u w:val="single"/>
        </w:rPr>
        <w:t xml:space="preserve">Classification de schisolm </w:t>
      </w:r>
    </w:p>
    <w:p>
      <w:pPr>
        <w:pStyle w:val="ListParagraph"/>
        <w:numPr>
          <w:ilvl w:val="0"/>
          <w:numId w:val="21"/>
        </w:numPr>
        <w:rPr/>
      </w:pPr>
      <w:r>
        <w:rPr/>
        <w:t>Stade 0: glande normale</w:t>
      </w:r>
    </w:p>
    <w:p>
      <w:pPr>
        <w:pStyle w:val="ListParagraph"/>
        <w:numPr>
          <w:ilvl w:val="0"/>
          <w:numId w:val="21"/>
        </w:numPr>
        <w:rPr/>
      </w:pPr>
      <w:r>
        <w:rPr/>
        <w:t>Stade 1: Infiltrat léger</w:t>
      </w:r>
    </w:p>
    <w:p>
      <w:pPr>
        <w:pStyle w:val="ListParagraph"/>
        <w:numPr>
          <w:ilvl w:val="0"/>
          <w:numId w:val="21"/>
        </w:numPr>
        <w:rPr/>
      </w:pPr>
      <w:r>
        <w:rPr/>
        <w:t>Stade 2: Infiltrat moyen(&lt; 1Foyer/4mm2)</w:t>
      </w:r>
    </w:p>
    <w:p>
      <w:pPr>
        <w:pStyle w:val="ListParagraph"/>
        <w:numPr>
          <w:ilvl w:val="0"/>
          <w:numId w:val="21"/>
        </w:numPr>
        <w:rPr/>
      </w:pPr>
      <w:r>
        <w:rPr/>
        <w:t>Stade 3: (1foyer/4mm2)</w:t>
      </w:r>
    </w:p>
    <w:p>
      <w:pPr>
        <w:pStyle w:val="ListParagraph"/>
        <w:numPr>
          <w:ilvl w:val="0"/>
          <w:numId w:val="21"/>
        </w:numPr>
        <w:rPr/>
      </w:pPr>
      <w:r>
        <w:rPr/>
        <w:t>Stade 4: infiltrat dense (&gt;1foyer/4mm2)</w:t>
      </w:r>
    </w:p>
    <w:p>
      <w:pPr>
        <w:pStyle w:val="Normal"/>
        <w:rPr/>
      </w:pPr>
      <w:r>
        <w:rPr/>
        <w:t>Les stades 3 et 4 sont pathognomoniques.</w:t>
      </w:r>
    </w:p>
    <w:tbl>
      <w:tblPr>
        <w:tblStyle w:val="Grilledutableau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06"/>
      </w:tblGrid>
      <w:tr>
        <w:trPr/>
        <w:tc>
          <w:tcPr>
            <w:tcW w:w="10606" w:type="dxa"/>
            <w:tcBorders/>
          </w:tcPr>
          <w:p>
            <w:pPr>
              <w:pStyle w:val="Normal"/>
              <w:widowControl/>
              <w:spacing w:lineRule="auto" w:line="276" w:before="0" w:after="20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Les deux éléments clés pour le diagnostic sont:</w:t>
            </w:r>
          </w:p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La biopsie des glandes salivaires accessoires</w:t>
            </w:r>
          </w:p>
          <w:p>
            <w:pPr>
              <w:pStyle w:val="ListParagraph"/>
              <w:widowControl/>
              <w:numPr>
                <w:ilvl w:val="0"/>
                <w:numId w:val="22"/>
              </w:numPr>
              <w:spacing w:lineRule="auto" w:line="240" w:before="0" w:after="0"/>
              <w:contextualSpacing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Les AC anti SSA ou SSB</w:t>
            </w:r>
          </w:p>
        </w:tc>
      </w:tr>
    </w:tbl>
    <w:p>
      <w:pPr>
        <w:pStyle w:val="Normal"/>
        <w:rPr/>
      </w:pPr>
      <w:r>
        <w:rPr/>
      </w:r>
    </w:p>
    <w:p>
      <w:pPr>
        <w:pStyle w:val="ListParagraph"/>
        <w:numPr>
          <w:ilvl w:val="0"/>
          <w:numId w:val="28"/>
        </w:numPr>
        <w:rPr/>
      </w:pPr>
      <w:r>
        <w:rPr/>
        <w:t>Avant d’évoquer le dg il faut exclure : l’origine medicamenteuse, infection viral( VIH ? HCV ?)</w:t>
      </w:r>
    </w:p>
    <w:p>
      <w:pPr>
        <w:pStyle w:val="ListParagraph"/>
        <w:numPr>
          <w:ilvl w:val="0"/>
          <w:numId w:val="28"/>
        </w:numPr>
        <w:rPr>
          <w:b/>
          <w:bCs/>
        </w:rPr>
      </w:pPr>
      <w:r>
        <w:rPr/>
        <w:t xml:space="preserve">Si dg confirmer : faut exclure une gammapathie monolyclonal, cryoglobulinémie et une consommation du complément qui sont prédictif de </w:t>
      </w:r>
      <w:r>
        <w:rPr>
          <w:b/>
          <w:bCs/>
        </w:rPr>
        <w:t>lymphome</w:t>
      </w:r>
    </w:p>
    <w:tbl>
      <w:tblPr>
        <w:tblStyle w:val="Grilledutableau"/>
        <w:tblW w:w="1060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0606"/>
      </w:tblGrid>
      <w:tr>
        <w:trPr/>
        <w:tc>
          <w:tcPr>
            <w:tcW w:w="10606" w:type="dxa"/>
            <w:tcBorders/>
          </w:tcPr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  <w:t>ADP+ SPM+ dysglobu monoclonal = lymphome svt type B à point de départ viscéral ou gg</w:t>
            </w:r>
          </w:p>
          <w:p>
            <w:pPr>
              <w:pStyle w:val="Normal"/>
              <w:widowControl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fr-FR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fr-FR" w:eastAsia="en-US" w:bidi="ar-SA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  <w:t>DIAGNOSTIC DIFFERENTIEL</w:t>
      </w:r>
    </w:p>
    <w:p>
      <w:pPr>
        <w:pStyle w:val="ListParagraph"/>
        <w:numPr>
          <w:ilvl w:val="0"/>
          <w:numId w:val="23"/>
        </w:numPr>
        <w:rPr/>
      </w:pPr>
      <w:r>
        <w:rPr/>
        <w:t>Sécheresse sénile</w:t>
      </w:r>
    </w:p>
    <w:p>
      <w:pPr>
        <w:pStyle w:val="ListParagraph"/>
        <w:numPr>
          <w:ilvl w:val="0"/>
          <w:numId w:val="23"/>
        </w:numPr>
        <w:rPr/>
      </w:pPr>
      <w:r>
        <w:rPr/>
        <w:t>Prise médicamenteuse: neuroleptiques, anti-cholinergiques, anti-histaminiques, B-bloquants, diurétiques</w:t>
      </w:r>
    </w:p>
    <w:p>
      <w:pPr>
        <w:pStyle w:val="ListParagraph"/>
        <w:numPr>
          <w:ilvl w:val="0"/>
          <w:numId w:val="23"/>
        </w:numPr>
        <w:rPr/>
      </w:pPr>
      <w:r>
        <w:rPr/>
        <w:t>Maladie générale: sarcoidose, hémochromatose, diabète, infection par le VIH</w:t>
      </w:r>
    </w:p>
    <w:p>
      <w:pPr>
        <w:pStyle w:val="ListParagraph"/>
        <w:numPr>
          <w:ilvl w:val="0"/>
          <w:numId w:val="23"/>
        </w:numPr>
        <w:rPr/>
      </w:pPr>
      <w:r>
        <w:rPr/>
        <w:t>Irradiation, chirurgie ou tumeurs des glandes salivaires</w:t>
      </w:r>
    </w:p>
    <w:p>
      <w:pPr>
        <w:pStyle w:val="ListParagraph"/>
        <w:numPr>
          <w:ilvl w:val="0"/>
          <w:numId w:val="23"/>
        </w:numPr>
        <w:rPr/>
      </w:pPr>
      <w:r>
        <w:rPr/>
        <w:t>Infection ou inflm oculaire</w:t>
      </w:r>
    </w:p>
    <w:p>
      <w:pPr>
        <w:pStyle w:val="Normal"/>
        <w:rPr>
          <w:u w:val="single"/>
        </w:rPr>
      </w:pPr>
      <w:r>
        <w:rPr>
          <w:u w:val="single"/>
        </w:rPr>
        <w:t xml:space="preserve">Pronostic  </w:t>
      </w:r>
      <w:r>
        <w:rPr/>
        <w:t>Affection bénigne</w:t>
      </w:r>
    </w:p>
    <w:p>
      <w:pPr>
        <w:pStyle w:val="ListParagraph"/>
        <w:numPr>
          <w:ilvl w:val="0"/>
          <w:numId w:val="24"/>
        </w:numPr>
        <w:rPr/>
      </w:pPr>
      <w:r>
        <w:rPr/>
        <w:t>Pas de destruction articulaire =  PR</w:t>
      </w:r>
    </w:p>
    <w:p>
      <w:pPr>
        <w:pStyle w:val="ListParagraph"/>
        <w:numPr>
          <w:ilvl w:val="0"/>
          <w:numId w:val="24"/>
        </w:numPr>
        <w:rPr/>
      </w:pPr>
      <w:r>
        <w:rPr/>
        <w:t>Atteintes viscérales rares = lupus</w:t>
      </w:r>
    </w:p>
    <w:p>
      <w:pPr>
        <w:pStyle w:val="ListParagraph"/>
        <w:numPr>
          <w:ilvl w:val="0"/>
          <w:numId w:val="24"/>
        </w:numPr>
        <w:rPr/>
      </w:pPr>
      <w:r>
        <w:rPr/>
        <w:t>Altération de la qualité de vie</w:t>
      </w:r>
    </w:p>
    <w:p>
      <w:pPr>
        <w:pStyle w:val="Normal"/>
        <w:rPr>
          <w:u w:val="single"/>
        </w:rPr>
      </w:pPr>
      <w:r>
        <w:rPr>
          <w:u w:val="single"/>
        </w:rPr>
        <w:t>TRAITEMENT</w:t>
      </w:r>
    </w:p>
    <w:p>
      <w:pPr>
        <w:pStyle w:val="ListParagraph"/>
        <w:numPr>
          <w:ilvl w:val="0"/>
          <w:numId w:val="25"/>
        </w:numPr>
        <w:rPr/>
      </w:pPr>
      <w:r>
        <w:rPr/>
        <w:t>Traitement symptomatique du syndrome sec:  Mesures hygièno-diététiques:</w:t>
      </w:r>
    </w:p>
    <w:p>
      <w:pPr>
        <w:pStyle w:val="ListParagraph"/>
        <w:numPr>
          <w:ilvl w:val="0"/>
          <w:numId w:val="26"/>
        </w:numPr>
        <w:rPr/>
      </w:pPr>
      <w:r>
        <w:rPr/>
        <w:t>Éviction des médicaments qui aggravent le sd sec</w:t>
      </w:r>
    </w:p>
    <w:p>
      <w:pPr>
        <w:pStyle w:val="ListParagraph"/>
        <w:numPr>
          <w:ilvl w:val="0"/>
          <w:numId w:val="26"/>
        </w:numPr>
        <w:rPr/>
      </w:pPr>
      <w:r>
        <w:rPr/>
        <w:t>Stimulation de la sécrétion salivaire résiduelle par la prise de bonbons acidulés</w:t>
      </w:r>
    </w:p>
    <w:p>
      <w:pPr>
        <w:pStyle w:val="ListParagraph"/>
        <w:numPr>
          <w:ilvl w:val="0"/>
          <w:numId w:val="26"/>
        </w:numPr>
        <w:rPr/>
      </w:pPr>
      <w:r>
        <w:rPr/>
        <w:t>Eviction d’exposition à une ambiance sèche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5"/>
        </w:numPr>
        <w:rPr/>
      </w:pPr>
      <w:r>
        <w:rPr/>
        <w:t xml:space="preserve">Traitement médical du syndrome sec </w:t>
      </w:r>
    </w:p>
    <w:p>
      <w:pPr>
        <w:pStyle w:val="ListParagraph"/>
        <w:numPr>
          <w:ilvl w:val="0"/>
          <w:numId w:val="27"/>
        </w:numPr>
        <w:rPr/>
      </w:pPr>
      <w:r>
        <w:rPr/>
        <w:t>Larmes artificielles pour améliorer la sécheresse oculaire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7"/>
        </w:numPr>
        <w:rPr/>
      </w:pPr>
      <w:r>
        <w:rPr/>
        <w:t>Médicaments stimulant la sécretion glandulaire : Pilocarpine, Bromhexine,</w:t>
      </w:r>
    </w:p>
    <w:p>
      <w:pPr>
        <w:pStyle w:val="ListParagraph"/>
        <w:rPr/>
      </w:pPr>
      <w:r>
        <w:rPr/>
      </w:r>
    </w:p>
    <w:p>
      <w:pPr>
        <w:pStyle w:val="ListParagraph"/>
        <w:numPr>
          <w:ilvl w:val="0"/>
          <w:numId w:val="27"/>
        </w:numPr>
        <w:rPr/>
      </w:pPr>
      <w:r>
        <w:rPr/>
        <w:t>Traitement des manifestations articulaires: Antalgiques, AINS  Corticothérapie à faible dose Plaquenil; Methotrexate…</w:t>
      </w:r>
    </w:p>
    <w:p>
      <w:pPr>
        <w:pStyle w:val="ListParagraph"/>
        <w:numPr>
          <w:ilvl w:val="0"/>
          <w:numId w:val="27"/>
        </w:numPr>
        <w:rPr/>
      </w:pPr>
      <w:r>
        <w:rPr/>
        <w:t>Traitement des manifestations systémiques: Corticothérapie à forte dose ,Immunosuppresseurs( augmente le risque de lymphome++++)</w:t>
      </w:r>
    </w:p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numPicBullet w:numPicBulletId="0">
    <w:pict>
      <v:shape style="width:11.25pt;height:11.25pt" o:bullet="t">
        <v:imagedata r:id="rId1" o:title=""/>
      </v:shape>
    </w:pict>
  </w:numPicBullet>
  <w:abstractNum w:abstractNumId="1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decimal"/>
      <w:lvlText w:val="%1-"/>
      <w:lvlJc w:val="left"/>
      <w:pPr>
        <w:tabs>
          <w:tab w:val="num" w:pos="0"/>
        </w:tabs>
        <w:ind w:left="36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08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180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396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120" w:hanging="180"/>
      </w:pPr>
      <w:rPr/>
    </w:lvl>
  </w:abstractNum>
  <w:abstractNum w:abstractNumId="3">
    <w:lvl w:ilvl="0">
      <w:start w:val="1"/>
      <w:numFmt w:val="bullet"/>
      <w:lvlText w:val=""/>
      <w:lvlJc w:val="left"/>
      <w:pPr>
        <w:tabs>
          <w:tab w:val="num" w:pos="0"/>
        </w:tabs>
        <w:ind w:left="147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9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91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3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5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7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9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51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3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9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0"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lvl w:ilvl="0">
      <w:start w:val="1"/>
      <w:numFmt w:val="bullet"/>
      <w:lvlText w:val="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13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>
    <w:lvl w:ilvl="0">
      <w:start w:val="1"/>
      <w:numFmt w:val="bullet"/>
      <w:lvlText w:val=""/>
      <w:lvlJc w:val="left"/>
      <w:pPr>
        <w:tabs>
          <w:tab w:val="num" w:pos="0"/>
        </w:tabs>
        <w:ind w:left="36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">
    <w:lvl w:ilvl="0">
      <w:start w:val="1"/>
      <w:numFmt w:val="bullet"/>
      <w:lvlText w:val="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6">
    <w:lvl w:ilvl="0">
      <w:start w:val="1"/>
      <w:numFmt w:val="bullet"/>
      <w:lvlText w:val="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7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8">
    <w:lvl w:ilvl="0">
      <w:start w:val="1"/>
      <w:numFmt w:val="bullet"/>
      <w:lvlText w:val="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19">
    <w:lvl w:ilvl="0">
      <w:start w:val="1"/>
      <w:numFmt w:val="bullet"/>
      <w:lvlText w:val="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0">
    <w:lvl w:ilvl="0">
      <w:start w:val="1"/>
      <w:numFmt w:val="bullet"/>
      <w:lvlText w:val="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1">
    <w:lvl w:ilvl="0">
      <w:start w:val="1"/>
      <w:numFmt w:val="bullet"/>
      <w:lvlText w:val="•"/>
      <w:lvlPicBulletId w:val="0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200" w:hanging="360"/>
      </w:pPr>
      <w:rPr>
        <w:rFonts w:ascii="Wingdings" w:hAnsi="Wingdings" w:cs="Wingdings" w:hint="default"/>
      </w:rPr>
    </w:lvl>
  </w:abstractNum>
  <w:abstractNum w:abstractNumId="22">
    <w:lvl w:ilvl="0">
      <w:start w:val="1"/>
      <w:numFmt w:val="bullet"/>
      <w:lvlText w:val="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3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4">
    <w:lvl w:ilvl="0">
      <w:start w:val="1"/>
      <w:numFmt w:val="bullet"/>
      <w:lvlText w:val="o"/>
      <w:lvlJc w:val="left"/>
      <w:pPr>
        <w:tabs>
          <w:tab w:val="num" w:pos="0"/>
        </w:tabs>
        <w:ind w:left="216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2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20" w:hanging="360"/>
      </w:pPr>
      <w:rPr>
        <w:rFonts w:ascii="Wingdings" w:hAnsi="Wingdings" w:cs="Wingdings" w:hint="default"/>
      </w:rPr>
    </w:lvl>
  </w:abstractNum>
  <w:abstractNum w:abstractNumId="25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6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7">
    <w:lvl w:ilvl="0">
      <w:start w:val="1"/>
      <w:numFmt w:val="lowerLetter"/>
      <w:lvlText w:val="%1)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28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9"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2">
    <w:lvl w:ilvl="0">
      <w:start w:val="1"/>
      <w:numFmt w:val="bullet"/>
      <w:lvlText w:val=""/>
      <w:lvlJc w:val="left"/>
      <w:pPr>
        <w:tabs>
          <w:tab w:val="num" w:pos="0"/>
        </w:tabs>
        <w:ind w:left="502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222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942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662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382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102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822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542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262" w:hanging="360"/>
      </w:pPr>
      <w:rPr>
        <w:rFonts w:ascii="Wingdings" w:hAnsi="Wingdings" w:cs="Wingdings" w:hint="default"/>
      </w:rPr>
    </w:lvl>
  </w:abstractNum>
  <w:abstractNum w:abstractNumId="3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</w:compat>
  <w:themeFontLang w:val="fr-FR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Arial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rsid w:val="0001261c"/>
    <w:pPr>
      <w:widowControl/>
      <w:bidi w:val="0"/>
      <w:spacing w:lineRule="auto" w:line="276" w:before="0" w:after="200"/>
      <w:jc w:val="left"/>
    </w:pPr>
    <w:rPr>
      <w:rFonts w:ascii="Calibri" w:hAnsi="Calibri" w:eastAsia="Calibri" w:cs="Arial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-tteCar" w:customStyle="1">
    <w:name w:val="En-tête Car"/>
    <w:basedOn w:val="DefaultParagraphFont"/>
    <w:uiPriority w:val="99"/>
    <w:qFormat/>
    <w:rsid w:val="00f10e42"/>
    <w:rPr/>
  </w:style>
  <w:style w:type="character" w:styleId="PieddepageCar" w:customStyle="1">
    <w:name w:val="Pied de page Car"/>
    <w:basedOn w:val="DefaultParagraphFont"/>
    <w:uiPriority w:val="99"/>
    <w:qFormat/>
    <w:rsid w:val="00f10e42"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7b1549"/>
    <w:pPr>
      <w:spacing w:before="0" w:after="200"/>
      <w:ind w:left="720"/>
      <w:contextualSpacing/>
    </w:pPr>
    <w:rPr/>
  </w:style>
  <w:style w:type="paragraph" w:styleId="En-tteetpieddepage">
    <w:name w:val="En-tête et pied de page"/>
    <w:basedOn w:val="Normal"/>
    <w:qFormat/>
    <w:pPr/>
    <w:rPr/>
  </w:style>
  <w:style w:type="paragraph" w:styleId="Header">
    <w:name w:val="Header"/>
    <w:basedOn w:val="Normal"/>
    <w:link w:val="En-tteCar"/>
    <w:uiPriority w:val="99"/>
    <w:unhideWhenUsed/>
    <w:rsid w:val="00f10e4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depageCar"/>
    <w:uiPriority w:val="99"/>
    <w:unhideWhenUsed/>
    <w:rsid w:val="00f10e42"/>
    <w:pPr>
      <w:tabs>
        <w:tab w:val="clear" w:pos="708"/>
        <w:tab w:val="center" w:pos="4536" w:leader="none"/>
        <w:tab w:val="right" w:pos="9072" w:leader="none"/>
      </w:tabs>
      <w:spacing w:lineRule="auto" w:line="240" w:before="0" w:after="0"/>
    </w:pPr>
    <w:rPr/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163c6d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gif"/>
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3FE45A-0913-4543-921B-258AEC3160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Application>LibreOffice/24.2.7.2$Linux_X86_64 LibreOffice_project/420$Build-2</Application>
  <AppVersion>15.0000</AppVersion>
  <Pages>7</Pages>
  <Words>1579</Words>
  <Characters>9611</Characters>
  <CharactersWithSpaces>11033</CharactersWithSpaces>
  <Paragraphs>179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2019-10-05T19:56:00Z</dcterms:created>
  <dc:creator>pc</dc:creator>
  <dc:description/>
  <dc:language>fr-FR</dc:language>
  <cp:lastModifiedBy/>
  <dcterms:modified xsi:type="dcterms:W3CDTF">2026-04-15T08:49:05Z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