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9"/>
        <w:pBdr/>
        <w:spacing/>
        <w:ind/>
        <w:jc w:val="center"/>
        <w:rPr/>
      </w:pPr>
      <w:r/>
      <w:bookmarkStart w:id="22" w:name="cover-letter"/>
      <w:r>
        <w:t xml:space="preserve">Cover Letter</w:t>
      </w:r>
      <w:r/>
    </w:p>
    <w:p>
      <w:pPr>
        <w:pStyle w:val="868"/>
        <w:pBdr/>
        <w:spacing/>
        <w:ind/>
        <w:jc w:val="right"/>
        <w:rPr/>
      </w:pPr>
      <w:r>
        <w:t xml:space="preserve">September 16, 2026</w:t>
      </w:r>
      <w:r/>
    </w:p>
    <w:p>
      <w:pPr>
        <w:pStyle w:val="867"/>
        <w:pBdr/>
        <w:spacing/>
        <w:ind/>
        <w:rPr/>
      </w:pPr>
      <w:r>
        <w:t xml:space="preserve">To the Editor-in-Chief, Prof. Minvydas Ragulskis</w:t>
      </w:r>
      <w:r>
        <w:br/>
      </w:r>
      <w:r>
        <w:t xml:space="preserve">Mathematical Models in Engineering</w:t>
      </w:r>
      <w:r>
        <w:br/>
      </w:r>
      <w:r>
        <w:t xml:space="preserve">Extrica (JVE International Ltd.)</w:t>
      </w:r>
      <w:r/>
    </w:p>
    <w:p>
      <w:pPr>
        <w:pStyle w:val="867"/>
        <w:pBdr/>
        <w:spacing/>
        <w:ind/>
        <w:rPr/>
      </w:pPr>
      <w:r>
        <w:t xml:space="preserve">Dear Editor,</w:t>
      </w:r>
      <w:r/>
    </w:p>
    <w:p>
      <w:pPr>
        <w:pStyle w:val="867"/>
        <w:pBdr/>
        <w:spacing/>
        <w:ind/>
        <w:jc w:val="both"/>
        <w:rPr/>
      </w:pPr>
      <w:r>
        <w:t xml:space="preserve">Please consider our manuscript,</w:t>
      </w:r>
      <w:r>
        <w:t xml:space="preserve"> </w:t>
      </w:r>
      <w:r>
        <w:rPr>
          <w:b/>
          <w:bCs/>
        </w:rPr>
        <w:t xml:space="preserve">"Edge-Deployable EEG Foundation Models:</w:t>
      </w:r>
      <w:r>
        <w:br/>
      </w:r>
      <w:r>
        <w:rPr>
          <w:b/>
          <w:bCs/>
        </w:rPr>
        <w:t xml:space="preserve">Scaling Laws and Cross-Dataset Transfer for Compact SIGReg-Pretrained</w:t>
      </w:r>
      <w:r>
        <w:br/>
      </w:r>
      <w:r>
        <w:rPr>
          <w:b/>
          <w:bCs/>
        </w:rPr>
        <w:t xml:space="preserve">Encoders,"</w:t>
      </w:r>
      <w:r>
        <w:t xml:space="preserve"> </w:t>
      </w:r>
      <w:r>
        <w:t xml:space="preserve">for publication as an original research article in</w:t>
      </w:r>
      <w:r>
        <w:rPr>
          <w:i/>
          <w:iCs/>
        </w:rPr>
        <w:t xml:space="preserve"> Mathematical Models in Engineering</w:t>
      </w:r>
      <w:r>
        <w:t xml:space="preserve">.</w:t>
      </w:r>
      <w:r/>
    </w:p>
    <w:p>
      <w:pPr>
        <w:pStyle w:val="867"/>
        <w:pBdr/>
        <w:spacing/>
        <w:ind/>
        <w:jc w:val="both"/>
        <w:rPr/>
      </w:pPr>
      <w:r>
        <w:t xml:space="preserve">Self-supervised EEG foundation models have advanced rapidly, but the leading</w:t>
      </w:r>
      <w:r>
        <w:t xml:space="preserve"> systems use 5–10 M+ parameters and multi-GPU training budgets aimed at</w:t>
      </w:r>
      <w:r>
        <w:t xml:space="preserve"> cross-dataset generalization. The complementary regime that most laboratories</w:t>
      </w:r>
      <w:r>
        <w:t xml:space="preserve"> and on-device applications actually operate in — focused, single-corpus</w:t>
      </w:r>
      <w:r>
        <w:t xml:space="preserve"> pretraining for in-distribution tasks under a tight compute budget — remains</w:t>
      </w:r>
      <w:r>
        <w:t xml:space="preserve"> largely uncharacterized. Our work addresses that gap directly. We present</w:t>
      </w:r>
      <w:r>
        <w:t xml:space="preserve"> EEG-LeJEPA, a 2.86 M-parameter Joint-Embedding Predictive Architecture trained</w:t>
      </w:r>
      <w:r>
        <w:t xml:space="preserve"> with Sketched Isotropic Gaussian Regularization, whose entire</w:t>
      </w:r>
      <w:r>
        <w:t xml:space="preserve"> pretraining-plus-evaluation pipeline runs on a single consumer GPU in under 15</w:t>
      </w:r>
      <w:r>
        <w:t xml:space="preserve"> minutes at a compute cost below one US dollar.</w:t>
      </w:r>
      <w:r/>
    </w:p>
    <w:p>
      <w:pPr>
        <w:pStyle w:val="867"/>
        <w:pBdr/>
        <w:spacing/>
        <w:ind/>
        <w:jc w:val="both"/>
        <w:rPr/>
      </w:pPr>
      <w:r>
        <w:t xml:space="preserve">We believe the manuscript is well matched to</w:t>
      </w:r>
      <w:r>
        <w:t xml:space="preserve"> </w:t>
      </w:r>
      <w:r>
        <w:rPr>
          <w:i/>
          <w:iCs/>
        </w:rPr>
        <w:t xml:space="preserve">Mathematical Models in</w:t>
      </w:r>
      <w:r>
        <w:rPr>
          <w:i/>
          <w:iCs/>
        </w:rPr>
        <w:t xml:space="preserve"> Engineering</w:t>
      </w:r>
      <w:r>
        <w:t xml:space="preserve">, whose principal topics include artificial intelligence and</w:t>
      </w:r>
      <w:r>
        <w:t xml:space="preserve"> machine learning, detection of objects and patterns, and formal mathematical</w:t>
      </w:r>
      <w:r>
        <w:t xml:space="preserve"> models applied to engineering problems. Our work is built on an explicit</w:t>
      </w:r>
      <w:r>
        <w:t xml:space="preserve"> mathematical model: the Sketched Isotropic Gaussian Regularizer casts</w:t>
      </w:r>
      <w:r>
        <w:t xml:space="preserve"> representation learning as matching the embedding distribution to an</w:t>
      </w:r>
      <w:r>
        <w:t xml:space="preserve"> isotropic Gaussian, a constraint made tractable through the Cramér–Wold</w:t>
      </w:r>
      <w:r>
        <w:t xml:space="preserve"> theorem and scored with the closed-form Cramér–von Mises statistic on random</w:t>
      </w:r>
      <w:r>
        <w:t xml:space="preserve"> one-dimensional projections. We characterize this model's behaviour</w:t>
      </w:r>
      <w:r>
        <w:t xml:space="preserve"> empirically — its scaling law across data and compute, its sensitivity to</w:t>
      </w:r>
      <w:r>
        <w:t xml:space="preserve"> the projection count relative to embedding dimension, and its</w:t>
      </w:r>
      <w:r>
        <w:t xml:space="preserve"> representational collapse when the regularizer is removed — and apply it to</w:t>
      </w:r>
      <w:r>
        <w:t xml:space="preserve"> a practical engineering problem: pattern detection in EEG for</w:t>
      </w:r>
      <w:r>
        <w:t xml:space="preserve"> brain–computer interfaces on resource-constrained hardware. Beyond the</w:t>
      </w:r>
      <w:r>
        <w:t xml:space="preserve"> headline results, the paper contributes findings of methodological interest</w:t>
      </w:r>
      <w:r>
        <w:t xml:space="preserve"> to the journal's readership: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A scaling-law characterization across six (data, compute) operating points:</w:t>
      </w:r>
      <w:r>
        <w:t xml:space="preserve"> best-source AUC rises then plateaus near 0.76, and a 2.4× larger model is</w:t>
      </w:r>
      <w:r>
        <w:t xml:space="preserve"> modestly but consistently better at matched data (seed-stable across three</w:t>
      </w:r>
      <w:r>
        <w:t xml:space="preserve"> seeds) — the plateau reflects a capacity limit, not a data limit. An</w:t>
      </w:r>
      <w:r>
        <w:t xml:space="preserve"> isolation run further shows the SIGReg projection count must scale with</w:t>
      </w:r>
      <w:r>
        <w:t xml:space="preserve"> embedding dimension; ignoring this manufactures a spurious "larger model</w:t>
      </w:r>
      <w:r>
        <w:t xml:space="preserve"> regresses" result, a previously unreported practical pitfall when applying</w:t>
      </w:r>
      <w:r>
        <w:t xml:space="preserve"> isotropy regularizers across model widths.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A SIGReg-weight ablation revealing a sharp optimum and</w:t>
      </w:r>
      <w:r>
        <w:t xml:space="preserve"> </w:t>
      </w:r>
      <w:r>
        <w:rPr>
          <w:b/>
          <w:bCs/>
        </w:rPr>
        <w:t xml:space="preserve">complete</w:t>
      </w:r>
      <w:r>
        <w:rPr>
          <w:b/>
          <w:bCs/>
        </w:rPr>
        <w:t xml:space="preserve"> representational collapse</w:t>
      </w:r>
      <w:r>
        <w:t xml:space="preserve"> </w:t>
      </w:r>
      <w:r>
        <w:t xml:space="preserve">when the regularizer is removed, giving a clean</w:t>
      </w:r>
      <w:r>
        <w:t xml:space="preserve"> empirical validation of the anti-collapse mechanism.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A counterintuitive cross-dataset transfer result: channel-padded transfer</w:t>
      </w:r>
      <w:r>
        <w:t xml:space="preserve"> from a full-montage encoder</w:t>
      </w:r>
      <w:r>
        <w:t xml:space="preserve"> </w:t>
      </w:r>
      <w:r>
        <w:rPr>
          <w:b/>
          <w:bCs/>
        </w:rPr>
        <w:t xml:space="preserve">outperforms</w:t>
      </w:r>
      <w:r>
        <w:t xml:space="preserve"> </w:t>
      </w:r>
      <w:r>
        <w:t xml:space="preserve">channel-matched re-pretraining.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A leakage-clean evaluation protocol: we show that allowing evaluation</w:t>
      </w:r>
      <w:r>
        <w:t xml:space="preserve"> subjects into pretraining inflates predictor-derived feature sources, and</w:t>
      </w:r>
      <w:r>
        <w:t xml:space="preserve"> under a strictly held-out split the simple encoder mean-pool is both the</w:t>
      </w:r>
      <w:r>
        <w:t xml:space="preserve"> strongest and the most trustworthy source.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A controlled comparison showing the self-supervised, frozen-encoder probe</w:t>
      </w:r>
      <w:r>
        <w:rPr>
          <w:b/>
          <w:bCs/>
        </w:rPr>
        <w:t xml:space="preserve"> ties</w:t>
      </w:r>
      <w:r>
        <w:t xml:space="preserve"> </w:t>
      </w:r>
      <w:r>
        <w:t xml:space="preserve">end-to-end supervised training on left-versus-right MI (−0.2 pp,</w:t>
      </w:r>
      <w:r>
        <w:t xml:space="preserve"> n.s.) and</w:t>
      </w:r>
      <w:r>
        <w:t xml:space="preserve"> </w:t>
      </w:r>
      <w:r>
        <w:rPr>
          <w:b/>
          <w:bCs/>
        </w:rPr>
        <w:t xml:space="preserve">significantly exceeds</w:t>
      </w:r>
      <w:r>
        <w:t xml:space="preserve"> </w:t>
      </w:r>
      <w:r>
        <w:t xml:space="preserve">it on rest-versus-activity (+8.4 pp,</w:t>
      </w:r>
      <w:r>
        <w:t xml:space="preserve"> p&lt;0.001), with one frozen encoder serving both tasks.</w:t>
      </w:r>
      <w:r/>
    </w:p>
    <w:p>
      <w:pPr>
        <w:pStyle w:val="868"/>
        <w:pBdr/>
        <w:spacing/>
        <w:ind/>
        <w:jc w:val="both"/>
        <w:rPr/>
      </w:pPr>
      <w:r>
        <w:t xml:space="preserve">On our two downstream EEGMMIDB tasks the model reaches 68.6% accuracy /</w:t>
      </w:r>
      <w:r>
        <w:t xml:space="preserve"> 0.751 AUC on rest-versus-activity and 62.1% / 0.690 AUC on left-versus-right</w:t>
      </w:r>
      <w:r>
        <w:t xml:space="preserve"> motor imagery (encoder mean-pool features) via linear probe, under strict</w:t>
      </w:r>
      <w:r>
        <w:t xml:space="preserve"> leave-one-subject-out evaluation with the 20 evaluation subjects held out of</w:t>
      </w:r>
      <w:r>
        <w:t xml:space="preserve"> pretraining (both gains over a random-initialized baseline significant,</w:t>
      </w:r>
      <w:r>
        <w:t xml:space="preserve"> q&lt;0.002). All headline</w:t>
      </w:r>
      <w:r>
        <w:t xml:space="preserve"> differences are assessed with paired significance tests (exact sign-flip</w:t>
      </w:r>
      <w:r>
        <w:t xml:space="preserve"> permutation tests, bootstrap confidence intervals, and Benjamini–Hochberg</w:t>
      </w:r>
      <w:r>
        <w:t xml:space="preserve"> correction), and the complete pipeline — code, configurations, trained</w:t>
      </w:r>
      <w:r>
        <w:t xml:space="preserve"> checkpoints, and per-fold outputs — is released for full reproducibility at </w:t>
      </w:r>
      <w:hyperlink r:id="rId9" w:tooltip="https://github.com/lifeinpassion/eeg-lejepa" w:history="1">
        <w:r>
          <w:rPr>
            <w:rStyle w:val="913"/>
          </w:rPr>
          <w:t xml:space="preserve">https://github.com/lifeinpassion/eeg-lejepa</w:t>
        </w:r>
      </w:hyperlink>
      <w:r>
        <w:t xml:space="preserve">.</w:t>
      </w:r>
      <w:r/>
    </w:p>
    <w:p>
      <w:pPr>
        <w:pStyle w:val="867"/>
        <w:pBdr/>
        <w:spacing/>
        <w:ind/>
        <w:jc w:val="both"/>
        <w:rPr/>
      </w:pPr>
      <w:r>
        <w:t xml:space="preserve">This manuscript is original, has not been published previously, and is not under</w:t>
      </w:r>
      <w:r>
        <w:t xml:space="preserve"> consideration elsewhere. All data are from public repositories (PhysioNet</w:t>
      </w:r>
      <w:r>
        <w:t xml:space="preserve"> EEGMMIDB and BCI Competition IV Dataset 2a); no new human-subjects data were</w:t>
      </w:r>
      <w:r>
        <w:t xml:space="preserve"> collected. The authors declare no competing interests. </w:t>
      </w:r>
      <w:r/>
    </w:p>
    <w:p>
      <w:pPr>
        <w:pStyle w:val="867"/>
        <w:pBdr/>
        <w:spacing/>
        <w:ind/>
        <w:jc w:val="both"/>
        <w:rPr/>
      </w:pPr>
      <w:r>
        <w:t xml:space="preserve">We note for transparency that an independent and contemporaneous study (Laya;</w:t>
      </w:r>
      <w:r>
        <w:t xml:space="preserve"> Panchavati et al.) applies the same family of methods to EEG at foundation</w:t>
      </w:r>
      <w:r>
        <w:t xml:space="preserve"> scale; our contribution is complementary, addressing the compact, single-corpus,</w:t>
      </w:r>
      <w:r>
        <w:t xml:space="preserve"> edge-deployment regime and the scaling, ablation, and transfer questions that</w:t>
      </w:r>
      <w:r>
        <w:t xml:space="preserve"> work does not examine.</w:t>
      </w:r>
      <w:r/>
    </w:p>
    <w:p>
      <w:pPr>
        <w:pStyle w:val="867"/>
        <w:pBdr/>
        <w:spacing/>
        <w:ind/>
        <w:rPr/>
      </w:pPr>
      <w:r>
        <w:t xml:space="preserve">Thank you for your consideration. We look forward to your response.</w:t>
      </w:r>
      <w:r/>
    </w:p>
    <w:p>
      <w:pPr>
        <w:pStyle w:val="867"/>
        <w:pBdr/>
        <w:spacing/>
        <w:ind/>
        <w:rPr/>
      </w:pPr>
      <w:r>
        <w:t xml:space="preserve">Sincerely,</w:t>
      </w:r>
      <w:r/>
    </w:p>
    <w:p>
      <w:pPr>
        <w:pStyle w:val="867"/>
        <w:pBdr/>
        <w:spacing/>
        <w:ind/>
        <w:rPr/>
      </w:pPr>
      <w:r>
        <w:t xml:space="preserve">Ping Liang and Anton Louise P. De Ocampo</w:t>
      </w:r>
      <w:r>
        <w:br/>
      </w:r>
      <w:r>
        <w:t xml:space="preserve">Department of Electronics Engineering, Batangas State University, Batangas City 4200, Philippines</w:t>
      </w:r>
      <w:r>
        <w:br/>
      </w:r>
      <w:r>
        <w:t xml:space="preserve">Corresponding author: Anton Louise P. De Ocampo — </w:t>
      </w:r>
      <w:hyperlink r:id="rId10" w:tooltip="mailto:antonlouise.deocampo@ieee.org" w:history="1">
        <w:r>
          <w:rPr>
            <w:rStyle w:val="913"/>
          </w:rPr>
          <w:t xml:space="preserve">antonlouise.deocampo@ieee.org</w:t>
        </w:r>
      </w:hyperlink>
      <w:r/>
      <w:r/>
    </w:p>
    <w:p>
      <w:pPr>
        <w:pStyle w:val="867"/>
        <w:pBdr/>
        <w:spacing/>
        <w:ind/>
        <w:rPr/>
      </w:pPr>
      <w:r/>
      <w:bookmarkEnd w:id="22"/>
      <w:r/>
      <w:r/>
    </w:p>
    <w:sectPr>
      <w:footnotePr/>
      <w:endnotePr/>
      <w:type w:val="nextPage"/>
      <w:pgSz w:h="16838" w:orient="portrait" w:w="11906"/>
      <w:pgMar w:top="1134" w:right="1134" w:bottom="1134" w:left="1134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paragraph" w:styleId="833">
    <w:name w:val="Quote"/>
    <w:basedOn w:val="866"/>
    <w:next w:val="866"/>
    <w:link w:val="83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4">
    <w:name w:val="Quote Char"/>
    <w:basedOn w:val="900"/>
    <w:link w:val="83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35">
    <w:name w:val="List Paragraph"/>
    <w:basedOn w:val="866"/>
    <w:uiPriority w:val="34"/>
    <w:qFormat/>
    <w:pPr>
      <w:pBdr/>
      <w:spacing/>
      <w:ind w:left="720"/>
      <w:contextualSpacing w:val="true"/>
    </w:pPr>
  </w:style>
  <w:style w:type="character" w:styleId="83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37">
    <w:name w:val="Intense Quote"/>
    <w:basedOn w:val="866"/>
    <w:next w:val="866"/>
    <w:link w:val="83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8">
    <w:name w:val="Intense Quote Char"/>
    <w:basedOn w:val="900"/>
    <w:link w:val="83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0">
    <w:name w:val="No Spacing"/>
    <w:basedOn w:val="866"/>
    <w:uiPriority w:val="1"/>
    <w:qFormat/>
    <w:pPr>
      <w:pBdr/>
      <w:spacing w:after="0" w:line="240" w:lineRule="auto"/>
      <w:ind/>
    </w:pPr>
  </w:style>
  <w:style w:type="character" w:styleId="841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66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Header Char"/>
    <w:basedOn w:val="900"/>
    <w:link w:val="846"/>
    <w:uiPriority w:val="99"/>
    <w:pPr>
      <w:pBdr/>
      <w:spacing/>
      <w:ind/>
    </w:pPr>
  </w:style>
  <w:style w:type="paragraph" w:styleId="848">
    <w:name w:val="Footer"/>
    <w:basedOn w:val="866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Footer Char"/>
    <w:basedOn w:val="900"/>
    <w:link w:val="848"/>
    <w:uiPriority w:val="99"/>
    <w:pPr>
      <w:pBdr/>
      <w:spacing/>
      <w:ind/>
    </w:pPr>
  </w:style>
  <w:style w:type="character" w:styleId="850">
    <w:name w:val="Footnote Text Char"/>
    <w:basedOn w:val="900"/>
    <w:link w:val="898"/>
    <w:uiPriority w:val="99"/>
    <w:semiHidden/>
    <w:pPr>
      <w:pBdr/>
      <w:spacing/>
      <w:ind/>
    </w:pPr>
    <w:rPr>
      <w:sz w:val="20"/>
      <w:szCs w:val="20"/>
    </w:rPr>
  </w:style>
  <w:style w:type="paragraph" w:styleId="851">
    <w:name w:val="endnote text"/>
    <w:basedOn w:val="866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Endnote Text Char"/>
    <w:basedOn w:val="900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854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5">
    <w:name w:val="toc 1"/>
    <w:basedOn w:val="866"/>
    <w:next w:val="866"/>
    <w:uiPriority w:val="39"/>
    <w:unhideWhenUsed/>
    <w:pPr>
      <w:pBdr/>
      <w:spacing w:after="100"/>
      <w:ind/>
    </w:pPr>
  </w:style>
  <w:style w:type="paragraph" w:styleId="856">
    <w:name w:val="toc 2"/>
    <w:basedOn w:val="866"/>
    <w:next w:val="866"/>
    <w:uiPriority w:val="39"/>
    <w:unhideWhenUsed/>
    <w:pPr>
      <w:pBdr/>
      <w:spacing w:after="100"/>
      <w:ind w:left="220"/>
    </w:pPr>
  </w:style>
  <w:style w:type="paragraph" w:styleId="857">
    <w:name w:val="toc 3"/>
    <w:basedOn w:val="866"/>
    <w:next w:val="866"/>
    <w:uiPriority w:val="39"/>
    <w:unhideWhenUsed/>
    <w:pPr>
      <w:pBdr/>
      <w:spacing w:after="100"/>
      <w:ind w:left="440"/>
    </w:pPr>
  </w:style>
  <w:style w:type="paragraph" w:styleId="858">
    <w:name w:val="toc 4"/>
    <w:basedOn w:val="866"/>
    <w:next w:val="866"/>
    <w:uiPriority w:val="39"/>
    <w:unhideWhenUsed/>
    <w:pPr>
      <w:pBdr/>
      <w:spacing w:after="100"/>
      <w:ind w:left="660"/>
    </w:pPr>
  </w:style>
  <w:style w:type="paragraph" w:styleId="859">
    <w:name w:val="toc 5"/>
    <w:basedOn w:val="866"/>
    <w:next w:val="866"/>
    <w:uiPriority w:val="39"/>
    <w:unhideWhenUsed/>
    <w:pPr>
      <w:pBdr/>
      <w:spacing w:after="100"/>
      <w:ind w:left="880"/>
    </w:pPr>
  </w:style>
  <w:style w:type="paragraph" w:styleId="860">
    <w:name w:val="toc 6"/>
    <w:basedOn w:val="866"/>
    <w:next w:val="866"/>
    <w:uiPriority w:val="39"/>
    <w:unhideWhenUsed/>
    <w:pPr>
      <w:pBdr/>
      <w:spacing w:after="100"/>
      <w:ind w:left="1100"/>
    </w:pPr>
  </w:style>
  <w:style w:type="paragraph" w:styleId="861">
    <w:name w:val="toc 7"/>
    <w:basedOn w:val="866"/>
    <w:next w:val="866"/>
    <w:uiPriority w:val="39"/>
    <w:unhideWhenUsed/>
    <w:pPr>
      <w:pBdr/>
      <w:spacing w:after="100"/>
      <w:ind w:left="1320"/>
    </w:pPr>
  </w:style>
  <w:style w:type="paragraph" w:styleId="862">
    <w:name w:val="toc 8"/>
    <w:basedOn w:val="866"/>
    <w:next w:val="866"/>
    <w:uiPriority w:val="39"/>
    <w:unhideWhenUsed/>
    <w:pPr>
      <w:pBdr/>
      <w:spacing w:after="100"/>
      <w:ind w:left="1540"/>
    </w:pPr>
  </w:style>
  <w:style w:type="paragraph" w:styleId="863">
    <w:name w:val="toc 9"/>
    <w:basedOn w:val="866"/>
    <w:next w:val="866"/>
    <w:uiPriority w:val="39"/>
    <w:unhideWhenUsed/>
    <w:pPr>
      <w:pBdr/>
      <w:spacing w:after="100"/>
      <w:ind w:left="1760"/>
    </w:pPr>
  </w:style>
  <w:style w:type="character" w:styleId="864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865">
    <w:name w:val="table of figures"/>
    <w:basedOn w:val="866"/>
    <w:next w:val="866"/>
    <w:uiPriority w:val="99"/>
    <w:unhideWhenUsed/>
    <w:pPr>
      <w:pBdr/>
      <w:spacing w:after="0" w:afterAutospacing="0"/>
      <w:ind/>
    </w:pPr>
  </w:style>
  <w:style w:type="paragraph" w:styleId="866" w:default="1">
    <w:name w:val="Normal"/>
    <w:qFormat/>
    <w:pPr>
      <w:pBdr/>
      <w:spacing/>
      <w:ind/>
    </w:pPr>
  </w:style>
  <w:style w:type="paragraph" w:styleId="867">
    <w:name w:val="Body Text"/>
    <w:basedOn w:val="866"/>
    <w:link w:val="909"/>
    <w:qFormat/>
    <w:pPr>
      <w:pBdr/>
      <w:spacing w:after="180" w:before="180"/>
      <w:ind/>
    </w:pPr>
  </w:style>
  <w:style w:type="paragraph" w:styleId="868" w:customStyle="1">
    <w:name w:val="First Paragraph"/>
    <w:basedOn w:val="867"/>
    <w:next w:val="867"/>
    <w:qFormat/>
    <w:pPr>
      <w:pBdr/>
      <w:spacing/>
      <w:ind/>
    </w:pPr>
  </w:style>
  <w:style w:type="paragraph" w:styleId="869" w:customStyle="1">
    <w:name w:val="Compact"/>
    <w:basedOn w:val="867"/>
    <w:qFormat/>
    <w:pPr>
      <w:pBdr/>
      <w:spacing w:after="36" w:before="36"/>
      <w:ind/>
    </w:pPr>
  </w:style>
  <w:style w:type="paragraph" w:styleId="870">
    <w:name w:val="Title"/>
    <w:basedOn w:val="866"/>
    <w:next w:val="867"/>
    <w:link w:val="871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71" w:customStyle="1">
    <w:name w:val="Title Char"/>
    <w:basedOn w:val="900"/>
    <w:link w:val="87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72">
    <w:name w:val="Subtitle"/>
    <w:basedOn w:val="866"/>
    <w:next w:val="867"/>
    <w:link w:val="87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73" w:customStyle="1">
    <w:name w:val="Subtitle Char"/>
    <w:basedOn w:val="900"/>
    <w:link w:val="87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4" w:customStyle="1">
    <w:name w:val="Author"/>
    <w:next w:val="867"/>
    <w:qFormat/>
    <w:pPr>
      <w:keepNext w:val="true"/>
      <w:keepLines w:val="true"/>
      <w:pBdr/>
      <w:spacing/>
      <w:ind/>
      <w:jc w:val="center"/>
    </w:pPr>
  </w:style>
  <w:style w:type="paragraph" w:styleId="875">
    <w:name w:val="Date"/>
    <w:next w:val="867"/>
    <w:qFormat/>
    <w:pPr>
      <w:keepNext w:val="true"/>
      <w:keepLines w:val="true"/>
      <w:pBdr/>
      <w:spacing/>
      <w:ind/>
      <w:jc w:val="center"/>
    </w:pPr>
  </w:style>
  <w:style w:type="paragraph" w:styleId="876" w:customStyle="1">
    <w:name w:val="Abstract Title"/>
    <w:basedOn w:val="866"/>
    <w:next w:val="877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877" w:customStyle="1">
    <w:name w:val="Abstract"/>
    <w:basedOn w:val="866"/>
    <w:next w:val="867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78">
    <w:name w:val="Bibliography"/>
    <w:basedOn w:val="866"/>
    <w:next w:val="878"/>
    <w:qFormat/>
    <w:pPr>
      <w:pBdr/>
      <w:spacing/>
      <w:ind/>
    </w:pPr>
  </w:style>
  <w:style w:type="paragraph" w:styleId="879">
    <w:name w:val="Heading 1"/>
    <w:basedOn w:val="866"/>
    <w:next w:val="867"/>
    <w:link w:val="8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0">
    <w:name w:val="Heading 2"/>
    <w:basedOn w:val="866"/>
    <w:next w:val="867"/>
    <w:link w:val="8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1">
    <w:name w:val="Heading 3"/>
    <w:basedOn w:val="866"/>
    <w:next w:val="867"/>
    <w:link w:val="89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2">
    <w:name w:val="Heading 4"/>
    <w:basedOn w:val="866"/>
    <w:next w:val="867"/>
    <w:link w:val="8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3">
    <w:name w:val="Heading 5"/>
    <w:basedOn w:val="866"/>
    <w:next w:val="867"/>
    <w:link w:val="89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4">
    <w:name w:val="Heading 6"/>
    <w:basedOn w:val="866"/>
    <w:next w:val="867"/>
    <w:link w:val="89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5">
    <w:name w:val="Heading 7"/>
    <w:basedOn w:val="866"/>
    <w:next w:val="867"/>
    <w:link w:val="89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6">
    <w:name w:val="Heading 8"/>
    <w:basedOn w:val="866"/>
    <w:next w:val="867"/>
    <w:link w:val="89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7">
    <w:name w:val="Heading 9"/>
    <w:basedOn w:val="866"/>
    <w:next w:val="867"/>
    <w:link w:val="89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8" w:customStyle="1">
    <w:name w:val="Heading 1 Char"/>
    <w:basedOn w:val="900"/>
    <w:link w:val="87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9" w:customStyle="1">
    <w:name w:val="Heading 2 Char"/>
    <w:basedOn w:val="900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0" w:customStyle="1">
    <w:name w:val="Heading 3 Char"/>
    <w:basedOn w:val="900"/>
    <w:link w:val="88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1" w:customStyle="1">
    <w:name w:val="Heading 4 Char"/>
    <w:basedOn w:val="900"/>
    <w:link w:val="88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2" w:customStyle="1">
    <w:name w:val="Heading 5 Char"/>
    <w:basedOn w:val="900"/>
    <w:link w:val="88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3" w:customStyle="1">
    <w:name w:val="Heading 6 Char"/>
    <w:basedOn w:val="900"/>
    <w:link w:val="88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4" w:customStyle="1">
    <w:name w:val="Heading 7 Char"/>
    <w:basedOn w:val="900"/>
    <w:link w:val="88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5" w:customStyle="1">
    <w:name w:val="Heading 8 Char"/>
    <w:basedOn w:val="900"/>
    <w:link w:val="88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6" w:customStyle="1">
    <w:name w:val="Heading 9 Char"/>
    <w:basedOn w:val="900"/>
    <w:link w:val="88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7">
    <w:name w:val="Block Text"/>
    <w:basedOn w:val="867"/>
    <w:next w:val="867"/>
    <w:uiPriority w:val="9"/>
    <w:unhideWhenUsed/>
    <w:qFormat/>
    <w:pPr>
      <w:pBdr/>
      <w:spacing w:after="100" w:before="100"/>
      <w:ind w:right="480" w:firstLine="0" w:left="480"/>
    </w:pPr>
  </w:style>
  <w:style w:type="paragraph" w:styleId="898">
    <w:name w:val="footnote text"/>
    <w:basedOn w:val="866"/>
    <w:next w:val="898"/>
    <w:uiPriority w:val="9"/>
    <w:unhideWhenUsed/>
    <w:qFormat/>
    <w:pPr>
      <w:pBdr/>
      <w:spacing/>
      <w:ind/>
    </w:pPr>
  </w:style>
  <w:style w:type="paragraph" w:styleId="899">
    <w:name w:val="Footnote Block Text"/>
    <w:basedOn w:val="898"/>
    <w:next w:val="898"/>
    <w:uiPriority w:val="9"/>
    <w:unhideWhenUsed/>
    <w:qFormat/>
    <w:pPr>
      <w:pBdr/>
      <w:spacing w:after="100" w:before="100"/>
      <w:ind w:right="480" w:firstLine="0" w:left="480"/>
    </w:pPr>
  </w:style>
  <w:style w:type="character" w:styleId="900" w:default="1">
    <w:name w:val="Default Paragraph Font"/>
    <w:semiHidden/>
    <w:unhideWhenUsed/>
    <w:pPr>
      <w:pBdr/>
      <w:spacing/>
      <w:ind/>
    </w:pPr>
  </w:style>
  <w:style w:type="table" w:styleId="90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2" w:customStyle="1">
    <w:name w:val="Definition Term"/>
    <w:basedOn w:val="866"/>
    <w:next w:val="903"/>
    <w:pPr>
      <w:keepNext w:val="true"/>
      <w:keepLines w:val="true"/>
      <w:pBdr/>
      <w:spacing w:after="0"/>
      <w:ind/>
    </w:pPr>
    <w:rPr>
      <w:b/>
    </w:rPr>
  </w:style>
  <w:style w:type="paragraph" w:styleId="903" w:customStyle="1">
    <w:name w:val="Definition"/>
    <w:basedOn w:val="866"/>
    <w:pPr>
      <w:pBdr/>
      <w:spacing/>
      <w:ind/>
    </w:pPr>
  </w:style>
  <w:style w:type="paragraph" w:styleId="904">
    <w:name w:val="Caption"/>
    <w:basedOn w:val="866"/>
    <w:link w:val="909"/>
    <w:pPr>
      <w:pBdr/>
      <w:spacing w:after="120" w:before="0"/>
      <w:ind/>
    </w:pPr>
    <w:rPr>
      <w:i/>
    </w:rPr>
  </w:style>
  <w:style w:type="paragraph" w:styleId="905" w:customStyle="1">
    <w:name w:val="Table Caption"/>
    <w:basedOn w:val="904"/>
    <w:pPr>
      <w:keepNext w:val="true"/>
      <w:pBdr/>
      <w:spacing/>
      <w:ind/>
    </w:pPr>
  </w:style>
  <w:style w:type="paragraph" w:styleId="906" w:customStyle="1">
    <w:name w:val="Image Caption"/>
    <w:basedOn w:val="904"/>
    <w:pPr>
      <w:pBdr/>
      <w:spacing/>
      <w:ind/>
    </w:pPr>
  </w:style>
  <w:style w:type="paragraph" w:styleId="907" w:customStyle="1">
    <w:name w:val="Figure"/>
    <w:basedOn w:val="866"/>
    <w:pPr>
      <w:pBdr/>
      <w:spacing/>
      <w:ind/>
    </w:pPr>
  </w:style>
  <w:style w:type="paragraph" w:styleId="908" w:customStyle="1">
    <w:name w:val="Captioned Figure"/>
    <w:basedOn w:val="907"/>
    <w:pPr>
      <w:keepNext w:val="true"/>
      <w:pBdr/>
      <w:spacing/>
      <w:ind/>
    </w:pPr>
  </w:style>
  <w:style w:type="character" w:styleId="909" w:customStyle="1">
    <w:name w:val="Body Text Char"/>
    <w:basedOn w:val="900"/>
    <w:link w:val="867"/>
    <w:pPr>
      <w:pBdr/>
      <w:spacing/>
      <w:ind/>
    </w:pPr>
  </w:style>
  <w:style w:type="character" w:styleId="910" w:customStyle="1">
    <w:name w:val="Verbatim Char"/>
    <w:basedOn w:val="909"/>
    <w:pPr>
      <w:pBdr/>
      <w:spacing/>
      <w:ind/>
    </w:pPr>
    <w:rPr>
      <w:rFonts w:ascii="Consolas" w:hAnsi="Consolas"/>
      <w:sz w:val="22"/>
    </w:rPr>
  </w:style>
  <w:style w:type="character" w:styleId="911" w:customStyle="1">
    <w:name w:val="Section Number"/>
    <w:basedOn w:val="909"/>
    <w:pPr>
      <w:pBdr/>
      <w:spacing/>
      <w:ind/>
    </w:pPr>
  </w:style>
  <w:style w:type="character" w:styleId="912">
    <w:name w:val="footnote reference"/>
    <w:basedOn w:val="909"/>
    <w:pPr>
      <w:pBdr/>
      <w:spacing/>
      <w:ind/>
    </w:pPr>
    <w:rPr>
      <w:vertAlign w:val="superscript"/>
    </w:rPr>
  </w:style>
  <w:style w:type="character" w:styleId="913">
    <w:name w:val="Hyperlink"/>
    <w:basedOn w:val="909"/>
    <w:pPr>
      <w:pBdr/>
      <w:spacing/>
      <w:ind/>
    </w:pPr>
    <w:rPr>
      <w:color w:val="4f81bd" w:themeColor="accent1"/>
    </w:rPr>
  </w:style>
  <w:style w:type="paragraph" w:styleId="914">
    <w:name w:val="TOC Heading"/>
    <w:basedOn w:val="879"/>
    <w:next w:val="86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15" w:customStyle="1">
    <w:name w:val="Source Code"/>
    <w:basedOn w:val="866"/>
    <w:link w:val="910"/>
    <w:pPr>
      <w:pBdr/>
      <w:spacing/>
      <w:ind/>
    </w:pPr>
  </w:style>
  <w:style w:type="character" w:styleId="916" w:customStyle="1">
    <w:name w:val="KeywordTok"/>
    <w:basedOn w:val="910"/>
    <w:pPr>
      <w:pBdr/>
      <w:spacing/>
      <w:ind/>
    </w:pPr>
    <w:rPr>
      <w:b/>
      <w:color w:val="007020"/>
    </w:rPr>
  </w:style>
  <w:style w:type="character" w:styleId="917" w:customStyle="1">
    <w:name w:val="DataTypeTok"/>
    <w:basedOn w:val="910"/>
    <w:pPr>
      <w:pBdr/>
      <w:spacing/>
      <w:ind/>
    </w:pPr>
    <w:rPr>
      <w:color w:val="902000"/>
    </w:rPr>
  </w:style>
  <w:style w:type="character" w:styleId="918" w:customStyle="1">
    <w:name w:val="DecValTok"/>
    <w:basedOn w:val="910"/>
    <w:pPr>
      <w:pBdr/>
      <w:spacing/>
      <w:ind/>
    </w:pPr>
    <w:rPr>
      <w:color w:val="40a070"/>
    </w:rPr>
  </w:style>
  <w:style w:type="character" w:styleId="919" w:customStyle="1">
    <w:name w:val="BaseNTok"/>
    <w:basedOn w:val="910"/>
    <w:pPr>
      <w:pBdr/>
      <w:spacing/>
      <w:ind/>
    </w:pPr>
    <w:rPr>
      <w:color w:val="40a070"/>
    </w:rPr>
  </w:style>
  <w:style w:type="character" w:styleId="920" w:customStyle="1">
    <w:name w:val="FloatTok"/>
    <w:basedOn w:val="910"/>
    <w:pPr>
      <w:pBdr/>
      <w:spacing/>
      <w:ind/>
    </w:pPr>
    <w:rPr>
      <w:color w:val="40a070"/>
    </w:rPr>
  </w:style>
  <w:style w:type="character" w:styleId="921" w:customStyle="1">
    <w:name w:val="ConstantTok"/>
    <w:basedOn w:val="910"/>
    <w:pPr>
      <w:pBdr/>
      <w:spacing/>
      <w:ind/>
    </w:pPr>
    <w:rPr>
      <w:color w:val="880000"/>
    </w:rPr>
  </w:style>
  <w:style w:type="character" w:styleId="922" w:customStyle="1">
    <w:name w:val="CharTok"/>
    <w:basedOn w:val="910"/>
    <w:pPr>
      <w:pBdr/>
      <w:spacing/>
      <w:ind/>
    </w:pPr>
    <w:rPr>
      <w:color w:val="4070a0"/>
    </w:rPr>
  </w:style>
  <w:style w:type="character" w:styleId="923" w:customStyle="1">
    <w:name w:val="SpecialCharTok"/>
    <w:basedOn w:val="910"/>
    <w:pPr>
      <w:pBdr/>
      <w:spacing/>
      <w:ind/>
    </w:pPr>
    <w:rPr>
      <w:color w:val="4070a0"/>
    </w:rPr>
  </w:style>
  <w:style w:type="character" w:styleId="924" w:customStyle="1">
    <w:name w:val="StringTok"/>
    <w:basedOn w:val="910"/>
    <w:pPr>
      <w:pBdr/>
      <w:spacing/>
      <w:ind/>
    </w:pPr>
    <w:rPr>
      <w:color w:val="4070a0"/>
    </w:rPr>
  </w:style>
  <w:style w:type="character" w:styleId="925" w:customStyle="1">
    <w:name w:val="VerbatimStringTok"/>
    <w:basedOn w:val="910"/>
    <w:pPr>
      <w:pBdr/>
      <w:spacing/>
      <w:ind/>
    </w:pPr>
    <w:rPr>
      <w:color w:val="4070a0"/>
    </w:rPr>
  </w:style>
  <w:style w:type="character" w:styleId="926" w:customStyle="1">
    <w:name w:val="SpecialStringTok"/>
    <w:basedOn w:val="910"/>
    <w:pPr>
      <w:pBdr/>
      <w:spacing/>
      <w:ind/>
    </w:pPr>
    <w:rPr>
      <w:color w:val="bb6688"/>
    </w:rPr>
  </w:style>
  <w:style w:type="character" w:styleId="927" w:customStyle="1">
    <w:name w:val="ImportTok"/>
    <w:basedOn w:val="910"/>
    <w:pPr>
      <w:pBdr/>
      <w:spacing/>
      <w:ind/>
    </w:pPr>
    <w:rPr>
      <w:b/>
      <w:color w:val="008000"/>
    </w:rPr>
  </w:style>
  <w:style w:type="character" w:styleId="928" w:customStyle="1">
    <w:name w:val="CommentTok"/>
    <w:basedOn w:val="910"/>
    <w:pPr>
      <w:pBdr/>
      <w:spacing/>
      <w:ind/>
    </w:pPr>
    <w:rPr>
      <w:i/>
      <w:color w:val="60a0b0"/>
    </w:rPr>
  </w:style>
  <w:style w:type="character" w:styleId="929" w:customStyle="1">
    <w:name w:val="DocumentationTok"/>
    <w:basedOn w:val="910"/>
    <w:pPr>
      <w:pBdr/>
      <w:spacing/>
      <w:ind/>
    </w:pPr>
    <w:rPr>
      <w:i/>
      <w:color w:val="ba2121"/>
    </w:rPr>
  </w:style>
  <w:style w:type="character" w:styleId="930" w:customStyle="1">
    <w:name w:val="AnnotationTok"/>
    <w:basedOn w:val="910"/>
    <w:pPr>
      <w:pBdr/>
      <w:spacing/>
      <w:ind/>
    </w:pPr>
    <w:rPr>
      <w:b/>
      <w:i/>
      <w:color w:val="60a0b0"/>
    </w:rPr>
  </w:style>
  <w:style w:type="character" w:styleId="931" w:customStyle="1">
    <w:name w:val="CommentVarTok"/>
    <w:basedOn w:val="910"/>
    <w:pPr>
      <w:pBdr/>
      <w:spacing/>
      <w:ind/>
    </w:pPr>
    <w:rPr>
      <w:b/>
      <w:i/>
      <w:color w:val="60a0b0"/>
    </w:rPr>
  </w:style>
  <w:style w:type="character" w:styleId="932" w:customStyle="1">
    <w:name w:val="OtherTok"/>
    <w:basedOn w:val="910"/>
    <w:pPr>
      <w:pBdr/>
      <w:spacing/>
      <w:ind/>
    </w:pPr>
    <w:rPr>
      <w:color w:val="007020"/>
    </w:rPr>
  </w:style>
  <w:style w:type="character" w:styleId="933" w:customStyle="1">
    <w:name w:val="FunctionTok"/>
    <w:basedOn w:val="910"/>
    <w:pPr>
      <w:pBdr/>
      <w:spacing/>
      <w:ind/>
    </w:pPr>
    <w:rPr>
      <w:color w:val="06287e"/>
    </w:rPr>
  </w:style>
  <w:style w:type="character" w:styleId="934" w:customStyle="1">
    <w:name w:val="VariableTok"/>
    <w:basedOn w:val="910"/>
    <w:pPr>
      <w:pBdr/>
      <w:spacing/>
      <w:ind/>
    </w:pPr>
    <w:rPr>
      <w:color w:val="19177c"/>
    </w:rPr>
  </w:style>
  <w:style w:type="character" w:styleId="935" w:customStyle="1">
    <w:name w:val="ControlFlowTok"/>
    <w:basedOn w:val="910"/>
    <w:pPr>
      <w:pBdr/>
      <w:spacing/>
      <w:ind/>
    </w:pPr>
    <w:rPr>
      <w:b/>
      <w:color w:val="007020"/>
    </w:rPr>
  </w:style>
  <w:style w:type="character" w:styleId="936" w:customStyle="1">
    <w:name w:val="OperatorTok"/>
    <w:basedOn w:val="910"/>
    <w:pPr>
      <w:pBdr/>
      <w:spacing/>
      <w:ind/>
    </w:pPr>
    <w:rPr>
      <w:color w:val="666666"/>
    </w:rPr>
  </w:style>
  <w:style w:type="character" w:styleId="937" w:customStyle="1">
    <w:name w:val="BuiltInTok"/>
    <w:basedOn w:val="910"/>
    <w:pPr>
      <w:pBdr/>
      <w:spacing/>
      <w:ind/>
    </w:pPr>
    <w:rPr>
      <w:color w:val="008000"/>
    </w:rPr>
  </w:style>
  <w:style w:type="character" w:styleId="938" w:customStyle="1">
    <w:name w:val="ExtensionTok"/>
    <w:basedOn w:val="910"/>
    <w:pPr>
      <w:pBdr/>
      <w:spacing/>
      <w:ind/>
    </w:pPr>
  </w:style>
  <w:style w:type="character" w:styleId="939" w:customStyle="1">
    <w:name w:val="PreprocessorTok"/>
    <w:basedOn w:val="910"/>
    <w:pPr>
      <w:pBdr/>
      <w:spacing/>
      <w:ind/>
    </w:pPr>
    <w:rPr>
      <w:color w:val="bc7a00"/>
    </w:rPr>
  </w:style>
  <w:style w:type="character" w:styleId="940" w:customStyle="1">
    <w:name w:val="AttributeTok"/>
    <w:basedOn w:val="910"/>
    <w:pPr>
      <w:pBdr/>
      <w:spacing/>
      <w:ind/>
    </w:pPr>
    <w:rPr>
      <w:color w:val="7d9029"/>
    </w:rPr>
  </w:style>
  <w:style w:type="character" w:styleId="941" w:customStyle="1">
    <w:name w:val="RegionMarkerTok"/>
    <w:basedOn w:val="910"/>
    <w:pPr>
      <w:pBdr/>
      <w:spacing/>
      <w:ind/>
    </w:pPr>
  </w:style>
  <w:style w:type="character" w:styleId="942" w:customStyle="1">
    <w:name w:val="InformationTok"/>
    <w:basedOn w:val="910"/>
    <w:pPr>
      <w:pBdr/>
      <w:spacing/>
      <w:ind/>
    </w:pPr>
    <w:rPr>
      <w:b/>
      <w:i/>
      <w:color w:val="60a0b0"/>
    </w:rPr>
  </w:style>
  <w:style w:type="character" w:styleId="943" w:customStyle="1">
    <w:name w:val="WarningTok"/>
    <w:basedOn w:val="910"/>
    <w:pPr>
      <w:pBdr/>
      <w:spacing/>
      <w:ind/>
    </w:pPr>
    <w:rPr>
      <w:b/>
      <w:i/>
      <w:color w:val="60a0b0"/>
    </w:rPr>
  </w:style>
  <w:style w:type="character" w:styleId="944" w:customStyle="1">
    <w:name w:val="AlertTok"/>
    <w:basedOn w:val="910"/>
    <w:pPr>
      <w:pBdr/>
      <w:spacing/>
      <w:ind/>
    </w:pPr>
    <w:rPr>
      <w:b/>
      <w:color w:val="ff0000"/>
    </w:rPr>
  </w:style>
  <w:style w:type="character" w:styleId="945" w:customStyle="1">
    <w:name w:val="ErrorTok"/>
    <w:basedOn w:val="910"/>
    <w:pPr>
      <w:pBdr/>
      <w:spacing/>
      <w:ind/>
    </w:pPr>
    <w:rPr>
      <w:b/>
      <w:color w:val="ff0000"/>
    </w:rPr>
  </w:style>
  <w:style w:type="character" w:styleId="946" w:customStyle="1">
    <w:name w:val="NormalTok"/>
    <w:basedOn w:val="91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lifeinpassion/eeg-lejepa" TargetMode="External"/><Relationship Id="rId10" Type="http://schemas.openxmlformats.org/officeDocument/2006/relationships/hyperlink" Target="mailto:antonlouise.deocampo@ieee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2</cp:revision>
  <dcterms:created xsi:type="dcterms:W3CDTF">2026-09-15T09:34:04Z</dcterms:created>
  <dcterms:modified xsi:type="dcterms:W3CDTF">2026-09-15T09:42:50Z</dcterms:modified>
</cp:coreProperties>
</file>