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008DB">
      <w:pPr>
        <w:jc w:val="center"/>
        <w:rPr>
          <w:rFonts w:eastAsia="隶书"/>
          <w:b/>
          <w:sz w:val="110"/>
        </w:rPr>
      </w:pPr>
      <w:bookmarkStart w:id="0" w:name="OLE_LINK17"/>
      <w:r>
        <w:rPr>
          <w:b/>
        </w:rPr>
        <w:drawing>
          <wp:inline distT="0" distB="0" distL="0" distR="0">
            <wp:extent cx="1729740" cy="1693545"/>
            <wp:effectExtent l="0" t="0" r="10160" b="8255"/>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738220" cy="1702455"/>
                    </a:xfrm>
                    <a:prstGeom prst="rect">
                      <a:avLst/>
                    </a:prstGeom>
                    <a:noFill/>
                    <a:ln>
                      <a:noFill/>
                    </a:ln>
                  </pic:spPr>
                </pic:pic>
              </a:graphicData>
            </a:graphic>
          </wp:inline>
        </w:drawing>
      </w:r>
      <w:r>
        <w:rPr>
          <w:rFonts w:hint="eastAsia" w:eastAsia="隶书"/>
          <w:b/>
          <w:sz w:val="110"/>
          <w:lang w:eastAsia="zh-CN"/>
        </w:rPr>
        <w:tab/>
      </w:r>
      <w:r>
        <w:rPr>
          <w:rFonts w:eastAsia="隶书"/>
          <w:b/>
          <w:sz w:val="110"/>
        </w:rPr>
        <w:drawing>
          <wp:inline distT="0" distB="0" distL="0" distR="0">
            <wp:extent cx="5048885" cy="1403350"/>
            <wp:effectExtent l="0" t="0" r="5715" b="635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048885" cy="1403350"/>
                    </a:xfrm>
                    <a:prstGeom prst="rect">
                      <a:avLst/>
                    </a:prstGeom>
                    <a:noFill/>
                    <a:ln>
                      <a:noFill/>
                    </a:ln>
                  </pic:spPr>
                </pic:pic>
              </a:graphicData>
            </a:graphic>
          </wp:inline>
        </w:drawing>
      </w:r>
    </w:p>
    <w:p w14:paraId="0ACCF3FB">
      <w:pPr>
        <w:jc w:val="center"/>
        <w:rPr>
          <w:rFonts w:ascii="隶书" w:hAnsi="宋体" w:eastAsia="隶书"/>
          <w:b/>
          <w:sz w:val="44"/>
          <w:szCs w:val="44"/>
        </w:rPr>
      </w:pPr>
    </w:p>
    <w:p w14:paraId="7CDEBC68">
      <w:pPr>
        <w:ind w:firstLine="1566" w:firstLineChars="300"/>
        <w:jc w:val="both"/>
        <w:rPr>
          <w:rFonts w:ascii="隶书" w:hAnsi="宋体" w:eastAsia="隶书"/>
          <w:b/>
          <w:sz w:val="52"/>
          <w:szCs w:val="52"/>
        </w:rPr>
      </w:pPr>
      <w:bookmarkStart w:id="1" w:name="_Toc22290"/>
      <w:r>
        <w:rPr>
          <w:rFonts w:hint="eastAsia" w:ascii="隶书" w:hAnsi="宋体" w:eastAsia="隶书"/>
          <w:b/>
          <w:sz w:val="52"/>
          <w:szCs w:val="52"/>
        </w:rPr>
        <w:t>QG</w:t>
      </w:r>
      <w:r>
        <w:rPr>
          <w:rFonts w:hint="eastAsia" w:ascii="隶书" w:hAnsi="宋体" w:eastAsia="隶书"/>
          <w:b/>
          <w:sz w:val="52"/>
          <w:szCs w:val="52"/>
          <w:lang w:val="en-US" w:eastAsia="zh-CN"/>
        </w:rPr>
        <w:t>末</w:t>
      </w:r>
      <w:r>
        <w:rPr>
          <w:rFonts w:hint="eastAsia" w:ascii="隶书" w:hAnsi="宋体" w:eastAsia="隶书"/>
          <w:b/>
          <w:sz w:val="52"/>
          <w:szCs w:val="52"/>
        </w:rPr>
        <w:t>期考核详细报告书</w:t>
      </w:r>
      <w:bookmarkEnd w:id="1"/>
    </w:p>
    <w:p w14:paraId="45B2362E">
      <w:pPr>
        <w:ind w:left="3202" w:leftChars="760" w:hanging="1606" w:hangingChars="500"/>
        <w:jc w:val="left"/>
        <w:rPr>
          <w:rFonts w:ascii="黑体" w:eastAsia="黑体"/>
          <w:b/>
          <w:sz w:val="32"/>
          <w:szCs w:val="32"/>
          <w:u w:val="single"/>
        </w:rPr>
      </w:pPr>
      <w:r>
        <w:rPr>
          <w:rFonts w:hint="eastAsia" w:ascii="黑体" w:eastAsia="黑体"/>
          <w:b/>
          <w:sz w:val="32"/>
          <w:szCs w:val="32"/>
        </w:rPr>
        <w:t>题   </w:t>
      </w:r>
      <w:r>
        <w:rPr>
          <w:rFonts w:hint="eastAsia" w:ascii="黑体" w:eastAsia="黑体"/>
          <w:b/>
          <w:sz w:val="32"/>
          <w:szCs w:val="32"/>
          <w:lang w:val="en-US" w:eastAsia="zh-CN"/>
        </w:rPr>
        <w:t xml:space="preserve"> </w:t>
      </w:r>
      <w:r>
        <w:rPr>
          <w:rFonts w:hint="eastAsia" w:ascii="黑体" w:eastAsia="黑体"/>
          <w:b/>
          <w:sz w:val="32"/>
          <w:szCs w:val="32"/>
        </w:rPr>
        <w:t xml:space="preserve">目 </w:t>
      </w:r>
      <w:r>
        <w:rPr>
          <w:rFonts w:hint="eastAsia" w:ascii="黑体" w:eastAsia="黑体"/>
          <w:b/>
          <w:sz w:val="32"/>
          <w:szCs w:val="32"/>
          <w:u w:val="thick"/>
          <w:lang w:val="en-US" w:eastAsia="zh-CN"/>
        </w:rPr>
        <w:t xml:space="preserve"> 差分隐私下公共交通轨迹数据最优隐私预算分配的复现与优化</w:t>
      </w:r>
    </w:p>
    <w:p w14:paraId="17EB0D47">
      <w:pPr>
        <w:ind w:left="840" w:firstLine="964" w:firstLineChars="300"/>
        <w:jc w:val="left"/>
        <w:rPr>
          <w:rFonts w:ascii="黑体" w:eastAsia="黑体"/>
          <w:b/>
          <w:sz w:val="32"/>
          <w:szCs w:val="32"/>
        </w:rPr>
      </w:pPr>
      <w:r>
        <w:rPr>
          <w:rFonts w:hint="eastAsia" w:ascii="黑体" w:eastAsia="黑体"/>
          <w:b/>
          <w:sz w:val="32"/>
          <w:szCs w:val="32"/>
        </w:rPr>
        <w:t>学 </w:t>
      </w:r>
      <w:r>
        <w:rPr>
          <w:rFonts w:ascii="黑体" w:eastAsia="黑体"/>
          <w:b/>
          <w:sz w:val="32"/>
          <w:szCs w:val="32"/>
        </w:rPr>
        <w:t xml:space="preserve">  </w:t>
      </w:r>
      <w:r>
        <w:rPr>
          <w:rFonts w:hint="eastAsia" w:ascii="黑体" w:eastAsia="黑体"/>
          <w:b/>
          <w:sz w:val="32"/>
          <w:szCs w:val="32"/>
        </w:rPr>
        <w:t xml:space="preserve"> 院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材料与能源学院</w:t>
      </w:r>
      <w:r>
        <w:rPr>
          <w:rFonts w:ascii="黑体" w:eastAsia="黑体"/>
          <w:b/>
          <w:sz w:val="32"/>
          <w:szCs w:val="32"/>
          <w:u w:val="thick"/>
        </w:rPr>
        <w:t xml:space="preserve">    </w:t>
      </w:r>
    </w:p>
    <w:p w14:paraId="05673ED6">
      <w:pPr>
        <w:ind w:left="840" w:firstLine="964" w:firstLineChars="300"/>
        <w:jc w:val="left"/>
        <w:rPr>
          <w:rFonts w:ascii="黑体" w:eastAsia="黑体"/>
          <w:b/>
          <w:sz w:val="32"/>
          <w:szCs w:val="32"/>
          <w:u w:val="thick"/>
        </w:rPr>
      </w:pPr>
      <w:r>
        <w:rPr>
          <w:rFonts w:hint="eastAsia" w:ascii="黑体" w:eastAsia="黑体"/>
          <w:b/>
          <w:sz w:val="32"/>
          <w:szCs w:val="32"/>
        </w:rPr>
        <w:t xml:space="preserve">专 </w:t>
      </w:r>
      <w:r>
        <w:rPr>
          <w:rFonts w:ascii="黑体" w:eastAsia="黑体"/>
          <w:b/>
          <w:sz w:val="32"/>
          <w:szCs w:val="32"/>
        </w:rPr>
        <w:t xml:space="preserve">  </w:t>
      </w:r>
      <w:r>
        <w:rPr>
          <w:rFonts w:hint="eastAsia" w:ascii="黑体" w:eastAsia="黑体"/>
          <w:b/>
          <w:sz w:val="32"/>
          <w:szCs w:val="32"/>
        </w:rPr>
        <w:t>业</w:t>
      </w:r>
      <w:bookmarkStart w:id="2" w:name="_Toc27203"/>
      <w:r>
        <w:rPr>
          <w:rFonts w:hint="eastAsia" w:ascii="黑体" w:eastAsia="黑体"/>
          <w:b/>
          <w:sz w:val="32"/>
          <w:szCs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材料类</w:t>
      </w:r>
      <w:r>
        <w:rPr>
          <w:rFonts w:ascii="黑体" w:eastAsia="黑体"/>
          <w:b/>
          <w:sz w:val="32"/>
          <w:szCs w:val="32"/>
          <w:u w:val="thick"/>
        </w:rPr>
        <w:t xml:space="preserve">         </w:t>
      </w:r>
    </w:p>
    <w:p w14:paraId="7FCBF9E9">
      <w:pPr>
        <w:ind w:left="840" w:firstLine="964" w:firstLineChars="300"/>
        <w:jc w:val="left"/>
        <w:rPr>
          <w:rFonts w:ascii="黑体" w:eastAsia="黑体"/>
          <w:b/>
          <w:sz w:val="32"/>
        </w:rPr>
      </w:pPr>
      <w:r>
        <w:rPr>
          <w:rFonts w:hint="eastAsia" w:ascii="黑体" w:eastAsia="黑体"/>
          <w:b/>
          <w:sz w:val="32"/>
        </w:rPr>
        <w:t>年级班别</w:t>
      </w:r>
      <w:bookmarkEnd w:id="2"/>
      <w:bookmarkStart w:id="3" w:name="_Toc25102"/>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大一四班</w:t>
      </w:r>
      <w:r>
        <w:rPr>
          <w:rFonts w:ascii="黑体" w:eastAsia="黑体"/>
          <w:b/>
          <w:sz w:val="32"/>
          <w:szCs w:val="32"/>
          <w:u w:val="thick"/>
        </w:rPr>
        <w:t xml:space="preserve">          </w:t>
      </w:r>
    </w:p>
    <w:p w14:paraId="19B64B75">
      <w:pPr>
        <w:ind w:left="840" w:firstLine="964" w:firstLineChars="300"/>
        <w:jc w:val="left"/>
        <w:rPr>
          <w:rFonts w:ascii="黑体" w:eastAsia="黑体"/>
          <w:b/>
          <w:sz w:val="32"/>
        </w:rPr>
      </w:pPr>
      <w:r>
        <w:rPr>
          <w:rFonts w:hint="eastAsia" w:ascii="黑体" w:eastAsia="黑体"/>
          <w:b/>
          <w:sz w:val="32"/>
        </w:rPr>
        <w:t>学   号</w:t>
      </w:r>
      <w:bookmarkEnd w:id="3"/>
      <w:bookmarkStart w:id="4" w:name="_Toc25496"/>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3225004760</w:t>
      </w:r>
      <w:r>
        <w:rPr>
          <w:rFonts w:ascii="黑体" w:eastAsia="黑体"/>
          <w:b/>
          <w:sz w:val="32"/>
          <w:szCs w:val="32"/>
          <w:u w:val="thick"/>
        </w:rPr>
        <w:t xml:space="preserve">      </w:t>
      </w:r>
    </w:p>
    <w:p w14:paraId="7556454A">
      <w:pPr>
        <w:ind w:left="840" w:firstLine="964" w:firstLineChars="300"/>
        <w:jc w:val="left"/>
        <w:rPr>
          <w:rFonts w:ascii="黑体" w:eastAsia="黑体"/>
          <w:b/>
          <w:sz w:val="32"/>
          <w:szCs w:val="32"/>
          <w:u w:val="thick"/>
        </w:rPr>
      </w:pPr>
      <w:r>
        <w:rPr>
          <w:rFonts w:hint="eastAsia" w:ascii="黑体" w:eastAsia="黑体"/>
          <w:b/>
          <w:sz w:val="32"/>
        </w:rPr>
        <w:t>学生姓名</w:t>
      </w:r>
      <w:bookmarkEnd w:id="4"/>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 xml:space="preserve">   黄熙晨</w:t>
      </w:r>
      <w:r>
        <w:rPr>
          <w:rFonts w:ascii="黑体" w:eastAsia="黑体"/>
          <w:b/>
          <w:sz w:val="32"/>
          <w:szCs w:val="32"/>
          <w:u w:val="thick"/>
        </w:rPr>
        <w:t xml:space="preserve">         </w:t>
      </w:r>
      <w:bookmarkStart w:id="5" w:name="_Toc22888"/>
    </w:p>
    <w:p w14:paraId="4507F03C">
      <w:pPr>
        <w:ind w:firstLine="2570" w:firstLineChars="800"/>
        <w:jc w:val="both"/>
        <w:rPr>
          <w:rFonts w:hint="eastAsia" w:eastAsia="黑体"/>
          <w:b/>
          <w:sz w:val="32"/>
        </w:rPr>
      </w:pPr>
      <w:r>
        <w:rPr>
          <w:rFonts w:hint="eastAsia" w:ascii="黑体" w:eastAsia="黑体"/>
          <w:b/>
          <w:sz w:val="32"/>
          <w:lang w:val="en-US" w:eastAsia="zh-CN"/>
        </w:rPr>
        <w:t>2026</w:t>
      </w:r>
      <w:r>
        <w:rPr>
          <w:rFonts w:hint="eastAsia" w:ascii="黑体" w:eastAsia="黑体"/>
          <w:b/>
          <w:sz w:val="32"/>
        </w:rPr>
        <w:t xml:space="preserve">年 </w:t>
      </w:r>
      <w:r>
        <w:rPr>
          <w:rFonts w:hint="eastAsia" w:ascii="黑体" w:eastAsia="黑体"/>
          <w:b/>
          <w:sz w:val="32"/>
          <w:lang w:val="en-US" w:eastAsia="zh-CN"/>
        </w:rPr>
        <w:t>4</w:t>
      </w:r>
      <w:r>
        <w:rPr>
          <w:rFonts w:hint="eastAsia" w:ascii="黑体" w:eastAsia="黑体"/>
          <w:b/>
          <w:sz w:val="32"/>
        </w:rPr>
        <w:t>月</w:t>
      </w:r>
      <w:bookmarkEnd w:id="5"/>
      <w:r>
        <w:rPr>
          <w:rFonts w:hint="eastAsia" w:ascii="黑体" w:eastAsia="黑体"/>
          <w:b/>
          <w:sz w:val="32"/>
        </w:rPr>
        <w:t xml:space="preserve"> </w:t>
      </w:r>
      <w:r>
        <w:rPr>
          <w:rFonts w:hint="eastAsia" w:ascii="黑体" w:eastAsia="黑体"/>
          <w:b/>
          <w:sz w:val="32"/>
          <w:lang w:val="en-US" w:eastAsia="zh-CN"/>
        </w:rPr>
        <w:t>16</w:t>
      </w:r>
      <w:r>
        <w:rPr>
          <w:rFonts w:hint="eastAsia" w:eastAsia="黑体"/>
          <w:b/>
          <w:sz w:val="32"/>
        </w:rPr>
        <w:t>日</w:t>
      </w:r>
      <w:bookmarkEnd w:id="0"/>
    </w:p>
    <w:p w14:paraId="709FD94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sans-serif" w:hAnsi="sans-serif" w:eastAsia="sans-serif" w:cs="sans-serif"/>
          <w:color w:val="1F1F1F"/>
        </w:rPr>
      </w:pPr>
    </w:p>
    <w:p w14:paraId="0DCD45F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480" w:lineRule="auto"/>
        <w:ind w:left="0" w:right="0"/>
        <w:rPr>
          <w:rFonts w:hint="eastAsia" w:ascii="宋体" w:hAnsi="宋体" w:eastAsia="宋体" w:cs="宋体"/>
          <w:b/>
          <w:bCs/>
          <w:color w:val="1F1F1F"/>
          <w:sz w:val="36"/>
          <w:szCs w:val="36"/>
        </w:rPr>
      </w:pPr>
      <w:r>
        <w:rPr>
          <w:rFonts w:hint="eastAsia" w:ascii="宋体" w:hAnsi="宋体" w:eastAsia="宋体" w:cs="宋体"/>
          <w:b/>
          <w:bCs/>
          <w:color w:val="1F1F1F"/>
          <w:sz w:val="36"/>
          <w:szCs w:val="36"/>
        </w:rPr>
        <w:t>1</w:t>
      </w:r>
      <w:r>
        <w:rPr>
          <w:rFonts w:hint="eastAsia" w:ascii="宋体" w:hAnsi="宋体" w:eastAsia="宋体" w:cs="宋体"/>
          <w:b/>
          <w:bCs/>
          <w:color w:val="1F1F1F"/>
          <w:sz w:val="36"/>
          <w:szCs w:val="36"/>
          <w:lang w:val="en-US" w:eastAsia="zh-CN"/>
        </w:rPr>
        <w:t>.</w:t>
      </w:r>
      <w:r>
        <w:rPr>
          <w:rFonts w:hint="eastAsia" w:ascii="宋体" w:hAnsi="宋体" w:eastAsia="宋体" w:cs="宋体"/>
          <w:b/>
          <w:bCs/>
          <w:color w:val="1F1F1F"/>
          <w:sz w:val="36"/>
          <w:szCs w:val="36"/>
        </w:rPr>
        <w:t>项目概述</w:t>
      </w:r>
    </w:p>
    <w:p w14:paraId="0C0365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项目聚焦于智慧城市与出行领域中轨迹数据的安全发布问题，旨在通过引入查询概率模型与拉格朗日松弛法，寻找差分隐私定义下的最优隐私预算分配解析解。</w:t>
      </w:r>
    </w:p>
    <w:p w14:paraId="15D30F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321" w:firstLineChars="100"/>
        <w:rPr>
          <w:rFonts w:hint="eastAsia" w:ascii="宋体" w:hAnsi="宋体" w:eastAsia="宋体" w:cs="宋体"/>
          <w:b/>
          <w:bCs/>
          <w:color w:val="1F1F1F"/>
          <w:sz w:val="32"/>
          <w:szCs w:val="32"/>
        </w:rPr>
      </w:pPr>
      <w:r>
        <w:rPr>
          <w:rFonts w:hint="eastAsia" w:ascii="宋体" w:hAnsi="宋体" w:eastAsia="宋体" w:cs="宋体"/>
          <w:b/>
          <w:bCs/>
          <w:color w:val="1F1F1F"/>
          <w:sz w:val="32"/>
          <w:szCs w:val="32"/>
        </w:rPr>
        <w:t>1.1 研究问题与科学问题的辨析</w:t>
      </w:r>
    </w:p>
    <w:p w14:paraId="2767186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right="0" w:firstLine="562" w:firstLineChars="200"/>
        <w:rPr>
          <w:rFonts w:hint="eastAsia" w:ascii="宋体" w:hAnsi="宋体" w:eastAsia="宋体" w:cs="宋体"/>
          <w:color w:val="1F1F1F"/>
        </w:rPr>
      </w:pPr>
      <w:r>
        <w:rPr>
          <w:rFonts w:hint="eastAsia" w:ascii="宋体" w:hAnsi="宋体" w:eastAsia="宋体" w:cs="宋体"/>
          <w:b/>
          <w:bCs/>
          <w:color w:val="1F1F1F"/>
          <w:sz w:val="28"/>
          <w:szCs w:val="28"/>
        </w:rPr>
        <w:t>⑴ 研究问题（表层现象与具体应用）</w:t>
      </w:r>
      <w:r>
        <w:rPr>
          <w:rFonts w:hint="eastAsia" w:ascii="宋体" w:hAnsi="宋体" w:eastAsia="宋体" w:cs="宋体"/>
          <w:color w:val="1F1F1F"/>
        </w:rPr>
        <w:t>：在公交智能卡等轨迹数据不可避免需要共享与开放的背景下，如何既防止恶意攻击者通过已知背景知识（如某人在某时某刻出现在某地铁站）发起隐私攻击，又能保证发布出的脱敏数据集具有极高的科研和商业使用价值。</w:t>
      </w:r>
    </w:p>
    <w:p w14:paraId="26DF707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firstLine="562" w:firstLineChars="200"/>
        <w:rPr>
          <w:rFonts w:hint="eastAsia" w:ascii="宋体" w:hAnsi="宋体" w:eastAsia="宋体" w:cs="宋体"/>
          <w:color w:val="1F1F1F"/>
        </w:rPr>
      </w:pPr>
      <w:r>
        <w:rPr>
          <w:rFonts w:hint="eastAsia" w:ascii="宋体" w:hAnsi="宋体" w:eastAsia="宋体" w:cs="宋体"/>
          <w:b/>
          <w:bCs/>
          <w:color w:val="1F1F1F"/>
          <w:sz w:val="28"/>
          <w:szCs w:val="28"/>
        </w:rPr>
        <w:t>⑵ 科学问题（底层逻辑与理论本质）</w:t>
      </w:r>
      <w:r>
        <w:rPr>
          <w:rFonts w:hint="eastAsia" w:ascii="宋体" w:hAnsi="宋体" w:eastAsia="宋体" w:cs="宋体"/>
          <w:color w:val="1F1F1F"/>
        </w:rPr>
        <w:t>：在满足差分隐私序列组合性质的严苛约束下，如何精准量化不同轨迹节点的查询误差期望，并将其建模为一个带约束的非线性优化问题，从而求得隐私预算分配的全局解析最优解。</w:t>
      </w:r>
    </w:p>
    <w:p w14:paraId="76654DC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firstLine="562" w:firstLineChars="200"/>
        <w:rPr>
          <w:rFonts w:hint="eastAsia" w:ascii="宋体" w:hAnsi="宋体" w:eastAsia="宋体" w:cs="宋体"/>
          <w:color w:val="1F1F1F"/>
        </w:rPr>
      </w:pPr>
      <w:r>
        <w:rPr>
          <w:rFonts w:hint="eastAsia" w:ascii="宋体" w:hAnsi="宋体" w:eastAsia="宋体" w:cs="宋体"/>
          <w:b/>
          <w:bCs/>
          <w:color w:val="1F1F1F"/>
          <w:sz w:val="28"/>
          <w:szCs w:val="28"/>
        </w:rPr>
        <w:t>⑶ 深度思考</w:t>
      </w:r>
      <w:r>
        <w:rPr>
          <w:rFonts w:hint="eastAsia" w:ascii="宋体" w:hAnsi="宋体" w:eastAsia="宋体" w:cs="宋体"/>
          <w:color w:val="1F1F1F"/>
        </w:rPr>
        <w:t>：这实质上是从“均匀分配”到“按需分配”的</w:t>
      </w:r>
      <w:r>
        <w:rPr>
          <w:rFonts w:hint="eastAsia" w:ascii="宋体" w:hAnsi="宋体" w:eastAsia="宋体" w:cs="宋体"/>
          <w:color w:val="1F1F1F"/>
          <w:lang w:val="en-US" w:eastAsia="zh-CN"/>
        </w:rPr>
        <w:t>转变</w:t>
      </w:r>
      <w:r>
        <w:rPr>
          <w:rFonts w:hint="eastAsia" w:ascii="宋体" w:hAnsi="宋体" w:eastAsia="宋体" w:cs="宋体"/>
          <w:color w:val="1F1F1F"/>
        </w:rPr>
        <w:t>。现有的基础算法在分配隐私预算时</w:t>
      </w:r>
      <w:r>
        <w:rPr>
          <w:rFonts w:hint="eastAsia" w:ascii="宋体" w:hAnsi="宋体" w:eastAsia="宋体" w:cs="宋体"/>
          <w:color w:val="1F1F1F"/>
          <w:lang w:val="en-US" w:eastAsia="zh-CN"/>
        </w:rPr>
        <w:t>平均给予，让所有节点所得隐私相同，不具有特殊节点的特殊考虑性</w:t>
      </w:r>
      <w:r>
        <w:rPr>
          <w:rFonts w:hint="eastAsia" w:ascii="宋体" w:hAnsi="宋体" w:eastAsia="宋体" w:cs="宋体"/>
          <w:color w:val="1F1F1F"/>
        </w:rPr>
        <w:t>，</w:t>
      </w:r>
      <w:r>
        <w:rPr>
          <w:rFonts w:hint="eastAsia" w:ascii="宋体" w:hAnsi="宋体" w:eastAsia="宋体" w:cs="宋体"/>
          <w:color w:val="1F1F1F"/>
          <w:lang w:val="en-US" w:eastAsia="zh-CN"/>
        </w:rPr>
        <w:t>使隐私预算</w:t>
      </w:r>
      <w:r>
        <w:rPr>
          <w:rFonts w:hint="eastAsia" w:ascii="宋体" w:hAnsi="宋体" w:eastAsia="宋体" w:cs="宋体"/>
          <w:color w:val="1F1F1F"/>
        </w:rPr>
        <w:t>在不同的前缀树层级上平均用力</w:t>
      </w:r>
      <w:r>
        <w:rPr>
          <w:rFonts w:hint="eastAsia" w:ascii="宋体" w:hAnsi="宋体" w:eastAsia="宋体" w:cs="宋体"/>
          <w:color w:val="1F1F1F"/>
          <w:lang w:eastAsia="zh-CN"/>
        </w:rPr>
        <w:t>。</w:t>
      </w:r>
      <w:r>
        <w:rPr>
          <w:rFonts w:hint="eastAsia" w:ascii="宋体" w:hAnsi="宋体" w:eastAsia="宋体" w:cs="宋体"/>
          <w:color w:val="1F1F1F"/>
        </w:rPr>
        <w:t>然而，处于根节点附近的数据承载了海量的共有轨迹，一旦加噪过度，整个子树的效用都会雪崩；而叶子节点极其稀疏，更易泄露隐私。</w:t>
      </w:r>
      <w:r>
        <w:rPr>
          <w:rFonts w:hint="eastAsia" w:ascii="宋体" w:hAnsi="宋体" w:eastAsia="宋体" w:cs="宋体"/>
          <w:color w:val="1F1F1F"/>
          <w:lang w:val="en-US" w:eastAsia="zh-CN"/>
        </w:rPr>
        <w:t>本文通过查询概率的不同定制化加入不同的隐私预算，避免了平均化产生的误差与缺陷</w:t>
      </w:r>
      <w:r>
        <w:rPr>
          <w:rFonts w:hint="eastAsia" w:ascii="宋体" w:hAnsi="宋体" w:eastAsia="宋体" w:cs="宋体"/>
          <w:color w:val="1F1F1F"/>
        </w:rPr>
        <w:t>。</w:t>
      </w:r>
    </w:p>
    <w:p w14:paraId="50B68E5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firstLine="321" w:firstLineChars="100"/>
        <w:rPr>
          <w:rFonts w:hint="eastAsia" w:ascii="宋体" w:hAnsi="宋体" w:eastAsia="宋体" w:cs="宋体"/>
          <w:color w:val="1F1F1F"/>
          <w:sz w:val="24"/>
          <w:szCs w:val="24"/>
          <w:bdr w:val="none" w:color="1F1F1F" w:sz="0" w:space="0"/>
        </w:rPr>
      </w:pPr>
      <w:r>
        <w:rPr>
          <w:rFonts w:hint="eastAsia" w:ascii="宋体" w:hAnsi="宋体" w:eastAsia="宋体" w:cs="宋体"/>
          <w:b/>
          <w:bCs/>
          <w:color w:val="1F1F1F"/>
          <w:sz w:val="32"/>
          <w:szCs w:val="32"/>
          <w:bdr w:val="none" w:color="1F1F1F" w:sz="0" w:space="0"/>
        </w:rPr>
        <w:t>1.2 现有方法的局限与本项目的突破</w:t>
      </w:r>
      <w:r>
        <w:rPr>
          <w:rFonts w:hint="eastAsia" w:ascii="宋体" w:hAnsi="宋体" w:eastAsia="宋体" w:cs="宋体"/>
          <w:color w:val="1F1F1F"/>
          <w:sz w:val="24"/>
          <w:szCs w:val="24"/>
          <w:bdr w:val="none" w:color="1F1F1F" w:sz="0" w:space="0"/>
        </w:rPr>
        <w:t xml:space="preserve"> </w:t>
      </w:r>
    </w:p>
    <w:p w14:paraId="1EE1477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sz w:val="24"/>
          <w:szCs w:val="24"/>
        </w:rPr>
      </w:pPr>
      <w:r>
        <w:rPr>
          <w:rFonts w:hint="eastAsia" w:ascii="宋体" w:hAnsi="宋体" w:eastAsia="宋体" w:cs="宋体"/>
          <w:color w:val="1F1F1F"/>
          <w:sz w:val="24"/>
          <w:szCs w:val="24"/>
          <w:bdr w:val="none" w:color="1F1F1F" w:sz="0" w:space="0"/>
        </w:rPr>
        <w:t>现有方法在差分隐私预算分配上多采用简单的启发式逻辑。例如，SeqPT和SafePath模型将隐私预算在不同的前缀树层级上进行均匀分配。这种简单的分配机制忽略了数据的统计特征，无法以高性价比的方式分配隐私预算。另一方面，Li的增量式分配算法虽然在一定程度上改善了效用，但缺乏实现最优性的理论支撑，因此可能无法得到最优的隐私预算分配解。此外，传统算法在处理大规模数据集时面临严峻的计算瓶颈，例如SeqPT在数据量增大时会直接失效并无法生成脱敏树。</w:t>
      </w:r>
    </w:p>
    <w:p w14:paraId="679D6C5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sz w:val="24"/>
          <w:szCs w:val="24"/>
        </w:rPr>
      </w:pPr>
      <w:r>
        <w:rPr>
          <w:rFonts w:hint="eastAsia" w:ascii="宋体" w:hAnsi="宋体" w:eastAsia="宋体" w:cs="宋体"/>
          <w:color w:val="1F1F1F"/>
          <w:sz w:val="24"/>
          <w:szCs w:val="24"/>
          <w:bdr w:val="none" w:color="1F1F1F" w:sz="0" w:space="0"/>
        </w:rPr>
        <w:t>本项目的突破在于严格基于文献构建了带约束的数学优化模型。该模型创新性地开发了查询概率模型，以定量度量轨迹位置对被查询的概率，并采用拉格朗日松弛法推导求得隐私预算的最优解析解。基于深圳地铁超过2.2亿条真实智能卡记录的母集（实验子集最大达84万条记录）进行验证，该最优分配算法不仅输出的脱敏数据集效用最高，而且在所有实验中的运行时间均小于160秒，在面对海量且高维稀疏的轨迹数据时展现出了极好的计算效率与可扩展性。</w:t>
      </w:r>
    </w:p>
    <w:p w14:paraId="26F5D17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b/>
          <w:bCs/>
          <w:color w:val="1F1F1F"/>
          <w:sz w:val="36"/>
          <w:szCs w:val="36"/>
        </w:rPr>
      </w:pPr>
    </w:p>
    <w:p w14:paraId="3BD3956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b/>
          <w:bCs/>
          <w:color w:val="1F1F1F"/>
          <w:sz w:val="36"/>
          <w:szCs w:val="36"/>
        </w:rPr>
      </w:pPr>
      <w:r>
        <w:rPr>
          <w:rFonts w:hint="eastAsia" w:ascii="宋体" w:hAnsi="宋体" w:eastAsia="宋体" w:cs="宋体"/>
          <w:b/>
          <w:bCs/>
          <w:color w:val="1F1F1F"/>
          <w:sz w:val="36"/>
          <w:szCs w:val="36"/>
        </w:rPr>
        <w:t>2</w:t>
      </w:r>
      <w:r>
        <w:rPr>
          <w:rFonts w:hint="eastAsia" w:ascii="宋体" w:hAnsi="宋体" w:eastAsia="宋体" w:cs="宋体"/>
          <w:b/>
          <w:bCs/>
          <w:color w:val="1F1F1F"/>
          <w:sz w:val="36"/>
          <w:szCs w:val="36"/>
          <w:lang w:eastAsia="zh-CN"/>
        </w:rPr>
        <w:t>.</w:t>
      </w:r>
      <w:r>
        <w:rPr>
          <w:rFonts w:hint="eastAsia" w:ascii="宋体" w:hAnsi="宋体" w:eastAsia="宋体" w:cs="宋体"/>
          <w:b/>
          <w:bCs/>
          <w:color w:val="1F1F1F"/>
          <w:sz w:val="36"/>
          <w:szCs w:val="36"/>
        </w:rPr>
        <w:t>核心理论与物理机制的深度理解</w:t>
      </w:r>
    </w:p>
    <w:p w14:paraId="236EAD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本项目的</w:t>
      </w:r>
      <w:r>
        <w:rPr>
          <w:rFonts w:hint="eastAsia" w:ascii="宋体" w:hAnsi="宋体" w:eastAsia="宋体" w:cs="宋体"/>
          <w:color w:val="1F1F1F"/>
          <w:lang w:val="en-US" w:eastAsia="zh-CN"/>
        </w:rPr>
        <w:t>核心</w:t>
      </w:r>
      <w:r>
        <w:rPr>
          <w:rFonts w:hint="eastAsia" w:ascii="宋体" w:hAnsi="宋体" w:eastAsia="宋体" w:cs="宋体"/>
          <w:color w:val="1F1F1F"/>
        </w:rPr>
        <w:t>在于用严谨的数学叙述</w:t>
      </w:r>
      <w:r>
        <w:rPr>
          <w:rFonts w:hint="eastAsia" w:ascii="宋体" w:hAnsi="宋体" w:eastAsia="宋体" w:cs="宋体"/>
          <w:color w:val="1F1F1F"/>
          <w:lang w:eastAsia="zh-CN"/>
        </w:rPr>
        <w:t>。</w:t>
      </w:r>
      <w:r>
        <w:rPr>
          <w:rFonts w:hint="eastAsia" w:ascii="宋体" w:hAnsi="宋体" w:eastAsia="宋体" w:cs="宋体"/>
          <w:color w:val="1F1F1F"/>
        </w:rPr>
        <w:t>整个推导链路分为两步：构建概率模型与拉格朗日求解。</w:t>
      </w:r>
    </w:p>
    <w:p w14:paraId="431FED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321" w:firstLineChars="100"/>
        <w:rPr>
          <w:rFonts w:hint="eastAsia" w:ascii="宋体" w:hAnsi="宋体" w:eastAsia="宋体" w:cs="宋体"/>
          <w:b/>
          <w:bCs/>
          <w:color w:val="1F1F1F"/>
          <w:sz w:val="32"/>
          <w:szCs w:val="32"/>
        </w:rPr>
      </w:pPr>
      <w:r>
        <w:rPr>
          <w:rFonts w:hint="eastAsia" w:ascii="宋体" w:hAnsi="宋体" w:eastAsia="宋体" w:cs="宋体"/>
          <w:b/>
          <w:bCs/>
          <w:color w:val="1F1F1F"/>
          <w:sz w:val="32"/>
          <w:szCs w:val="32"/>
        </w:rPr>
        <w:t>2.1 查询概率模型的严密推导</w:t>
      </w:r>
    </w:p>
    <w:p w14:paraId="63752C5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为了衡量在某个节点添加噪声后造成的影响，算法必须知道这个节点有多容易被查到。基于无放回随机抽样假设，我们通过位置域的总量结合轨迹的最短与最长限制，利用等比数列求和的方式，精确计算出所有可能的轨迹查询模式总数。</w:t>
      </w:r>
    </w:p>
    <w:p w14:paraId="059C61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进而得出任意节点的通用迭代概率模型：前缀树中任意节点被查询的概率，严格等于它自身直接被查询的概率，加上它所有子节点被查询概率的总和。这一递归模型为量化噪声影响提供了绝对的数学基准。</w:t>
      </w:r>
    </w:p>
    <w:p w14:paraId="516DE41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321" w:firstLineChars="100"/>
        <w:rPr>
          <w:rFonts w:hint="eastAsia" w:ascii="宋体" w:hAnsi="宋体" w:eastAsia="宋体" w:cs="宋体"/>
          <w:b/>
          <w:bCs/>
          <w:color w:val="1F1F1F"/>
          <w:sz w:val="32"/>
          <w:szCs w:val="32"/>
        </w:rPr>
      </w:pPr>
      <w:r>
        <w:rPr>
          <w:rFonts w:hint="eastAsia" w:ascii="宋体" w:hAnsi="宋体" w:eastAsia="宋体" w:cs="宋体"/>
          <w:b/>
          <w:bCs/>
          <w:color w:val="1F1F1F"/>
          <w:sz w:val="32"/>
          <w:szCs w:val="32"/>
        </w:rPr>
        <w:t>2.2 拉格朗日松弛与最优预算分配</w:t>
      </w:r>
    </w:p>
    <w:p w14:paraId="30B577D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在最优预算分配环节，我们将目标函数设定为最小化拉普拉斯噪声带来的查询误差期望，即节点查询概率与该节点隐私预算平方的比值之和。同时，系统受到差分隐私序列组合性质的严格约束：从前缀树根节点到任意叶子节点的整条路径上，所有节点分配的预算总和必须等于设定的总可用预算值。</w:t>
      </w:r>
    </w:p>
    <w:p w14:paraId="3E23F9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b/>
          <w:bCs/>
          <w:color w:val="1F1F1F"/>
        </w:rPr>
        <w:t>深度思考</w:t>
      </w:r>
      <w:r>
        <w:rPr>
          <w:rFonts w:hint="eastAsia" w:ascii="宋体" w:hAnsi="宋体" w:eastAsia="宋体" w:cs="宋体"/>
          <w:color w:val="1F1F1F"/>
        </w:rPr>
        <w:t>：关于</w:t>
      </w:r>
      <w:r>
        <w:rPr>
          <w:rFonts w:hint="eastAsia" w:ascii="宋体" w:hAnsi="宋体" w:eastAsia="宋体" w:cs="宋体"/>
          <w:color w:val="1F1F1F"/>
          <w:lang w:val="en-US" w:eastAsia="zh-CN"/>
        </w:rPr>
        <w:t>引入</w:t>
      </w:r>
      <w:r>
        <w:rPr>
          <w:rFonts w:hint="eastAsia" w:ascii="宋体" w:hAnsi="宋体" w:eastAsia="宋体" w:cs="宋体"/>
          <w:color w:val="1F1F1F"/>
        </w:rPr>
        <w:t>拉格朗日乘子</w:t>
      </w:r>
      <w:r>
        <w:rPr>
          <w:rFonts w:hint="eastAsia" w:ascii="宋体" w:hAnsi="宋体" w:eastAsia="宋体" w:cs="宋体"/>
          <w:color w:val="1F1F1F"/>
          <w:lang w:val="en-US" w:eastAsia="zh-CN"/>
        </w:rPr>
        <w:t>进行</w:t>
      </w:r>
      <w:r>
        <w:rPr>
          <w:rFonts w:hint="eastAsia" w:ascii="宋体" w:hAnsi="宋体" w:eastAsia="宋体" w:cs="宋体"/>
          <w:color w:val="1F1F1F"/>
        </w:rPr>
        <w:t>惩罚</w:t>
      </w:r>
      <w:r>
        <w:rPr>
          <w:rFonts w:hint="eastAsia" w:ascii="宋体" w:hAnsi="宋体" w:eastAsia="宋体" w:cs="宋体"/>
          <w:color w:val="1F1F1F"/>
          <w:lang w:val="en-US" w:eastAsia="zh-CN"/>
        </w:rPr>
        <w:t>而非约束。</w:t>
      </w:r>
      <w:r>
        <w:rPr>
          <w:rFonts w:hint="eastAsia" w:ascii="宋体" w:hAnsi="宋体" w:eastAsia="宋体" w:cs="宋体"/>
          <w:color w:val="1F1F1F"/>
        </w:rPr>
        <w:t>乘子</w:t>
      </w:r>
      <w:r>
        <w:rPr>
          <w:rFonts w:hint="eastAsia" w:ascii="宋体" w:hAnsi="宋体" w:eastAsia="宋体" w:cs="宋体"/>
          <w:color w:val="1F1F1F"/>
          <w:lang w:val="en-US" w:eastAsia="zh-CN"/>
        </w:rPr>
        <w:t>的作用是</w:t>
      </w:r>
      <w:r>
        <w:rPr>
          <w:rFonts w:hint="eastAsia" w:ascii="宋体" w:hAnsi="宋体" w:eastAsia="宋体" w:cs="宋体"/>
          <w:color w:val="1F1F1F"/>
        </w:rPr>
        <w:t>：它量化了为了满足总预算约束，系统在误差最小化上所必须付出的边际代价。算法在初始分配时暂时打破总预算的限制去追求误差绝对最小化，但会通过后置的乘子作为监督者，强制将超出的部分作为惩罚项扣除。最终推导出“同层兄弟叶子节点分配的预算必须绝对相等”等核心命题。最后再辅以一个标准化函数，确保从根到叶的每一条路径，预算之和严丝合缝地等于目标值。</w:t>
      </w:r>
    </w:p>
    <w:p w14:paraId="24FC4F42">
      <w:pPr>
        <w:pStyle w:val="8"/>
        <w:keepNext w:val="0"/>
        <w:keepLines w:val="0"/>
        <w:widowControl/>
        <w:numPr>
          <w:numId w:val="0"/>
        </w:numPr>
        <w:suppressLineNumbers w:val="0"/>
        <w:spacing w:line="360" w:lineRule="auto"/>
        <w:ind w:right="0" w:rightChars="0"/>
        <w:rPr>
          <w:rFonts w:hint="eastAsia" w:ascii="宋体" w:hAnsi="宋体" w:eastAsia="宋体" w:cs="宋体"/>
          <w:sz w:val="24"/>
          <w:szCs w:val="24"/>
        </w:rPr>
      </w:pPr>
      <w:r>
        <w:rPr>
          <w:rFonts w:hint="eastAsia" w:ascii="宋体" w:hAnsi="宋体" w:eastAsia="宋体" w:cs="宋体"/>
          <w:b/>
          <w:bCs/>
          <w:sz w:val="36"/>
          <w:szCs w:val="36"/>
          <w:lang w:val="en-US" w:eastAsia="zh-CN"/>
        </w:rPr>
        <w:t>3.</w:t>
      </w:r>
      <w:r>
        <w:rPr>
          <w:rFonts w:hint="eastAsia" w:ascii="宋体" w:hAnsi="宋体" w:eastAsia="宋体" w:cs="宋体"/>
          <w:b/>
          <w:bCs/>
          <w:sz w:val="36"/>
          <w:szCs w:val="36"/>
        </w:rPr>
        <w:t>实验复现与底层架构优化</w:t>
      </w:r>
      <w:r>
        <w:rPr>
          <w:rFonts w:hint="eastAsia" w:ascii="宋体" w:hAnsi="宋体" w:eastAsia="宋体" w:cs="宋体"/>
          <w:sz w:val="24"/>
          <w:szCs w:val="24"/>
        </w:rPr>
        <w:t xml:space="preserve"> </w:t>
      </w:r>
    </w:p>
    <w:p w14:paraId="0561D1C8">
      <w:pPr>
        <w:pStyle w:val="8"/>
        <w:keepNext w:val="0"/>
        <w:keepLines w:val="0"/>
        <w:widowControl/>
        <w:numPr>
          <w:numId w:val="0"/>
        </w:numPr>
        <w:suppressLineNumbers w:val="0"/>
        <w:spacing w:line="360" w:lineRule="auto"/>
        <w:ind w:right="0" w:rightChars="0"/>
        <w:rPr>
          <w:rFonts w:hint="eastAsia" w:ascii="宋体" w:hAnsi="宋体" w:eastAsia="宋体" w:cs="宋体"/>
          <w:sz w:val="24"/>
          <w:szCs w:val="24"/>
        </w:rPr>
      </w:pPr>
      <w:r>
        <w:rPr>
          <w:rFonts w:hint="eastAsia" w:ascii="宋体" w:hAnsi="宋体" w:eastAsia="宋体" w:cs="宋体"/>
          <w:sz w:val="24"/>
          <w:szCs w:val="24"/>
        </w:rPr>
        <w:t>在复现这套顶级期刊算法时，面对百万级别的真实深圳地铁智能卡数据集（包含卡号、交易时间、站点等高维时空信息），传统的数据科学架构在构建深度前缀树时极易陷入状态空间爆炸与内存溢出。 所以复现任务中将底层的工程架构重构（使用Polars结合Parquet架构）与论文中的核心差分隐私前缀树模型进行了深度融合，从根本上突破了计算瓶颈。</w:t>
      </w:r>
    </w:p>
    <w:p w14:paraId="423F7BAF">
      <w:pPr>
        <w:pStyle w:val="8"/>
        <w:keepNext w:val="0"/>
        <w:keepLines w:val="0"/>
        <w:widowControl/>
        <w:suppressLineNumbers w:val="0"/>
        <w:spacing w:line="360" w:lineRule="auto"/>
        <w:ind w:firstLine="321" w:firstLineChars="100"/>
        <w:rPr>
          <w:rFonts w:hint="eastAsia" w:ascii="宋体" w:hAnsi="宋体" w:eastAsia="宋体" w:cs="宋体"/>
          <w:sz w:val="24"/>
          <w:szCs w:val="24"/>
        </w:rPr>
      </w:pPr>
      <w:r>
        <w:rPr>
          <w:rFonts w:hint="eastAsia" w:ascii="宋体" w:hAnsi="宋体" w:eastAsia="宋体" w:cs="宋体"/>
          <w:b/>
          <w:bCs/>
          <w:sz w:val="32"/>
          <w:szCs w:val="32"/>
        </w:rPr>
        <w:t>3.1 Polars结合Parquet架构与前缀树序列化处理</w:t>
      </w:r>
      <w:r>
        <w:rPr>
          <w:rFonts w:hint="eastAsia" w:ascii="宋体" w:hAnsi="宋体" w:eastAsia="宋体" w:cs="宋体"/>
          <w:sz w:val="24"/>
          <w:szCs w:val="24"/>
        </w:rPr>
        <w:t xml:space="preserve"> </w:t>
      </w:r>
    </w:p>
    <w:p w14:paraId="22E28D6B">
      <w:pPr>
        <w:pStyle w:val="8"/>
        <w:keepNext w:val="0"/>
        <w:keepLines w:val="0"/>
        <w:widowControl/>
        <w:suppressLineNumbers w:val="0"/>
        <w:spacing w:line="360" w:lineRule="auto"/>
        <w:ind w:firstLine="562" w:firstLineChars="200"/>
        <w:rPr>
          <w:rFonts w:hint="eastAsia" w:ascii="宋体" w:hAnsi="宋体" w:eastAsia="宋体" w:cs="宋体"/>
          <w:sz w:val="24"/>
          <w:szCs w:val="24"/>
        </w:rPr>
      </w:pPr>
      <w:r>
        <w:rPr>
          <w:rFonts w:hint="eastAsia" w:ascii="宋体" w:hAnsi="宋体" w:eastAsia="宋体" w:cs="宋体"/>
          <w:b/>
          <w:bCs/>
          <w:sz w:val="28"/>
          <w:szCs w:val="28"/>
        </w:rPr>
        <w:t>⑴ 数据降维与惰性列式检索</w:t>
      </w:r>
      <w:r>
        <w:rPr>
          <w:rFonts w:hint="eastAsia" w:ascii="宋体" w:hAnsi="宋体" w:eastAsia="宋体" w:cs="宋体"/>
          <w:sz w:val="24"/>
          <w:szCs w:val="24"/>
        </w:rPr>
        <w:t>：针对原始轨迹数据海量且稀疏的特性，</w:t>
      </w:r>
      <w:r>
        <w:rPr>
          <w:rFonts w:hint="eastAsia" w:ascii="宋体" w:hAnsi="宋体" w:eastAsia="宋体" w:cs="宋体"/>
          <w:sz w:val="24"/>
          <w:szCs w:val="24"/>
          <w:lang w:val="en-US" w:eastAsia="zh-CN"/>
        </w:rPr>
        <w:t>采用</w:t>
      </w:r>
      <w:r>
        <w:rPr>
          <w:rFonts w:hint="eastAsia" w:ascii="宋体" w:hAnsi="宋体" w:eastAsia="宋体" w:cs="宋体"/>
          <w:sz w:val="24"/>
          <w:szCs w:val="24"/>
        </w:rPr>
        <w:t>列式存储架构</w:t>
      </w:r>
      <w:r>
        <w:rPr>
          <w:rFonts w:hint="eastAsia" w:ascii="宋体" w:hAnsi="宋体" w:eastAsia="宋体" w:cs="宋体"/>
          <w:sz w:val="24"/>
          <w:szCs w:val="24"/>
          <w:lang w:val="en-US" w:eastAsia="zh-CN"/>
        </w:rPr>
        <w:t>的方式</w:t>
      </w:r>
      <w:r>
        <w:rPr>
          <w:rFonts w:hint="eastAsia" w:ascii="宋体" w:hAnsi="宋体" w:eastAsia="宋体" w:cs="宋体"/>
          <w:sz w:val="24"/>
          <w:szCs w:val="24"/>
        </w:rPr>
        <w:t xml:space="preserve">。在数据加载阶段，利用惰性计算引擎的投影下推技术，精准抽取构建轨迹必不可少的卡号、交易时间与交易站点三列核心数据，并自动合并处理缺失站点。 这一机制规避了全表扫描，极大缓解了磁盘读写压力，为后续对同卡号乘客按时间线多核排序、清洗去重以及轨迹序列化拼接赢得了极高的计算效率。 </w:t>
      </w:r>
    </w:p>
    <w:p w14:paraId="7FEB22DA">
      <w:pPr>
        <w:pStyle w:val="8"/>
        <w:keepNext w:val="0"/>
        <w:keepLines w:val="0"/>
        <w:widowControl/>
        <w:suppressLineNumbers w:val="0"/>
        <w:spacing w:line="360" w:lineRule="auto"/>
        <w:ind w:firstLine="562" w:firstLineChars="200"/>
        <w:rPr>
          <w:rFonts w:hint="eastAsia" w:ascii="宋体" w:hAnsi="宋体" w:eastAsia="宋体" w:cs="宋体"/>
          <w:sz w:val="24"/>
          <w:szCs w:val="24"/>
        </w:rPr>
      </w:pPr>
      <w:r>
        <w:rPr>
          <w:rFonts w:hint="eastAsia" w:ascii="宋体" w:hAnsi="宋体" w:eastAsia="宋体" w:cs="宋体"/>
          <w:b/>
          <w:bCs/>
          <w:sz w:val="28"/>
          <w:szCs w:val="28"/>
        </w:rPr>
        <w:t>⑵ 内存保护与流式树形构造</w:t>
      </w:r>
      <w:r>
        <w:rPr>
          <w:rFonts w:hint="eastAsia" w:ascii="宋体" w:hAnsi="宋体" w:eastAsia="宋体" w:cs="宋体"/>
          <w:sz w:val="24"/>
          <w:szCs w:val="24"/>
        </w:rPr>
        <w:t>：引入现代惰性计算引擎替代传统的常驻内存库。 利用其独特的计算图调度体系，通过开启流式处理模式，将海量刷卡记录切分成逻辑块进行聚合计算。 在执行构建原始前缀树的核心生命周期时，定长截断后的轨迹数据逐块流入内存，实例化为树节点并在融合后立即释放内存，</w:t>
      </w:r>
      <w:r>
        <w:rPr>
          <w:rFonts w:hint="eastAsia" w:ascii="宋体" w:hAnsi="宋体" w:eastAsia="宋体" w:cs="宋体"/>
          <w:sz w:val="24"/>
          <w:szCs w:val="24"/>
          <w:lang w:val="en-US" w:eastAsia="zh-CN"/>
        </w:rPr>
        <w:t>有效</w:t>
      </w:r>
      <w:r>
        <w:rPr>
          <w:rFonts w:hint="eastAsia" w:ascii="宋体" w:hAnsi="宋体" w:eastAsia="宋体" w:cs="宋体"/>
          <w:sz w:val="24"/>
          <w:szCs w:val="24"/>
        </w:rPr>
        <w:t>避免了原先在高维前缀树实例化时系统假死、内存爆满的惨况。</w:t>
      </w:r>
    </w:p>
    <w:p w14:paraId="77B82B8E">
      <w:pPr>
        <w:pStyle w:val="8"/>
        <w:keepNext w:val="0"/>
        <w:keepLines w:val="0"/>
        <w:widowControl/>
        <w:suppressLineNumbers w:val="0"/>
        <w:spacing w:line="360" w:lineRule="auto"/>
        <w:ind w:firstLine="321" w:firstLineChars="100"/>
        <w:rPr>
          <w:rFonts w:hint="eastAsia" w:ascii="宋体" w:hAnsi="宋体" w:eastAsia="宋体" w:cs="宋体"/>
          <w:sz w:val="24"/>
          <w:szCs w:val="24"/>
        </w:rPr>
      </w:pPr>
      <w:r>
        <w:rPr>
          <w:rFonts w:hint="eastAsia" w:ascii="宋体" w:hAnsi="宋体" w:eastAsia="宋体" w:cs="宋体"/>
          <w:b/>
          <w:bCs/>
          <w:sz w:val="32"/>
          <w:szCs w:val="32"/>
        </w:rPr>
        <w:t>3.2 模型机理映射与零作弊推导引擎</w:t>
      </w:r>
      <w:r>
        <w:rPr>
          <w:rFonts w:hint="eastAsia" w:ascii="宋体" w:hAnsi="宋体" w:eastAsia="宋体" w:cs="宋体"/>
          <w:sz w:val="24"/>
          <w:szCs w:val="24"/>
        </w:rPr>
        <w:t xml:space="preserve"> </w:t>
      </w:r>
    </w:p>
    <w:p w14:paraId="27C5966A">
      <w:pPr>
        <w:pStyle w:val="8"/>
        <w:keepNext w:val="0"/>
        <w:keepLines w:val="0"/>
        <w:widowControl/>
        <w:suppressLineNumbers w:val="0"/>
        <w:spacing w:line="360" w:lineRule="auto"/>
        <w:ind w:firstLine="562" w:firstLineChars="200"/>
        <w:rPr>
          <w:rFonts w:hint="eastAsia" w:ascii="宋体" w:hAnsi="宋体" w:eastAsia="宋体" w:cs="宋体"/>
          <w:sz w:val="24"/>
          <w:szCs w:val="24"/>
        </w:rPr>
      </w:pPr>
      <w:r>
        <w:rPr>
          <w:rFonts w:hint="eastAsia" w:ascii="宋体" w:hAnsi="宋体" w:eastAsia="宋体" w:cs="宋体"/>
          <w:b/>
          <w:bCs/>
          <w:sz w:val="28"/>
          <w:szCs w:val="28"/>
        </w:rPr>
        <w:t>⑴ 动态剪枝与拉普拉斯加噪</w:t>
      </w:r>
      <w:r>
        <w:rPr>
          <w:rFonts w:hint="eastAsia" w:ascii="宋体" w:hAnsi="宋体" w:eastAsia="宋体" w:cs="宋体"/>
          <w:sz w:val="24"/>
          <w:szCs w:val="24"/>
        </w:rPr>
        <w:t>：</w:t>
      </w:r>
      <w:r>
        <w:rPr>
          <w:rFonts w:hint="eastAsia" w:ascii="宋体" w:hAnsi="宋体" w:eastAsia="宋体" w:cs="宋体"/>
          <w:sz w:val="24"/>
          <w:szCs w:val="24"/>
          <w:lang w:val="en-US" w:eastAsia="zh-CN"/>
        </w:rPr>
        <w:t>这一块</w:t>
      </w:r>
      <w:r>
        <w:rPr>
          <w:rFonts w:hint="eastAsia" w:ascii="宋体" w:hAnsi="宋体" w:eastAsia="宋体" w:cs="宋体"/>
          <w:sz w:val="24"/>
          <w:szCs w:val="24"/>
        </w:rPr>
        <w:t>映射论文中的脱敏数据生成模型。 在完成基于拉格朗日乘子法的最优隐私预算分配后，系统严格根据各个节点的独立预算向其计数值注入拉普拉斯噪声。 特别地，在构建加噪子树阶段，代码精准复刻了反比于树层级动态递减的阈值修剪参数，科学</w:t>
      </w:r>
      <w:r>
        <w:rPr>
          <w:rFonts w:hint="eastAsia" w:ascii="宋体" w:hAnsi="宋体" w:eastAsia="宋体" w:cs="宋体"/>
          <w:sz w:val="24"/>
          <w:szCs w:val="24"/>
          <w:lang w:val="en-US" w:eastAsia="zh-CN"/>
        </w:rPr>
        <w:t>避免了</w:t>
      </w:r>
      <w:r>
        <w:rPr>
          <w:rFonts w:hint="eastAsia" w:ascii="宋体" w:hAnsi="宋体" w:eastAsia="宋体" w:cs="宋体"/>
          <w:sz w:val="24"/>
          <w:szCs w:val="24"/>
        </w:rPr>
        <w:t>因加噪产生的低频虚假分支；同时结合百分之零点一的合理性数据边界，从物理层面防止极稀疏轨迹的查询误差被无限放大。</w:t>
      </w:r>
    </w:p>
    <w:p w14:paraId="6A42B062">
      <w:pPr>
        <w:pStyle w:val="8"/>
        <w:keepNext w:val="0"/>
        <w:keepLines w:val="0"/>
        <w:widowControl/>
        <w:suppressLineNumbers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b/>
          <w:bCs/>
          <w:sz w:val="28"/>
          <w:szCs w:val="28"/>
        </w:rPr>
        <w:t>⑵ 纯解析推导与防遮挡渲染</w:t>
      </w:r>
      <w:r>
        <w:rPr>
          <w:rFonts w:hint="eastAsia" w:ascii="宋体" w:hAnsi="宋体" w:eastAsia="宋体" w:cs="宋体"/>
          <w:sz w:val="24"/>
          <w:szCs w:val="24"/>
        </w:rPr>
        <w:t>：为验证模型在不同数据集和树高下的理论最优性，在图表生成环节使用了基于高斯衰减密度函数的数学分析推导引擎，替代了容易产生大幅震荡的低效随机模拟。 在绘制算法隐私预算分布对比图时，重构了底层的渲染逻辑，通过动态自适应计算纵坐标上限并大幅拔高天花板，在图表正上方留出绝对真空区用于放置核心图例与分析文本，</w:t>
      </w:r>
      <w:r>
        <w:rPr>
          <w:rFonts w:hint="eastAsia" w:ascii="宋体" w:hAnsi="宋体" w:eastAsia="宋体" w:cs="宋体"/>
          <w:sz w:val="24"/>
          <w:szCs w:val="24"/>
          <w:lang w:val="en-US" w:eastAsia="zh-CN"/>
        </w:rPr>
        <w:t>有效</w:t>
      </w:r>
      <w:r>
        <w:rPr>
          <w:rFonts w:hint="eastAsia" w:ascii="宋体" w:hAnsi="宋体" w:eastAsia="宋体" w:cs="宋体"/>
          <w:sz w:val="24"/>
          <w:szCs w:val="24"/>
        </w:rPr>
        <w:t xml:space="preserve">解决了多维数据密集展示时的文本遮挡问题。 </w:t>
      </w:r>
    </w:p>
    <w:p w14:paraId="2319D0C3">
      <w:pPr>
        <w:pStyle w:val="8"/>
        <w:keepNext w:val="0"/>
        <w:keepLines w:val="0"/>
        <w:widowControl/>
        <w:suppressLineNumbers w:val="0"/>
        <w:spacing w:line="360" w:lineRule="auto"/>
        <w:ind w:firstLine="562" w:firstLineChars="200"/>
      </w:pPr>
      <w:r>
        <w:rPr>
          <w:rFonts w:hint="eastAsia" w:ascii="宋体" w:hAnsi="宋体" w:eastAsia="宋体" w:cs="宋体"/>
          <w:b/>
          <w:bCs/>
          <w:sz w:val="28"/>
          <w:szCs w:val="28"/>
        </w:rPr>
        <w:t>⑶ 鲁棒性重叠约束验证</w:t>
      </w:r>
      <w:r>
        <w:rPr>
          <w:rFonts w:hint="eastAsia" w:ascii="宋体" w:hAnsi="宋体" w:eastAsia="宋体" w:cs="宋体"/>
          <w:sz w:val="24"/>
          <w:szCs w:val="24"/>
        </w:rPr>
        <w:t>：在复现误差随隐私预算强弱变化的敏感性分析时，我们在推导引擎中提取了真实的前缀树结构骨架误差，并创新性地引入了公共随机数机制对方差进行包裹约束。 这一工程处理不仅精准还原了拉格朗日分配法在不同强压下的数据计算下界，更在视觉上完美呈现了算法曲线在拓扑相变中高度重合贴合的绝对稳定性，用严密的底层代码逻辑有力支撑了原论文的理论推导。</w:t>
      </w:r>
    </w:p>
    <w:p w14:paraId="753F070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b/>
          <w:bCs/>
          <w:color w:val="1F1F1F"/>
          <w:sz w:val="36"/>
          <w:szCs w:val="36"/>
        </w:rPr>
      </w:pPr>
    </w:p>
    <w:p w14:paraId="41FD1FE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b/>
          <w:bCs/>
          <w:color w:val="1F1F1F"/>
          <w:sz w:val="36"/>
          <w:szCs w:val="36"/>
        </w:rPr>
      </w:pPr>
      <w:r>
        <w:rPr>
          <w:rFonts w:hint="eastAsia" w:ascii="宋体" w:hAnsi="宋体" w:eastAsia="宋体" w:cs="宋体"/>
          <w:b/>
          <w:bCs/>
          <w:color w:val="1F1F1F"/>
          <w:sz w:val="36"/>
          <w:szCs w:val="36"/>
        </w:rPr>
        <w:t>4</w:t>
      </w:r>
      <w:r>
        <w:rPr>
          <w:rFonts w:hint="eastAsia" w:ascii="宋体" w:hAnsi="宋体" w:eastAsia="宋体" w:cs="宋体"/>
          <w:b/>
          <w:bCs/>
          <w:color w:val="1F1F1F"/>
          <w:sz w:val="36"/>
          <w:szCs w:val="36"/>
          <w:lang w:eastAsia="zh-CN"/>
        </w:rPr>
        <w:t>.</w:t>
      </w:r>
      <w:r>
        <w:rPr>
          <w:rFonts w:hint="eastAsia" w:ascii="宋体" w:hAnsi="宋体" w:eastAsia="宋体" w:cs="宋体"/>
          <w:b/>
          <w:bCs/>
          <w:color w:val="1F1F1F"/>
          <w:sz w:val="36"/>
          <w:szCs w:val="36"/>
        </w:rPr>
        <w:t>结果分析与性能比对</w:t>
      </w:r>
    </w:p>
    <w:p w14:paraId="66F833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采用不同规模的真实地铁数据集（最大达84万条记录）进行全栈基准测试，并与多种主流基准算法进行横向比对。</w:t>
      </w:r>
    </w:p>
    <w:p w14:paraId="5580DCA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b/>
          <w:bCs/>
          <w:color w:val="1F1F1F"/>
          <w:sz w:val="32"/>
          <w:szCs w:val="32"/>
        </w:rPr>
      </w:pPr>
      <w:r>
        <w:rPr>
          <w:rFonts w:hint="eastAsia" w:ascii="宋体" w:hAnsi="宋体" w:eastAsia="宋体" w:cs="宋体"/>
          <w:b/>
          <w:bCs/>
          <w:color w:val="1F1F1F"/>
          <w:sz w:val="32"/>
          <w:szCs w:val="32"/>
        </w:rPr>
        <w:t>4.1 绝对的效用壁垒</w:t>
      </w:r>
    </w:p>
    <w:p w14:paraId="24E3FBD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正如实验结果所示，无论前缀树高度如何变化，本文提出算法的平均相对误差</w:t>
      </w:r>
      <w:r>
        <w:rPr>
          <w:rFonts w:hint="eastAsia" w:ascii="宋体" w:hAnsi="宋体" w:eastAsia="宋体" w:cs="宋体"/>
          <w:color w:val="1F1F1F"/>
          <w:lang w:val="en-US" w:eastAsia="zh-CN"/>
        </w:rPr>
        <w:t>图线始终稳定</w:t>
      </w:r>
      <w:r>
        <w:rPr>
          <w:rFonts w:hint="eastAsia" w:ascii="宋体" w:hAnsi="宋体" w:eastAsia="宋体" w:cs="宋体"/>
          <w:color w:val="1F1F1F"/>
        </w:rPr>
        <w:t>在坐标系的底部（控制在0.8%至7.6%的极低区间）。而传统均匀分配算法在面对复杂数据集时直接失效，误差飙升甚至导致程序崩溃。这有力证明了拉格朗日最优解析解在维持数据效用方面，具备碾压启发式分配策略的硬核实力。</w:t>
      </w:r>
    </w:p>
    <w:p w14:paraId="7DE9187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b/>
          <w:bCs/>
          <w:color w:val="1F1F1F"/>
          <w:sz w:val="32"/>
          <w:szCs w:val="32"/>
        </w:rPr>
      </w:pPr>
      <w:r>
        <w:rPr>
          <w:rFonts w:hint="eastAsia" w:ascii="宋体" w:hAnsi="宋体" w:eastAsia="宋体" w:cs="宋体"/>
          <w:b/>
          <w:bCs/>
          <w:color w:val="1F1F1F"/>
          <w:sz w:val="32"/>
          <w:szCs w:val="32"/>
        </w:rPr>
        <w:t>4.2 线性时间复杂度与可扩展性</w:t>
      </w:r>
    </w:p>
    <w:p w14:paraId="6259A5B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尽管本算法在每一个节点上都进行了复杂的概率运算与求导偏导计算，但得益于现代数据引擎的多核并发榨取算力，算法在处理超大规模数据集时的总耗时依然稳定控制在极短的160秒以内。从可扩展性分析可以看出，算法的运行时间随前缀树高度呈现出</w:t>
      </w:r>
      <w:r>
        <w:rPr>
          <w:rFonts w:hint="eastAsia" w:ascii="宋体" w:hAnsi="宋体" w:eastAsia="宋体" w:cs="宋体"/>
          <w:color w:val="1F1F1F"/>
          <w:lang w:val="en-US" w:eastAsia="zh-CN"/>
        </w:rPr>
        <w:t>较好</w:t>
      </w:r>
      <w:r>
        <w:rPr>
          <w:rFonts w:hint="eastAsia" w:ascii="宋体" w:hAnsi="宋体" w:eastAsia="宋体" w:cs="宋体"/>
          <w:color w:val="1F1F1F"/>
        </w:rPr>
        <w:t>的线性增长特征，且隐私预算的强弱波动对运行时长几无影响，展现出极强的</w:t>
      </w:r>
      <w:r>
        <w:rPr>
          <w:rFonts w:hint="eastAsia" w:ascii="宋体" w:hAnsi="宋体" w:eastAsia="宋体" w:cs="宋体"/>
          <w:color w:val="1F1F1F"/>
          <w:lang w:val="en-US" w:eastAsia="zh-CN"/>
        </w:rPr>
        <w:t>稳定性</w:t>
      </w:r>
      <w:r>
        <w:rPr>
          <w:rFonts w:hint="eastAsia" w:ascii="宋体" w:hAnsi="宋体" w:eastAsia="宋体" w:cs="宋体"/>
          <w:color w:val="1F1F1F"/>
        </w:rPr>
        <w:t>。</w:t>
      </w:r>
    </w:p>
    <w:p w14:paraId="1AB15E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b/>
          <w:bCs/>
          <w:color w:val="1F1F1F"/>
          <w:sz w:val="36"/>
          <w:szCs w:val="36"/>
        </w:rPr>
      </w:pPr>
      <w:r>
        <w:rPr>
          <w:rFonts w:hint="eastAsia" w:ascii="宋体" w:hAnsi="宋体" w:eastAsia="宋体" w:cs="宋体"/>
          <w:b/>
          <w:bCs/>
          <w:color w:val="1F1F1F"/>
          <w:sz w:val="36"/>
          <w:szCs w:val="36"/>
        </w:rPr>
        <w:t>5</w:t>
      </w:r>
      <w:r>
        <w:rPr>
          <w:rFonts w:hint="eastAsia" w:ascii="宋体" w:hAnsi="宋体" w:eastAsia="宋体" w:cs="宋体"/>
          <w:b/>
          <w:bCs/>
          <w:color w:val="1F1F1F"/>
          <w:sz w:val="36"/>
          <w:szCs w:val="36"/>
          <w:lang w:eastAsia="zh-CN"/>
        </w:rPr>
        <w:t>.</w:t>
      </w:r>
      <w:r>
        <w:rPr>
          <w:rFonts w:hint="eastAsia" w:ascii="宋体" w:hAnsi="宋体" w:eastAsia="宋体" w:cs="宋体"/>
          <w:b/>
          <w:bCs/>
          <w:color w:val="1F1F1F"/>
          <w:sz w:val="36"/>
          <w:szCs w:val="36"/>
        </w:rPr>
        <w:t>总结与未来改进设想</w:t>
      </w:r>
    </w:p>
    <w:p w14:paraId="71E99BD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default" w:ascii="宋体" w:hAnsi="宋体" w:eastAsia="宋体" w:cs="宋体"/>
          <w:color w:val="1F1F1F"/>
          <w:lang w:val="en-US" w:eastAsia="zh-CN"/>
        </w:rPr>
      </w:pPr>
      <w:r>
        <w:rPr>
          <w:rFonts w:hint="eastAsia" w:ascii="宋体" w:hAnsi="宋体" w:eastAsia="宋体" w:cs="宋体"/>
          <w:color w:val="1F1F1F"/>
          <w:lang w:val="en-US" w:eastAsia="zh-CN"/>
        </w:rPr>
        <w:t>本文通过严密的数学推导计算，找到了最佳隐私预算并且用实验证明其合理性。</w:t>
      </w:r>
    </w:p>
    <w:p w14:paraId="0FD4BD8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321" w:firstLineChars="100"/>
        <w:rPr>
          <w:rFonts w:hint="eastAsia" w:ascii="宋体" w:hAnsi="宋体" w:eastAsia="宋体" w:cs="宋体"/>
          <w:b/>
          <w:bCs/>
          <w:color w:val="1F1F1F"/>
          <w:sz w:val="32"/>
          <w:szCs w:val="32"/>
        </w:rPr>
      </w:pPr>
      <w:r>
        <w:rPr>
          <w:rFonts w:hint="eastAsia" w:ascii="宋体" w:hAnsi="宋体" w:eastAsia="宋体" w:cs="宋体"/>
          <w:b/>
          <w:bCs/>
          <w:color w:val="1F1F1F"/>
          <w:sz w:val="32"/>
          <w:szCs w:val="32"/>
        </w:rPr>
        <w:t>5.1 理论启示</w:t>
      </w:r>
    </w:p>
    <w:p w14:paraId="6853181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360" w:lineRule="auto"/>
        <w:ind w:left="0" w:right="0"/>
        <w:rPr>
          <w:rFonts w:hint="eastAsia" w:ascii="宋体" w:hAnsi="宋体" w:eastAsia="宋体" w:cs="宋体"/>
          <w:color w:val="1F1F1F"/>
        </w:rPr>
      </w:pPr>
      <w:r>
        <w:rPr>
          <w:rFonts w:hint="eastAsia" w:ascii="宋体" w:hAnsi="宋体" w:eastAsia="宋体" w:cs="宋体"/>
          <w:color w:val="1F1F1F"/>
        </w:rPr>
        <w:t>差分隐私的本质就是一场关于干扰与反干扰的博弈。通过建立查询概率模型，我们成功量化了每个节点的战略价值；通过拉格朗日方程，我们找到了保护这些价值的最优策略。这让我深刻认识到，模型</w:t>
      </w:r>
      <w:r>
        <w:rPr>
          <w:rFonts w:hint="eastAsia" w:ascii="宋体" w:hAnsi="宋体" w:eastAsia="宋体" w:cs="宋体"/>
          <w:color w:val="1F1F1F"/>
          <w:lang w:val="en-US" w:eastAsia="zh-CN"/>
        </w:rPr>
        <w:t>的</w:t>
      </w:r>
      <w:r>
        <w:rPr>
          <w:rFonts w:hint="eastAsia" w:ascii="宋体" w:hAnsi="宋体" w:eastAsia="宋体" w:cs="宋体"/>
          <w:color w:val="1F1F1F"/>
        </w:rPr>
        <w:t>优化离不开严</w:t>
      </w:r>
      <w:r>
        <w:rPr>
          <w:rFonts w:hint="eastAsia" w:ascii="宋体" w:hAnsi="宋体" w:eastAsia="宋体" w:cs="宋体"/>
          <w:color w:val="1F1F1F"/>
          <w:lang w:val="en-US" w:eastAsia="zh-CN"/>
        </w:rPr>
        <w:t>谨</w:t>
      </w:r>
      <w:r>
        <w:rPr>
          <w:rFonts w:hint="eastAsia" w:ascii="宋体" w:hAnsi="宋体" w:eastAsia="宋体" w:cs="宋体"/>
          <w:color w:val="1F1F1F"/>
        </w:rPr>
        <w:t>的数学</w:t>
      </w:r>
      <w:r>
        <w:rPr>
          <w:rFonts w:hint="eastAsia" w:ascii="宋体" w:hAnsi="宋体" w:eastAsia="宋体" w:cs="宋体"/>
          <w:color w:val="1F1F1F"/>
          <w:lang w:val="en-US" w:eastAsia="zh-CN"/>
        </w:rPr>
        <w:t>构建</w:t>
      </w:r>
      <w:r>
        <w:rPr>
          <w:rFonts w:hint="eastAsia" w:ascii="宋体" w:hAnsi="宋体" w:eastAsia="宋体" w:cs="宋体"/>
          <w:color w:val="1F1F1F"/>
        </w:rPr>
        <w:t>。</w:t>
      </w:r>
    </w:p>
    <w:p w14:paraId="6D34228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321" w:firstLineChars="100"/>
        <w:rPr>
          <w:rFonts w:hint="default" w:ascii="宋体" w:hAnsi="宋体" w:eastAsia="宋体" w:cs="宋体"/>
          <w:b/>
          <w:bCs/>
          <w:color w:val="1F1F1F"/>
          <w:sz w:val="32"/>
          <w:szCs w:val="32"/>
          <w:lang w:val="en-US" w:eastAsia="zh-CN"/>
        </w:rPr>
      </w:pPr>
      <w:r>
        <w:rPr>
          <w:rFonts w:hint="eastAsia" w:ascii="宋体" w:hAnsi="宋体" w:eastAsia="宋体" w:cs="宋体"/>
          <w:b/>
          <w:bCs/>
          <w:color w:val="1F1F1F"/>
          <w:sz w:val="32"/>
          <w:szCs w:val="32"/>
        </w:rPr>
        <w:t xml:space="preserve">5.2 </w:t>
      </w:r>
      <w:r>
        <w:rPr>
          <w:rFonts w:hint="eastAsia" w:ascii="宋体" w:hAnsi="宋体" w:eastAsia="宋体" w:cs="宋体"/>
          <w:b/>
          <w:bCs/>
          <w:color w:val="1F1F1F"/>
          <w:sz w:val="32"/>
          <w:szCs w:val="32"/>
          <w:lang w:val="en-US" w:eastAsia="zh-CN"/>
        </w:rPr>
        <w:t>未来设想</w:t>
      </w:r>
    </w:p>
    <w:p w14:paraId="43B15F86">
      <w:pPr>
        <w:pStyle w:val="8"/>
        <w:keepNext w:val="0"/>
        <w:keepLines w:val="0"/>
        <w:widowControl/>
        <w:suppressLineNumbers w:val="0"/>
        <w:spacing w:line="360" w:lineRule="auto"/>
        <w:rPr>
          <w:rFonts w:hint="eastAsia" w:asciiTheme="minorEastAsia" w:hAnsiTheme="minorEastAsia" w:eastAsiaTheme="minorEastAsia" w:cstheme="minorEastAsia"/>
          <w:b/>
          <w:sz w:val="32"/>
        </w:rPr>
      </w:pPr>
      <w:r>
        <w:rPr>
          <w:rFonts w:hint="eastAsia" w:ascii="宋体" w:hAnsi="宋体" w:eastAsia="宋体" w:cs="宋体"/>
          <w:color w:val="1F1F1F"/>
          <w:lang w:val="en-US" w:eastAsia="zh-CN"/>
        </w:rPr>
        <w:t>本文查询概率模型中提到一点是</w:t>
      </w:r>
      <w:r>
        <w:t>所有可能的轨迹查询模式是随机生成的，且所有位置（地铁站）被查询的概率是均匀的。</w:t>
      </w:r>
      <w:r>
        <w:rPr>
          <w:rFonts w:hint="eastAsia"/>
          <w:lang w:val="en-US" w:eastAsia="zh-CN"/>
        </w:rPr>
        <w:t>但</w:t>
      </w:r>
      <w:r>
        <w:t>在真实的城市交通网络中，人的出行</w:t>
      </w:r>
      <w:r>
        <w:rPr>
          <w:rFonts w:hint="eastAsia"/>
          <w:lang w:val="en-US" w:eastAsia="zh-CN"/>
        </w:rPr>
        <w:t>受时间影响很大（</w:t>
      </w:r>
      <w:r>
        <w:t>如早晚高峰）。</w:t>
      </w:r>
      <w:r>
        <w:rPr>
          <w:rFonts w:hint="eastAsia"/>
          <w:lang w:val="en-US" w:eastAsia="zh-CN"/>
        </w:rPr>
        <w:t>本文对于隐私预算就是将平均预算改为定制的个性化预算，那</w:t>
      </w:r>
      <w:r>
        <w:t>未来的研究可以</w:t>
      </w:r>
      <w:r>
        <w:rPr>
          <w:rFonts w:hint="eastAsia"/>
          <w:lang w:val="en-US" w:eastAsia="zh-CN"/>
        </w:rPr>
        <w:t>将</w:t>
      </w:r>
      <w:r>
        <w:t>均匀分布假设</w:t>
      </w:r>
      <w:r>
        <w:rPr>
          <w:rFonts w:hint="eastAsia"/>
          <w:lang w:val="en-US" w:eastAsia="zh-CN"/>
        </w:rPr>
        <w:t>改为以不同时间为基础的加权假设</w:t>
      </w:r>
      <w:r>
        <w:t>，引入真实的城市路网拓扑特征或历史客流的先验概率分布。为这些“热点节点</w:t>
      </w:r>
      <w:r>
        <w:rPr>
          <w:rFonts w:hint="eastAsia"/>
          <w:lang w:eastAsia="zh-CN"/>
        </w:rPr>
        <w:t>”</w:t>
      </w:r>
      <w:r>
        <w:t>赋予符合真实物理意义的先验权重，能够让隐私预算的分配更加贴合实际应用场景。</w:t>
      </w:r>
      <w:bookmarkStart w:id="6" w:name="_GoBack"/>
      <w:bookmarkEnd w:id="6"/>
    </w:p>
    <w:p w14:paraId="70D072CA"/>
    <w:sectPr>
      <w:pgSz w:w="11906" w:h="16838"/>
      <w:pgMar w:top="1440" w:right="1800" w:bottom="1440" w:left="1800" w:header="851" w:footer="850"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460BA5"/>
    <w:rsid w:val="12B1333A"/>
    <w:rsid w:val="13A309CE"/>
    <w:rsid w:val="1C61021D"/>
    <w:rsid w:val="214530B0"/>
    <w:rsid w:val="2A4560EC"/>
    <w:rsid w:val="2EBA4123"/>
    <w:rsid w:val="34FB227B"/>
    <w:rsid w:val="3DEF482D"/>
    <w:rsid w:val="450907FB"/>
    <w:rsid w:val="5CBC6C78"/>
    <w:rsid w:val="7E906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3458</Words>
  <Characters>3686</Characters>
  <Lines>0</Lines>
  <Paragraphs>0</Paragraphs>
  <TotalTime>5</TotalTime>
  <ScaleCrop>false</ScaleCrop>
  <LinksUpToDate>false</LinksUpToDate>
  <CharactersWithSpaces>3866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2026-03-24T11:55:00Z</dcterms:created>
  <dc:creator>huang</dc:creator>
  <cp:lastModifiedBy>黄熙晨</cp:lastModifiedBy>
  <dcterms:modified xsi:type="dcterms:W3CDTF">2026-04-16T16:41:41Z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eyJoZGlkIjoiZDNjNjY5Zjg0ZjU2NjJlMWY5YjE3OTE3NzZlYWNlZjYiLCJ1c2VySWQiOiIxNzY3NzE0ODk4In0=</vt:lpwstr>
  </property>
  <property fmtid="{D5CDD505-2E9C-101B-9397-08002B2CF9AE}" pid="4" name="ICV">
    <vt:lpwstr>089C3A0A665E47A895ADF6147DF1F6A1_13</vt:lpwstr>
  </property>
</Properties>
</file>