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9A6A00"/>
          <w:sz w:val="20"/>
        </w:rPr>
        <w:t>TECHNICAL WHITE PAPER · 企业级赛题评审版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</w:rPr>
        <w:t>AI 产品开发引擎</w:t>
        <w:br/>
        <w:t>技术白皮书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0"/>
        </w:rPr>
        <w:t>面向高速上新的可回测、可校准、人在环中的新品研发决策系统</w:t>
      </w:r>
    </w:p>
    <w:p>
      <w:pPr>
        <w:spacing w:after="680"/>
        <w:jc w:val="center"/>
      </w:pPr>
      <w:r>
        <w:rPr>
          <w:rFonts w:ascii="Calibri" w:hAnsi="Calibri" w:eastAsia="Microsoft YaHei"/>
          <w:b/>
          <w:color w:val="D72638"/>
          <w:sz w:val="21"/>
        </w:rPr>
        <w:t>MINISO AI PRODUCT DECISION ENGINE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0"/>
        </w:rPr>
        <w:t xml:space="preserve">版本  ·  </w:t>
      </w:r>
      <w:r>
        <w:rPr>
          <w:rFonts w:ascii="Calibri" w:hAnsi="Calibri" w:eastAsia="Microsoft YaHei"/>
          <w:color w:val="667085"/>
          <w:sz w:val="20"/>
        </w:rPr>
        <w:t>v1.1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0"/>
        </w:rPr>
        <w:t xml:space="preserve">日期  ·  </w:t>
      </w:r>
      <w:r>
        <w:rPr>
          <w:rFonts w:ascii="Calibri" w:hAnsi="Calibri" w:eastAsia="Microsoft YaHei"/>
          <w:color w:val="667085"/>
          <w:sz w:val="20"/>
        </w:rPr>
        <w:t>2026 年 7 月 17 日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0"/>
        </w:rPr>
        <w:t xml:space="preserve">参赛团队  ·  </w:t>
      </w:r>
      <w:r>
        <w:rPr>
          <w:rFonts w:ascii="Calibri" w:hAnsi="Calibri" w:eastAsia="Microsoft YaHei"/>
          <w:color w:val="667085"/>
          <w:sz w:val="20"/>
        </w:rPr>
        <w:t>三名学生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0"/>
        </w:rPr>
        <w:t xml:space="preserve">项目定位  ·  </w:t>
      </w:r>
      <w:r>
        <w:rPr>
          <w:rFonts w:ascii="Calibri" w:hAnsi="Calibri" w:eastAsia="Microsoft YaHei"/>
          <w:color w:val="667085"/>
          <w:sz w:val="20"/>
        </w:rPr>
        <w:t>企业级赛题原型 · 非企业内部生产项目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0"/>
        </w:rPr>
        <w:t xml:space="preserve">证据口径  ·  </w:t>
      </w:r>
      <w:r>
        <w:rPr>
          <w:rFonts w:ascii="Calibri" w:hAnsi="Calibri" w:eastAsia="Microsoft YaHei"/>
          <w:color w:val="667085"/>
          <w:sz w:val="20"/>
        </w:rPr>
        <w:t>实现 / 合成演示 / 企业待验证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0"/>
        </w:rPr>
        <w:t xml:space="preserve">代码仓库  ·  </w:t>
      </w:r>
      <w:r>
        <w:rPr>
          <w:rFonts w:ascii="Calibri" w:hAnsi="Calibri" w:eastAsia="Microsoft YaHei"/>
          <w:color w:val="667085"/>
          <w:sz w:val="20"/>
        </w:rPr>
        <w:t>github.com/lifelonglearnerAdam/miniso-ai-decision-engine</w:t>
      </w:r>
    </w:p>
    <w:p>
      <w:pPr>
        <w:spacing w:before="560" w:after="0"/>
        <w:jc w:val="center"/>
      </w:pPr>
      <w:r>
        <w:rPr>
          <w:rFonts w:ascii="Calibri" w:hAnsi="Calibri" w:eastAsia="Microsoft YaHei"/>
          <w:b/>
          <w:color w:val="D72638"/>
          <w:sz w:val="19"/>
        </w:rPr>
        <w:t>本白皮书中的实验指标来自合成数据，不代表名创优品真实业务 KPI。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摘要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执行摘要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设计原则与系统边界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总体架构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数据与特征治理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多 Agent 编排与 Prompt 契约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趋势领先信号验证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进化式创意与 DFM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校准虚拟消费者面板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时光机回测协议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工程实现与可观测性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安全、责任与合规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企业试点与验收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局限、失败模式与后续路线</w:t>
      </w:r>
    </w:p>
    <w:p>
      <w:pPr>
        <w:spacing w:after="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1"/>
        </w:rPr>
        <w:t>结论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222222"/>
          <w:sz w:val="21"/>
        </w:rPr>
        <w:t>附录 A-C：配置、检查表与参考文献</w:t>
      </w:r>
    </w:p>
    <w:p>
      <w:pPr>
        <w:spacing w:before="320" w:after="120"/>
        <w:ind w:left="259"/>
        <w:shd w:fill="FFF1F2"/>
      </w:pPr>
      <w:r>
        <w:rPr>
          <w:rFonts w:ascii="Calibri" w:hAnsi="Calibri" w:eastAsia="Microsoft YaHei"/>
          <w:b/>
          <w:color w:val="D72638"/>
          <w:sz w:val="21"/>
        </w:rPr>
        <w:t xml:space="preserve">阅读提示  </w:t>
      </w:r>
      <w:r>
        <w:rPr>
          <w:rFonts w:ascii="Calibri" w:hAnsi="Calibri" w:eastAsia="Microsoft YaHei"/>
          <w:color w:val="344054"/>
          <w:sz w:val="21"/>
        </w:rPr>
        <w:t>全文严格区分“已实现、合成演示、企业待验证”，任何合成结果均不得解释为生产业绩。</w:t>
      </w:r>
    </w:p>
    <w:p>
      <w:r>
        <w:br w:type="page"/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摘要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高速上新的消费零售企业并不缺少创意，真正稀缺的是一套能把分散趋势、产品概念、供应链约束、消费者信号和实际销售结果连接起来的</w:t>
      </w:r>
      <w:r>
        <w:rPr>
          <w:rFonts w:ascii="Calibri" w:hAnsi="Calibri" w:eastAsia="Microsoft YaHei"/>
          <w:b/>
          <w:color w:val="222222"/>
          <w:sz w:val="22"/>
        </w:rPr>
        <w:t>可验证决策机制</w:t>
      </w:r>
      <w:r>
        <w:rPr>
          <w:rFonts w:ascii="Calibri" w:hAnsi="Calibri" w:eastAsia="Microsoft YaHei"/>
          <w:color w:val="222222"/>
          <w:sz w:val="22"/>
        </w:rPr>
        <w:t>。MINISO 2025 年年报披露，MINISO 品牌平均每月推出约 1,600 个 SKU，并将持续创新、成功上新以及及时响应消费者偏好列为关键经营能力与风险来源[1]。在这样的决策密度下，仅靠增加大模型调用次数不会自然提高研发质量；如果没有时间边界、真实锚点、制造约束和人工责任，AI 反而会放大同质化、数据泄漏和错误确定性。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本文提出一套 AI 产品开发决策引擎：以带时间戳的数据层为基础，由趋势洞察 Agent、创意 Agent、多目标进化与 DFM 引擎、校准虚拟面板和决策工作台组成；以“时光机回测”贯穿验证，以权限、审计、监控和回滚构成治理平面。系统输出不是自动执行指令，而是一个包含候选、证据、不确定性和风险的决策包，最终采纳、打样、采购、定价和上架均由人负责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本项目由三名学生组成的参赛团队独立完成，目标是按企业级赛题和交付标准构建可验证原型，不代表名创优品内部项目或已上线系统。当前证据分为三级：核心算法与防泄漏控制已实现并通过自动化测试；端到端指标来自固定生成器的合成演示；真实爆品命中率、周期、成本和 ROI 仍需企业历史数据回放与前瞻试点验证。本文不把合成结果描述为生产业绩。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关键词：</w:t>
      </w:r>
      <w:r>
        <w:rPr>
          <w:rFonts w:ascii="Calibri" w:hAnsi="Calibri" w:eastAsia="Microsoft YaHei"/>
          <w:color w:val="222222"/>
          <w:sz w:val="22"/>
        </w:rPr>
        <w:t xml:space="preserve"> AI 产品研发；多 Agent；时间回测；数据泄漏；保形预测；虚拟消费者；多目标优化；DFM；人在环中；AI 治理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1. 执行摘要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1.1 需要解决的不是“生成”，而是“决策”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新品研发链路中存在四类结构性问题：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/>
          <w:color w:val="222222"/>
          <w:sz w:val="22"/>
        </w:rPr>
        <w:t>信号碎片化</w:t>
      </w:r>
      <w:r>
        <w:rPr>
          <w:rFonts w:ascii="Calibri" w:hAnsi="Calibri" w:eastAsia="Microsoft YaHei"/>
          <w:color w:val="222222"/>
          <w:sz w:val="22"/>
        </w:rPr>
        <w:t>：社媒、搜索、竞品、门店和销售数据频率不同、时间语义不同，热度可能领先销量，也可能是销量火爆后的滞后反应。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/>
          <w:color w:val="222222"/>
          <w:sz w:val="22"/>
        </w:rPr>
        <w:t>创意供给不等于优质供给</w:t>
      </w:r>
      <w:r>
        <w:rPr>
          <w:rFonts w:ascii="Calibri" w:hAnsi="Calibri" w:eastAsia="Microsoft YaHei"/>
          <w:color w:val="222222"/>
          <w:sz w:val="22"/>
        </w:rPr>
        <w:t>：大模型能快速生成大量概念，但容易同质化，且可能忽略价格带、材料、授权和制造要求。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/>
          <w:color w:val="222222"/>
          <w:sz w:val="22"/>
        </w:rPr>
        <w:t>虚拟人群不等于真实消费者</w:t>
      </w:r>
      <w:r>
        <w:rPr>
          <w:rFonts w:ascii="Calibri" w:hAnsi="Calibri" w:eastAsia="Microsoft YaHei"/>
          <w:color w:val="222222"/>
          <w:sz w:val="22"/>
        </w:rPr>
        <w:t>：LLM persona 可用于探索语言反应，但不能未经校准就被解释为人群购买概率。相关研究同时展示了模拟潜力和代表性边界[2][3]。</w:t>
      </w:r>
    </w:p>
    <w:p>
      <w:pPr>
        <w:spacing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/>
          <w:color w:val="222222"/>
          <w:sz w:val="22"/>
        </w:rPr>
        <w:t>性能承诺缺少时间证据</w:t>
      </w:r>
      <w:r>
        <w:rPr>
          <w:rFonts w:ascii="Calibri" w:hAnsi="Calibri" w:eastAsia="Microsoft YaHei"/>
          <w:color w:val="222222"/>
          <w:sz w:val="22"/>
        </w:rPr>
        <w:t>：把全量历史数据随机切分会让未来信息、同款 SKU 和结果衍生字段进入训练，产生看似优秀但不可复现的指标。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1.2 方案的核心判断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系统价值不来自某个固定大模型，而来自以下可积累资产：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字段级的“何时可用”数据契约；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可重放的时间回测协议；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经业务确认的标签、DFM 规则和风险阈值；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产品经理采纳、驳回、修改及原因形成的偏好数据；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每次决策对应的数据、Prompt、模型、规则、审批和结果血缘。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因此，基座模型应可替换，评估与治理必须稳定。本文把 Agent 定义为有明确输入、输出、工具和失败策略的受控组件，而不是自治经营主体。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1.3 当前交付状态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以下成果由三名学生组成的参赛团队完成。表中的“企业待验证”表示需要企业数据、领域专家或真实应用环境才能继续验证，并不暗示这些条件已经具备。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61"/>
        <w:gridCol w:w="1913"/>
        <w:gridCol w:w="4086"/>
      </w:tblGrid>
      <w:tr>
        <w:trPr>
          <w:tblHeader w:val="true"/>
        </w:trP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能力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当前状态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证据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固定窗滚动回测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已实现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时间窗、步长、隔离窗与逐窗日志测试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结果列防泄漏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已实现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候选评分前删除标签、90 天销量和实现毛利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随机/历史/模型基线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已实现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JSON、CSV、PNG 可复现产物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虚拟面板锚定与分割保形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已实现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独立留出残差、区间与 ECE 测试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真正非支配前沿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已实现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三目标比较与单元测试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多 Agent 结构化输出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已实现/演示级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共享客户端、JSON 提取、提示注入隔离语句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真实趋势、销售与 DFM 数据接入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未接入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需要企业数据与专家共创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DPO/奖励模型持续训练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路线图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当前仅实现确定性的目标权重更新</w:t>
            </w:r>
          </w:p>
        </w:tc>
      </w:tr>
      <w:tr>
        <w:tc>
          <w:tcPr>
            <w:tcW w:type="dxa" w:w="33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飞书审批与生产工具</w:t>
            </w:r>
          </w:p>
        </w:tc>
        <w:tc>
          <w:tcPr>
            <w:tcW w:type="dxa" w:w="19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架构设计</w:t>
            </w:r>
          </w:p>
        </w:tc>
        <w:tc>
          <w:tcPr>
            <w:tcW w:type="dxa" w:w="40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需要企业身份、权限和应用环境</w:t>
            </w:r>
          </w:p>
        </w:tc>
      </w:tr>
    </w:tbl>
    <w:p>
      <w:pPr>
        <w:spacing w:before="80" w:after="80"/>
      </w:pP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2. 设计原则与系统边界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2.1 六项设计原则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时间优先。</w:t>
      </w:r>
      <w:r>
        <w:rPr>
          <w:rFonts w:ascii="Calibri" w:hAnsi="Calibri" w:eastAsia="Microsoft YaHei"/>
          <w:color w:val="222222"/>
          <w:sz w:val="22"/>
        </w:rPr>
        <w:t xml:space="preserve"> 每个特征都必须有事件时间和可用时间。模型在历史截止日只能看到当时已经到达系统的数据。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证据分级。</w:t>
      </w:r>
      <w:r>
        <w:rPr>
          <w:rFonts w:ascii="Calibri" w:hAnsi="Calibri" w:eastAsia="Microsoft YaHei"/>
          <w:color w:val="222222"/>
          <w:sz w:val="22"/>
        </w:rPr>
        <w:t xml:space="preserve"> 代码测试、合成演示、历史盲测和前瞻试点是不同证据，不能互相替代。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不确定性优先。</w:t>
      </w:r>
      <w:r>
        <w:rPr>
          <w:rFonts w:ascii="Calibri" w:hAnsi="Calibri" w:eastAsia="Microsoft YaHei"/>
          <w:color w:val="222222"/>
          <w:sz w:val="22"/>
        </w:rPr>
        <w:t xml:space="preserve"> 当数据不足、校准失效或分布漂移时，系统输出区间、风险或“不建议”，而不是伪造确定性。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人在环中。</w:t>
      </w:r>
      <w:r>
        <w:rPr>
          <w:rFonts w:ascii="Calibri" w:hAnsi="Calibri" w:eastAsia="Microsoft YaHei"/>
          <w:color w:val="222222"/>
          <w:sz w:val="22"/>
        </w:rPr>
        <w:t xml:space="preserve"> AI 负责提出候选、整理证据、暴露风险；人负责目标、例外和高影响动作。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模型可替换。</w:t>
      </w:r>
      <w:r>
        <w:rPr>
          <w:rFonts w:ascii="Calibri" w:hAnsi="Calibri" w:eastAsia="Microsoft YaHei"/>
          <w:color w:val="222222"/>
          <w:sz w:val="22"/>
        </w:rPr>
        <w:t xml:space="preserve"> 不把业务流程绑定到单一模型厂商。模型输出必须经过结构化校验，失败时可降级。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最小权限与全链审计。</w:t>
      </w:r>
      <w:r>
        <w:rPr>
          <w:rFonts w:ascii="Calibri" w:hAnsi="Calibri" w:eastAsia="Microsoft YaHei"/>
          <w:color w:val="222222"/>
          <w:sz w:val="22"/>
        </w:rPr>
        <w:t xml:space="preserve"> Agent 只获得完成当前任务所需的读权限；写入生产系统需要策略检查和人工审批。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2.2 系统不做什么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不宣称 LLM persona 能代表真实人口或替代消费者研究；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不把 Granger 预测领先性称为结构性因果关系；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不在没有企业数据时承诺爆品命中率、收入、成本节省或 ROI；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不自动执行采购、打样、定价、上架、对外发布或 IP 授权；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不把生成图片、文案或概念的权利状态默认视为安全；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不将本仓库视为已经完成生产安全、隐私或合规认证的系统。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3. 总体架构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3.1 逻辑架构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19829"/>
            <wp:docPr id="1" name="Picture 1" descr="五层 AI 产品研发决策架构：数据、决策智能、评估学习、协作审批和治理平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9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AI 产品研发决策引擎逻辑架构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3.2 数据流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每周决策批次从一个不可变的数据快照开始。趋势 Agent 只读取截至截止日已到达的信号，输出带证据的趋势对象；创意 Agent 把趋势、品类和价格带约束转成结构化概念；进化与 DFM 引擎生成非支配候选；校准面板给出映射后的分数与区间；决策层形成 Top-K 证据包。产品经理的采纳、驳回、修改及理由进入偏好库，后续作为规则权重、排序模型或 DPO 数据的候选，但任何新模型必须先通过离线与影子评估。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3.3 关键对象契约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趋势对象示例：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{</w:t>
        <w:br/>
        <w:t xml:space="preserve">  "trend_id": "trend-2026w29-001",</w:t>
        <w:br/>
        <w:t xml:space="preserve">  "as_of": "2026-07-17T00:00:00+08:00",</w:t>
        <w:br/>
        <w:t xml:space="preserve">  "name": "情绪陪伴型桌面摆件",</w:t>
        <w:br/>
        <w:t xml:space="preserve">  "lead_days": 21,</w:t>
        <w:br/>
        <w:t xml:space="preserve">  "evidence": ["search_index", "social_post_velocity"],</w:t>
        <w:br/>
        <w:t xml:space="preserve">  "granger_p_value": 0.018,</w:t>
        <w:br/>
        <w:t xml:space="preserve">  "limitations": ["multiple-testing-not-adjusted"],</w:t>
        <w:br/>
        <w:t xml:space="preserve">  "data_snapshot": "sha256:..."</w:t>
        <w:br/>
        <w:t>}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产品概念示例：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{</w:t>
        <w:br/>
        <w:t xml:space="preserve">  "concept_id": "concept-00042",</w:t>
        <w:br/>
        <w:t xml:space="preserve">  "category": "家居",</w:t>
        <w:br/>
        <w:t xml:space="preserve">  "price_tier": "中价",</w:t>
        <w:br/>
        <w:t xml:space="preserve">  "style": "国潮",</w:t>
        <w:br/>
        <w:t xml:space="preserve">  "target_audience": "Z世代",</w:t>
        <w:br/>
        <w:t xml:space="preserve">  "material": "陶瓷",</w:t>
        <w:br/>
        <w:t xml:space="preserve">  "features": ["便携", "礼盒装"],</w:t>
        <w:br/>
        <w:t xml:space="preserve">  "assumptions": ["授权可得", "包装成本待核"],</w:t>
        <w:br/>
        <w:t xml:space="preserve">  "source_trends": ["trend-2026w29-001"]</w:t>
        <w:br/>
        <w:t>}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决策包必须包含：候选概念、各目标分数、区间、DFM 违规、数据与模型版本、相对基线、适用边界、建议动作和审批状态。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4. 数据与特征治理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4.1 双时间语义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每条记录至少包含：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event_time</w:t>
      </w:r>
      <w:r>
        <w:rPr>
          <w:rFonts w:ascii="Calibri" w:hAnsi="Calibri" w:eastAsia="Microsoft YaHei"/>
          <w:color w:val="222222"/>
          <w:sz w:val="22"/>
        </w:rPr>
        <w:t>：业务事件真实发生时间，例如帖子发布、概念评审或销售发生；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available_time</w:t>
      </w:r>
      <w:r>
        <w:rPr>
          <w:rFonts w:ascii="Calibri" w:hAnsi="Calibri" w:eastAsia="Microsoft YaHei"/>
          <w:color w:val="222222"/>
          <w:sz w:val="22"/>
        </w:rPr>
        <w:t>：该数据实际进入决策系统且可被使用的时间；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decision_time</w:t>
      </w:r>
      <w:r>
        <w:rPr>
          <w:rFonts w:ascii="Calibri" w:hAnsi="Calibri" w:eastAsia="Microsoft YaHei"/>
          <w:color w:val="222222"/>
          <w:sz w:val="22"/>
        </w:rPr>
        <w:t>：系统产生候选排序的时间；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label_window_end</w:t>
      </w:r>
      <w:r>
        <w:rPr>
          <w:rFonts w:ascii="Calibri" w:hAnsi="Calibri" w:eastAsia="Microsoft YaHei"/>
          <w:color w:val="222222"/>
          <w:sz w:val="22"/>
        </w:rPr>
        <w:t>：结果标签观察完成的时间。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回测允许使用的特征集合满足：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available_time(feature_i) &lt;= decision_time(window_j)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仅比较 event_time 不足以防止泄漏，因为销售汇总可能在事件发生数日后才完成，人工标签也可能被回填。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4.2 最小数据字典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8"/>
        <w:gridCol w:w="3211"/>
        <w:gridCol w:w="1298"/>
        <w:gridCol w:w="1298"/>
        <w:gridCol w:w="2255"/>
      </w:tblGrid>
      <w:tr>
        <w:trPr>
          <w:tblHeader w:val="true"/>
        </w:trP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字段族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示例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决策时可见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敏感性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主要质量检查</w:t>
            </w:r>
          </w:p>
        </w:tc>
      </w:tr>
      <w:t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概念标识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concept_id、SKU family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内部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唯一性、同款族映射</w:t>
            </w:r>
          </w:p>
        </w:tc>
      </w:tr>
      <w:t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产品属性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品类、价格带、材质、风格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内部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枚举、缺失、版本</w:t>
            </w:r>
          </w:p>
        </w:tc>
      </w:tr>
      <w:t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预发布信号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搜索指数、帖子速度、收藏率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外部/授权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时间戳、抓取许可、异常流量</w:t>
            </w:r>
          </w:p>
        </w:tc>
      </w:tr>
      <w:t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供应链估计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单位成本、模具复杂度、最小起订量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机密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权限、币种、有效期</w:t>
            </w:r>
          </w:p>
        </w:tc>
      </w:tr>
      <w:t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未来结果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90 天销量、毛利、退货、投诉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机密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标签截止、迟到、修订</w:t>
            </w:r>
          </w:p>
        </w:tc>
      </w:tr>
      <w:tr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人工反馈</w:t>
            </w:r>
          </w:p>
        </w:tc>
        <w:tc>
          <w:tcPr>
            <w:tcW w:type="dxa" w:w="32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采纳/驳回/修改/原因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事后</w:t>
            </w:r>
          </w:p>
        </w:tc>
        <w:tc>
          <w:tcPr>
            <w:tcW w:type="dxa" w:w="12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个人/内部</w:t>
            </w:r>
          </w:p>
        </w:tc>
        <w:tc>
          <w:tcPr>
            <w:tcW w:type="dxa" w:w="2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身份、目的、偏差</w:t>
            </w:r>
          </w:p>
        </w:tc>
      </w:tr>
    </w:tbl>
    <w:p>
      <w:pPr>
        <w:spacing w:before="80" w:after="80"/>
      </w:pP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4.3 防泄漏策略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当前代码在预测器收到候选前强制删除 </w:t>
      </w:r>
      <w:r>
        <w:rPr>
          <w:rFonts w:ascii="Consolas" w:hAnsi="Consolas" w:eastAsia="Microsoft YaHei"/>
          <w:color w:val="1F4D78"/>
          <w:sz w:val="21"/>
          <w:highlight w:val="darkGray"/>
        </w:rPr>
        <w:t>is_hit</w:t>
      </w:r>
      <w:r>
        <w:rPr>
          <w:rFonts w:ascii="Calibri" w:hAnsi="Calibri" w:eastAsia="Microsoft YaHei"/>
          <w:color w:val="222222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highlight w:val="darkGray"/>
        </w:rPr>
        <w:t>sales_90d</w:t>
      </w:r>
      <w:r>
        <w:rPr>
          <w:rFonts w:ascii="Calibri" w:hAnsi="Calibri" w:eastAsia="Microsoft YaHei"/>
          <w:color w:val="222222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  <w:highlight w:val="darkGray"/>
        </w:rPr>
        <w:t>realized_margin</w:t>
      </w:r>
      <w:r>
        <w:rPr>
          <w:rFonts w:ascii="Calibri" w:hAnsi="Calibri" w:eastAsia="Microsoft YaHei"/>
          <w:color w:val="222222"/>
          <w:sz w:val="22"/>
        </w:rPr>
        <w:t>。企业版本还需增加：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同一概念、同款不同颜色、相同 IP 系列按组切分，防止近重复跨窗；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统计特征只从训练窗计算，禁止先对全量数据编码或标准化；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标签与结果衍生字段采用 deny-by-default 列表；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对外部趋势源记录抓取和入库延迟；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封存最终盲测期，禁止根据盲测结果反复调参；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对历史修订数据保留“当时版本”，不能用今天修正后的记录回放过去。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4.4 数据许可与隐私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社媒、评论、图片和竞品信息的可访问不等于可训练、可存储或可商用。试点前必须确认平台条款、版权、数据库权利、个人信息处理目的、最小化和删除要求。个人画像不得直接包含不必要的身份信息；可优先使用聚合特征、合成 persona 配置和受控真实样本。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5. 多 Agent 编排与 Prompt 契约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5.1 为什么使用多个受控 Agent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趋势分析、概念生成和产品评审使用不同的输入、工具、风险和输出模式。分离这些任务有三点价值：一是每步可以独立评估和回放；二是工具权限可以最小化；三是某一步失败时可局部降级。它不意味着 Agent 可以自由调用生产系统。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5.2 现有 Agent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Trend Agent</w:t>
      </w:r>
      <w:r>
        <w:rPr>
          <w:rFonts w:ascii="Calibri" w:hAnsi="Calibri" w:eastAsia="Microsoft YaHei"/>
          <w:color w:val="222222"/>
          <w:sz w:val="22"/>
        </w:rPr>
        <w:t xml:space="preserve"> 接收裁剪后的不可信社媒数据，输出趋势名、分数和证据。系统提示明确要求不执行输入中的指令，以降低间接提示注入风险。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Creative Agent</w:t>
      </w:r>
      <w:r>
        <w:rPr>
          <w:rFonts w:ascii="Calibri" w:hAnsi="Calibri" w:eastAsia="Microsoft YaHei"/>
          <w:color w:val="222222"/>
          <w:sz w:val="22"/>
        </w:rPr>
        <w:t xml:space="preserve"> 把趋势和约束转成结构化产品概念。JSON 解析采用平衡括号提取，并在失败时进入显式模拟 fallback。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Review Agent</w:t>
      </w:r>
      <w:r>
        <w:rPr>
          <w:rFonts w:ascii="Calibri" w:hAnsi="Calibri" w:eastAsia="Microsoft YaHei"/>
          <w:color w:val="222222"/>
          <w:sz w:val="22"/>
        </w:rPr>
        <w:t xml:space="preserve"> 输出市场潜力、成本可行性、差异化、总体分、风险和建议，数值被限制在 0 到 1。该评分尚未被解释为真实购买概率。</w:t>
      </w: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Orchestrator</w:t>
      </w:r>
      <w:r>
        <w:rPr>
          <w:rFonts w:ascii="Calibri" w:hAnsi="Calibri" w:eastAsia="Microsoft YaHei"/>
          <w:color w:val="222222"/>
          <w:sz w:val="22"/>
        </w:rPr>
        <w:t xml:space="preserve"> 串联三步，生成 trace_id、耗时、模型模式和按总分排序的候选摘要。注入的 LLM 客户端被三类 Agent 共享，便于统一网关、审计和测试。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5.3 Prompt Chain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数据快照与截止日</w:t>
        <w:br/>
        <w:t xml:space="preserve">  → 趋势证据提取（只读）</w:t>
        <w:br/>
        <w:t xml:space="preserve">  → 趋势结构化校验</w:t>
        <w:br/>
        <w:t xml:space="preserve">  → 产品概念生成（无生产工具）</w:t>
        <w:br/>
        <w:t xml:space="preserve">  → DFM 规则检查（确定性）</w:t>
        <w:br/>
        <w:t xml:space="preserve">  → 多目标评估与非支配筛选</w:t>
        <w:br/>
        <w:t xml:space="preserve">  → 校准面板与区间</w:t>
        <w:br/>
        <w:t xml:space="preserve">  → 决策说明生成</w:t>
        <w:br/>
        <w:t xml:space="preserve">  → 人工审批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每步输入应使用数据容器而非把原始内容拼入系统指令；每步输出有 JSON Schema；不满足 Schema、证据缺失或区间过宽时，流程应停止或降级。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5.4 模型路由与降级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本仓库默认通过 Ollama 调用本地模型，模型和地址可由环境变量配置。生产版本应通过模型网关统一处理身份、配额、内容策略、重试、版本和成本。模型不可用时，趋势/创意语言任务可以暂停，但回测、DFM、校准和排序仍可运行；不得用静默模拟结果冒充线上模型结果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6. 趋势领先信号验证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6.1 “相关”为什么不够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如果产品先热卖、随后社媒讨论上升，二者依然可能高度相关，但该信号无法在新品决策时提供领先价值。本系统首先计算：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corr_lag(l) = corr(social[t-l], sales[t]), l &gt; 0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实现中已修正方向，使用过去的社媒信号与当前销量比较，避免误用未来社媒数据。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6.2 Granger 预测领先性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对平稳或经差分的序列，比较仅含销量滞后项的受限模型与加入社媒滞后项的非受限模型。若加入社媒项显著改善预测，可称社媒信号在所设模型与样本内“Granger 领先”销量[4]。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这不等于结构因果。共同营销活动、节日、渠道变化和价格调整都可能同时影响社媒和销量。企业版必须：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做 ADF 等平稳性检查；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预先限定最大滞后和信号集合；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对多品类、多信号检验做 FDR 等多重比较修正；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同时做反向检验，识别双向或滞后热度；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在滚动窗口中监控领先天数和显著性漂移；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在可能时结合实验、准实验或业务事件分析补充证据。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6.3 输出不是“因果真理”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趋势 Agent 的输出应包含样本期、最佳滞后、p 值、反向检验、数据快照和限制。任何单次显著结果都不能直接触发选品；它只是进入后续创意与决策层的加权证据。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7. 进化式创意与 DFM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7.1 三目标而非一次性生成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创意搜索同时最大化：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f1(x) = predicted_demand(x)</w:t>
        <w:br/>
        <w:t>f2(x) = manufacturability(x)</w:t>
        <w:br/>
        <w:t>f3(x) = novelty(x | population)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如果概念 A 在三个目标上都不差于 B，且至少一个目标严格更优，则 A 支配 B。最终返回没有被任何其他概念支配的集合。该集合允许产品经理根据策略选择“更稳健”或“更新颖”的点，而不是被一个不可解释的综合分替代。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LLM 与进化搜索结合已有代表性研究，例如 FunSearch 将大模型候选生成嵌入可执行评估和进化选择循环[5]。本项目借鉴的是“生成—评估—选择—变异”的方法结构，不宣称达到该研究的自动发现能力。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7.2 当前实现修正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当前版本解决了早期原型中的四个问题：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初始模板会扩展到完整种群，单模板也可运行；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每代保持配置的种群大小，不再每次交叉只生成一半个体；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新颖性基于种群中的 Jaccard 距离，不再对同一字符串重复哈希导致恒为零；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终局通过逐对支配关系得到非支配前沿，不把综合排序误称为帕累托。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7.3 DFM 规则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DFM 规则使用显式布尔条件，输出规则 ID、说明和乘法惩罚。例如：低价产品叠加 OLED、数码产品防水、高价概念价值点不足、食品接触塑料需要合规证明、低价 IP 联名需要核验授权费空间。规则用于</w:t>
      </w:r>
      <w:r>
        <w:rPr>
          <w:rFonts w:ascii="Calibri" w:hAnsi="Calibri" w:eastAsia="Microsoft YaHei"/>
          <w:b/>
          <w:color w:val="222222"/>
          <w:sz w:val="22"/>
        </w:rPr>
        <w:t>提示验证任务</w:t>
      </w:r>
      <w:r>
        <w:rPr>
          <w:rFonts w:ascii="Calibri" w:hAnsi="Calibri" w:eastAsia="Microsoft YaHei"/>
          <w:color w:val="222222"/>
          <w:sz w:val="22"/>
        </w:rPr>
        <w:t>，不是替代工程、质量或法规人员的最终判断。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生产版规则需要业务所有者、适用范围、版本、生效时间、例外审批、证据链接和命中统计。材料法规、成本和供应商能力具有区域与时间差异，不能写死为永久事实。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7.4 偏好飞轮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当前代码仅实现三目标权重的确定性更新，用于演示反馈如何影响排序。真正的 DPO/奖励模型属于后续路线图。DPO 直接利用 chosen/rejected 偏好对优化语言模型，是可选技术路径之一[6]，但上线前需解决偏好偏差、少数意见、标注一致性、遗忘和回归问题。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8. 校准虚拟消费者面板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8.1 正确定位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LLM 可以用于快速生成反对理由、需求语言和场景假设，但其 persona 输出会继承训练分布和提示设计，可能表现出趋同、谄媚、刻板印象和价格敏感度失真。Argyle 等展示了语言模型模拟样本的可能性，同时强调算法保真需要条件与验证[2]；Horton 将其作为“硅基样本”讨论研究机会和边界[3]。因此，原始评分只能称为模型信号。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8.2 锚定回归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 xml:space="preserve">设原始模型分数为 </w:t>
      </w:r>
      <w:r>
        <w:rPr>
          <w:rFonts w:ascii="Consolas" w:hAnsi="Consolas" w:eastAsia="Microsoft YaHei"/>
          <w:color w:val="1F4D78"/>
          <w:sz w:val="21"/>
          <w:highlight w:val="darkGray"/>
        </w:rPr>
        <w:t>s</w:t>
      </w:r>
      <w:r>
        <w:rPr>
          <w:rFonts w:ascii="Calibri" w:hAnsi="Calibri" w:eastAsia="Microsoft YaHei"/>
          <w:color w:val="222222"/>
          <w:sz w:val="22"/>
        </w:rPr>
        <w:t xml:space="preserve">，真实观察目标为 </w:t>
      </w:r>
      <w:r>
        <w:rPr>
          <w:rFonts w:ascii="Consolas" w:hAnsi="Consolas" w:eastAsia="Microsoft YaHei"/>
          <w:color w:val="1F4D78"/>
          <w:sz w:val="21"/>
          <w:highlight w:val="darkGray"/>
        </w:rPr>
        <w:t>y</w:t>
      </w:r>
      <w:r>
        <w:rPr>
          <w:rFonts w:ascii="Calibri" w:hAnsi="Calibri" w:eastAsia="Microsoft YaHei"/>
          <w:color w:val="222222"/>
          <w:sz w:val="22"/>
        </w:rPr>
        <w:t>，锚定模型为：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y = alpha + beta * s + epsilon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真实观察可以是经定义的购买率、研究评分或后续表现，但必须与决策目标一致。连续评分与二元爆品标签不能混用同一解释。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8.3 分割保形区间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数据随机但可复现地分成锚定集与保形校准集。锚定模型只在前者拟合；后者计算绝对残差：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r_i = |y_i - f(s_i)|</w:t>
        <w:br/>
        <w:t>q = Quantile_higher(r, ceil((n+1)(1-alpha))/n)</w:t>
        <w:br/>
        <w:t>C(s*) = [f(s*) - q, f(s*) + q]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该有限样本修正遵循分割保形思想[7]。覆盖保证依赖交换性等条件；发生分布漂移、时间依赖或策略选择后不能机械套用。分数在展示时裁剪到 </w:t>
      </w:r>
      <w:r>
        <w:rPr>
          <w:rFonts w:ascii="Consolas" w:hAnsi="Consolas" w:eastAsia="Microsoft YaHei"/>
          <w:color w:val="1F4D78"/>
          <w:sz w:val="21"/>
          <w:highlight w:val="darkGray"/>
        </w:rPr>
        <w:t>[0, 1]</w:t>
      </w:r>
      <w:r>
        <w:rPr>
          <w:rFonts w:ascii="Calibri" w:hAnsi="Calibri" w:eastAsia="Microsoft YaHei"/>
          <w:color w:val="222222"/>
          <w:sz w:val="22"/>
        </w:rPr>
        <w:t>，但原始区间与裁剪影响应进入审计。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8.4 两种不确定性不要混淆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Bootstrap 区间</w:t>
      </w:r>
      <w:r>
        <w:rPr>
          <w:rFonts w:ascii="Calibri" w:hAnsi="Calibri" w:eastAsia="Microsoft YaHei"/>
          <w:color w:val="222222"/>
          <w:sz w:val="22"/>
        </w:rPr>
        <w:t>：重采样锚定样本并重新拟合模型，描述参数/模型估计不稳定性；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保形区间</w:t>
      </w:r>
      <w:r>
        <w:rPr>
          <w:rFonts w:ascii="Calibri" w:hAnsi="Calibri" w:eastAsia="Microsoft YaHei"/>
          <w:color w:val="222222"/>
          <w:sz w:val="22"/>
        </w:rPr>
        <w:t>：基于独立残差描述新观察的不确定性。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早期原型错误地对残差本身拟合 Bootstrap 回归；当前版本改为对 </w:t>
      </w:r>
      <w:r>
        <w:rPr>
          <w:rFonts w:ascii="Consolas" w:hAnsi="Consolas" w:eastAsia="Microsoft YaHei"/>
          <w:color w:val="1F4D78"/>
          <w:sz w:val="21"/>
          <w:highlight w:val="darkGray"/>
        </w:rPr>
        <w:t>(原始分数, 真实目标)</w:t>
      </w:r>
      <w:r>
        <w:rPr>
          <w:rFonts w:ascii="Calibri" w:hAnsi="Calibri" w:eastAsia="Microsoft YaHei"/>
          <w:color w:val="222222"/>
          <w:sz w:val="22"/>
        </w:rPr>
        <w:t xml:space="preserve"> 对重采样。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8.5 校准指标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当前实现使用按样本数加权的期望绝对校准误差：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ECE = sum_b (n_b / N) * |mean(pred_b) - mean(obs_b)|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空桶不进入分母。企业评估还应报告可靠性图、Brier score、区间覆盖率/宽度以及品类、价格带、地区和人群分组误差。若某分组样本不足，系统应扩大区间或拒绝给出概率。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9. 时光机回测协议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9.1 正式定义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 xml:space="preserve">第 </w:t>
      </w:r>
      <w:r>
        <w:rPr>
          <w:rFonts w:ascii="Consolas" w:hAnsi="Consolas" w:eastAsia="Microsoft YaHei"/>
          <w:color w:val="1F4D78"/>
          <w:sz w:val="21"/>
          <w:highlight w:val="darkGray"/>
        </w:rPr>
        <w:t>j</w:t>
      </w:r>
      <w:r>
        <w:rPr>
          <w:rFonts w:ascii="Calibri" w:hAnsi="Calibri" w:eastAsia="Microsoft YaHei"/>
          <w:color w:val="222222"/>
          <w:sz w:val="22"/>
        </w:rPr>
        <w:t xml:space="preserve"> 个窗口起点为 </w:t>
      </w:r>
      <w:r>
        <w:rPr>
          <w:rFonts w:ascii="Consolas" w:hAnsi="Consolas" w:eastAsia="Microsoft YaHei"/>
          <w:color w:val="1F4D78"/>
          <w:sz w:val="21"/>
          <w:highlight w:val="darkGray"/>
        </w:rPr>
        <w:t>S_j = S_0 + j * stride</w:t>
      </w:r>
      <w:r>
        <w:rPr>
          <w:rFonts w:ascii="Calibri" w:hAnsi="Calibri" w:eastAsia="Microsoft YaHei"/>
          <w:color w:val="222222"/>
          <w:sz w:val="22"/>
        </w:rPr>
        <w:t>。默认配置：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Train_j   = [S_j, S_j + 179]</w:t>
        <w:br/>
        <w:t>Embargo_j = [S_j + 180, S_j + 193]</w:t>
        <w:br/>
        <w:t>Predict_j = [S_j + 194, S_j + 283]</w:t>
        <w:br/>
        <w:t>stride    = 30 days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训练窗固定为 180 天，不是从数据起点持续扩展；</w:t>
      </w:r>
      <w:r>
        <w:rPr>
          <w:rFonts w:ascii="Consolas" w:hAnsi="Consolas" w:eastAsia="Microsoft YaHei"/>
          <w:color w:val="1F4D78"/>
          <w:sz w:val="21"/>
          <w:highlight w:val="darkGray"/>
        </w:rPr>
        <w:t>stride</w:t>
      </w:r>
      <w:r>
        <w:rPr>
          <w:rFonts w:ascii="Calibri" w:hAnsi="Calibri" w:eastAsia="Microsoft YaHei"/>
          <w:color w:val="222222"/>
          <w:sz w:val="22"/>
        </w:rPr>
        <w:t xml:space="preserve"> 在代码中显式生效。只有预测窗完整落在数据范围内才执行。训练与预测样本不足、预测窗单一类别等情况被记录为 skipped window。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9.2 预测器接口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scores = predictor(train_history_with_labels, candidate_features_without_outcomes)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训练历史包含已成熟的标签；候选特征删除结果列。预测器返回与候选一一对应的一维有限分数，长度或 NaN 不合法时实验失败，不静默跳过。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9.3 基线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b/>
          <w:color w:val="222222"/>
          <w:sz w:val="22"/>
        </w:rPr>
        <w:t>随机排序</w:t>
      </w:r>
      <w:r>
        <w:rPr>
          <w:rFonts w:ascii="Calibri" w:hAnsi="Calibri" w:eastAsia="Microsoft YaHei"/>
          <w:color w:val="222222"/>
          <w:sz w:val="22"/>
        </w:rPr>
        <w:t>：对产品 ID 做稳定散列，提供可重复的随机参照；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b/>
          <w:color w:val="222222"/>
          <w:sz w:val="22"/>
        </w:rPr>
        <w:t>历史品类率</w:t>
      </w:r>
      <w:r>
        <w:rPr>
          <w:rFonts w:ascii="Calibri" w:hAnsi="Calibri" w:eastAsia="Microsoft YaHei"/>
          <w:color w:val="222222"/>
          <w:sz w:val="22"/>
        </w:rPr>
        <w:t>：用训练窗品类爆品率和全局率平滑，代表简单业务启发式；</w:t>
      </w:r>
    </w:p>
    <w:p>
      <w:pPr>
        <w:spacing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b/>
          <w:color w:val="222222"/>
          <w:sz w:val="22"/>
        </w:rPr>
        <w:t>可解释表格模型</w:t>
      </w:r>
      <w:r>
        <w:rPr>
          <w:rFonts w:ascii="Calibri" w:hAnsi="Calibri" w:eastAsia="Microsoft YaHei"/>
          <w:color w:val="222222"/>
          <w:sz w:val="22"/>
        </w:rPr>
        <w:t>：数值标准化、类别独热、带类别平衡的逻辑回归，每个窗口重新拟合。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真实企业盲测应再加入当前业务规则、销量/热度基线、人工团队历史选择和更强候选模型。只有超过有意义的业务基线，模型才可能有价值。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9.4 指标</w:t>
      </w:r>
    </w:p>
    <w:p>
      <w:pPr>
        <w:keepNext/>
      </w:pPr>
      <w:r>
        <w:rPr>
          <w:rFonts w:ascii="Calibri" w:hAnsi="Calibri" w:eastAsia="Microsoft YaHei"/>
          <w:color w:val="222222"/>
          <w:sz w:val="22"/>
        </w:rPr>
        <w:t>对预测窗候选按分数降序：</w:t>
      </w:r>
    </w:p>
    <w:p>
      <w:pPr>
        <w:keepLines/>
        <w:spacing w:before="80" w:after="160" w:line="252" w:lineRule="auto"/>
        <w:ind w:left="259" w:right="259"/>
        <w:shd w:fill="F6F8FA"/>
      </w:pPr>
      <w:r>
        <w:rPr>
          <w:rFonts w:ascii="Consolas" w:hAnsi="Consolas" w:eastAsia="Microsoft YaHei"/>
          <w:color w:val="344054"/>
          <w:sz w:val="17"/>
        </w:rPr>
        <w:t>Precision@K = Top-K 中正例数 / K</w:t>
        <w:br/>
        <w:t>Recall@K    = Top-K 中正例数 / 窗口正例总数</w:t>
        <w:br/>
        <w:t>Lift@K      = Precision@K / 窗口正例率</w:t>
        <w:br/>
        <w:t>NDCG@K      = DCG@K / IDCG@K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NDCG 用位置折损评价排序质量[8]。Lift 的随机期望约为 1，但有限 K 下单次随机结果会波动。报告应同时给均值、逐窗分布、置信区间和失败窗，不只展示最优窗口。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9.5 当前合成演示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固定生成器产生 2,400 个产品决策记录，覆盖 2024-01-01 至 2025-12-20；15 个滚动窗口全部完成。生成器在预发布 </w:t>
      </w:r>
      <w:r>
        <w:rPr>
          <w:rFonts w:ascii="Consolas" w:hAnsi="Consolas" w:eastAsia="Microsoft YaHei"/>
          <w:color w:val="1F4D78"/>
          <w:sz w:val="21"/>
          <w:highlight w:val="darkGray"/>
        </w:rPr>
        <w:t>social_score</w:t>
      </w:r>
      <w:r>
        <w:rPr>
          <w:rFonts w:ascii="Calibri" w:hAnsi="Calibri" w:eastAsia="Microsoft YaHei"/>
          <w:color w:val="222222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highlight w:val="darkGray"/>
        </w:rPr>
        <w:t>trend_score</w:t>
      </w:r>
      <w:r>
        <w:rPr>
          <w:rFonts w:ascii="Calibri" w:hAnsi="Calibri" w:eastAsia="Microsoft YaHei"/>
          <w:color w:val="222222"/>
          <w:sz w:val="22"/>
        </w:rPr>
        <w:t>、风格和品类中注入可学习关系，并将 90 天销量与实现毛利标成未来结果。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77"/>
        <w:gridCol w:w="2374"/>
        <w:gridCol w:w="1956"/>
        <w:gridCol w:w="1677"/>
        <w:gridCol w:w="1676"/>
      </w:tblGrid>
      <w:tr>
        <w:trPr>
          <w:tblHeader w:val="true"/>
        </w:trPr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方法</w:t>
            </w:r>
          </w:p>
        </w:tc>
        <w:tc>
          <w:tcPr>
            <w:tcW w:type="dxa" w:w="23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Precision@20</w:t>
            </w:r>
          </w:p>
        </w:tc>
        <w:tc>
          <w:tcPr>
            <w:tcW w:type="dxa" w:w="19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Recall@20</w:t>
            </w:r>
          </w:p>
        </w:tc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Lift@20</w:t>
            </w:r>
          </w:p>
        </w:tc>
        <w:tc>
          <w:tcPr>
            <w:tcW w:type="dxa" w:w="16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NDCG@20</w:t>
            </w:r>
          </w:p>
        </w:tc>
      </w:tr>
      <w:tr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稳定随机排序</w:t>
            </w:r>
          </w:p>
        </w:tc>
        <w:tc>
          <w:tcPr>
            <w:tcW w:type="dxa" w:w="23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0.250</w:t>
            </w:r>
          </w:p>
        </w:tc>
        <w:tc>
          <w:tcPr>
            <w:tcW w:type="dxa" w:w="19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0.058</w:t>
            </w:r>
          </w:p>
        </w:tc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0.875</w:t>
            </w:r>
          </w:p>
        </w:tc>
        <w:tc>
          <w:tcPr>
            <w:tcW w:type="dxa" w:w="16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0.232</w:t>
            </w:r>
          </w:p>
        </w:tc>
      </w:tr>
      <w:tr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历史品类率</w:t>
            </w:r>
          </w:p>
        </w:tc>
        <w:tc>
          <w:tcPr>
            <w:tcW w:type="dxa" w:w="23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0.317</w:t>
            </w:r>
          </w:p>
        </w:tc>
        <w:tc>
          <w:tcPr>
            <w:tcW w:type="dxa" w:w="19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0.075</w:t>
            </w:r>
          </w:p>
        </w:tc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1.133</w:t>
            </w:r>
          </w:p>
        </w:tc>
        <w:tc>
          <w:tcPr>
            <w:tcW w:type="dxa" w:w="16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0.320</w:t>
            </w:r>
          </w:p>
        </w:tc>
      </w:tr>
      <w:tr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可解释表格模型</w:t>
            </w:r>
          </w:p>
        </w:tc>
        <w:tc>
          <w:tcPr>
            <w:tcW w:type="dxa" w:w="23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0.490</w:t>
            </w:r>
          </w:p>
        </w:tc>
        <w:tc>
          <w:tcPr>
            <w:tcW w:type="dxa" w:w="19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0.117</w:t>
            </w:r>
          </w:p>
        </w:tc>
        <w:tc>
          <w:tcPr>
            <w:tcW w:type="dxa" w:w="16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1.752</w:t>
            </w:r>
          </w:p>
        </w:tc>
        <w:tc>
          <w:tcPr>
            <w:tcW w:type="dxa" w:w="16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0.471</w:t>
            </w:r>
          </w:p>
        </w:tc>
      </w:tr>
    </w:tbl>
    <w:p>
      <w:pPr>
        <w:spacing w:before="80" w:after="80"/>
      </w:pPr>
    </w:p>
    <w:p>
      <w:pPr>
        <w:keepNext w:val="0"/>
      </w:pPr>
      <w:r>
        <w:rPr>
          <w:rFonts w:ascii="Calibri" w:hAnsi="Calibri" w:eastAsia="Microsoft YaHei"/>
          <w:b/>
          <w:color w:val="222222"/>
          <w:sz w:val="22"/>
        </w:rPr>
        <w:t>解释边界：</w:t>
      </w:r>
      <w:r>
        <w:rPr>
          <w:rFonts w:ascii="Calibri" w:hAnsi="Calibri" w:eastAsia="Microsoft YaHei"/>
          <w:color w:val="222222"/>
          <w:sz w:val="22"/>
        </w:rPr>
        <w:t xml:space="preserve"> 该结果只证明代码能够从合成关系中学习，并按协议执行时间切片与结果列隔离。生成器的标签机制由项目定义，真实世界可能存在更强噪声、漂移、缺失、策略选择和竞争反应，因此这些数值不能作为名创优品 KPI 或收益证据。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9.6 真实历史盲测设计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真实验证应在建模前冻结：爆品标签、候选宇宙、K 值、时间窗、基线、排除规则和最终盲测期。建议按品类与地区报告，同时使用 block bootstrap 或按窗口汇总估计不确定性。若同一概念在多个窗口出现，需要定义首次决策或去重规则。最终报告应包含失败分析和无效结果，避免只挑选有利窗口。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10. 工程实现与可观测性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10.1 代码组织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8"/>
        <w:gridCol w:w="5652"/>
      </w:tblGrid>
      <w:tr>
        <w:trPr>
          <w:tblHeader w:val="true"/>
        </w:trP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模块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职责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src/agents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结构化趋势、创意、评审与编排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src/backtest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窗口、结果列隔离、指标与基线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src/panel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锚定、Bootstrap、分割保形与 ECE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src/evolution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DFM、偏好权重、进化与非支配前沿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src/analysis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相关、滞后、ADF 与 Granger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src/pipeline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合成数据与端到端离线演示</w:t>
            </w:r>
          </w:p>
        </w:tc>
      </w:tr>
      <w:tr>
        <w:tc>
          <w:tcPr>
            <w:tcW w:type="dxa" w:w="37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highlight w:val="darkGray"/>
              </w:rPr>
              <w:t>tests</w:t>
            </w:r>
          </w:p>
        </w:tc>
        <w:tc>
          <w:tcPr>
            <w:tcW w:type="dxa" w:w="56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算法、泄漏、人口、Agent 与方向测试</w:t>
            </w:r>
          </w:p>
        </w:tc>
      </w:tr>
    </w:tbl>
    <w:p>
      <w:pPr>
        <w:spacing w:before="80" w:after="80"/>
      </w:pP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10.2 质量门禁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CI 在 Python 3.10 与 3.12 上执行：编译检查、Ruff 静态检查、Pytest、较小规模的可复现实验。当前测试覆盖：指标输入、滚动步长、结果列不可见、重复 ID、校准区间、加权误差、种群大小、非支配关系、DFM 规则、客户端共享、数据血缘和 3 天领先方向。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生产版本还需增加集成测试、数据契约测试、负载测试、故障注入、安全红队、模型回归和端到端审批测试。测试数量不是覆盖率的替代，关键是高风险不变量被明确断言。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10.3 事件与审计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每次运行至少记录：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trace_id、执行人/服务身份、环境和时间；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数据快照哈希、字段契约和特征可用时间；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Prompt 模板、模型、采样参数和工具版本；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规则库、校准器、排序器和阈值版本；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候选、分数、区间、DFM 违规和基线；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人工审批、修改理由、最终动作和后续结果。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Prompt 和响应可能含敏感数据，日志不能默认全量明文保存。审计事件与业务内容应分离，并应用不同权限和保留期。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10.4 监控与降级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建议监控数据迟到、缺失、特征分布、标签率、排序指标、ECE、覆盖率、区间宽度、DFM 命中、人工驳回率、工具失败、模型延迟和成本。出现数据漂移、覆盖率下降、区间过宽、模型不可用或审批系统异常时，系统应降级为只读报告或停止建议。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11. 安全、责任与合规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11.1 治理框架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治理设计参考 NIST AI RMF 的 Govern、Map、Measure、Manage 四类职能[9]，并结合生成式 AI Profile 的模型、内容、数据和人机交互风险[10]。LLM 应用安全可参考 OWASP Top 10 中的提示注入、敏感信息披露、不安全输出处理、过度代理和供应链风险[11]。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11.2 关键控制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2"/>
        <w:gridCol w:w="6948"/>
      </w:tblGrid>
      <w:tr>
        <w:trPr>
          <w:tblHeader w:val="true"/>
        </w:trP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风险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控制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间接提示注入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输入视为数据；系统/数据分离；工具白名单；Schema 校验；红队样本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敏感信息披露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数据分级、脱敏、最小化、加密、最短保留、访问审计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不安全输出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输出不直接进入 SQL、Shell、采购或发布工具；结构化校验和转义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过度代理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高影响工具默认无权限；审批令牌、额度、双人复核和回滚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模型/依赖供应链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固定版本、来源、许可证、哈希、SBOM、漏洞扫描和签名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偏见与代表性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分群误差、真实样本锚定、拒答、区间和人工责任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IP/版权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素材血缘、许可清单、相似度检查、品牌与法务审批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评估污染</w:t>
            </w:r>
          </w:p>
        </w:tc>
        <w:tc>
          <w:tcPr>
            <w:tcW w:type="dxa" w:w="69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字段可用时间、隔离窗、族切分、盲测封存、逐窗审计</w:t>
            </w:r>
          </w:p>
        </w:tc>
      </w:tr>
    </w:tbl>
    <w:p>
      <w:pPr>
        <w:spacing w:before="80" w:after="80"/>
      </w:pP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11.3 模型卡与数据卡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生产部署应为每个模型版本维护用途、训练/微调来源、已知限制、禁止用途、分组表现、校准、红队结果和回滚条件。模型卡是提高透明度的成熟做法[12]。数据集则记录来源、许可、时间覆盖、字段定义、缺失、代表性、清洗、保留和已知偏差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11.4 责任边界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产品经理对业务目标和最终选择负责；数据所有者对合法来源、质量和权限负责；模型团队对评估、监控和版本负责；安全与法务对风险接受和约束负责。系统不得用“AI 建议”掩盖没有明确责任人的决策。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12. 企业试点与验收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12.1 阶段 A：数据与标签审计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选择一个品类和有限区域，完成数据目录、标签定义、时间可用性、SKU 族、基线和盲测期冻结。若无法构造可信标签或特征时间，停止模型性能讨论，优先修复数据。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12.2 阶段 B：历史盲测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在封存时间段运行随机、业务规则、历史率、现有模型和候选系统。报告逐窗指标、分组、校准、覆盖率、稳定性、错误案例和运行成本。验收阈值由业务与技术共同设定，不在看到结果后修改。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12.3 阶段 C：影子运行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系统每周产生候选与证据，但不影响真实流程。产品经理在不知道模型排序或采用交叉盲评的条件下评价可用性，记录采纳、修改、驳回和理由。影子阶段重点验证工作流、解释、区间、延迟和偏好质量。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12.4 阶段 D：受控试点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只对小范围候选提供增强决策支持，使用审批和回滚。可以采用随机化或准实验设计评估候选质量、研发耗时、打样转化和下游表现，同时监控投诉、退货、IP 和供应链异常。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12.5 建议验收维度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排序有效性</w:t>
      </w:r>
      <w:r>
        <w:rPr>
          <w:rFonts w:ascii="Calibri" w:hAnsi="Calibri" w:eastAsia="Microsoft YaHei"/>
          <w:color w:val="222222"/>
          <w:sz w:val="22"/>
        </w:rPr>
        <w:t>：Precision/Recall/Lift/NDCG 相对业务基线；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概率可信度</w:t>
      </w:r>
      <w:r>
        <w:rPr>
          <w:rFonts w:ascii="Calibri" w:hAnsi="Calibri" w:eastAsia="Microsoft YaHei"/>
          <w:color w:val="222222"/>
          <w:sz w:val="22"/>
        </w:rPr>
        <w:t>：ECE、Brier、区间覆盖率和宽度；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业务可用性</w:t>
      </w:r>
      <w:r>
        <w:rPr>
          <w:rFonts w:ascii="Calibri" w:hAnsi="Calibri" w:eastAsia="Microsoft YaHei"/>
          <w:color w:val="222222"/>
          <w:sz w:val="22"/>
        </w:rPr>
        <w:t>：采纳、修改、重复概念、解释满意度、决策耗时；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安全与合规</w:t>
      </w:r>
      <w:r>
        <w:rPr>
          <w:rFonts w:ascii="Calibri" w:hAnsi="Calibri" w:eastAsia="Microsoft YaHei"/>
          <w:color w:val="222222"/>
          <w:sz w:val="22"/>
        </w:rPr>
        <w:t>：越权、数据外带、提示注入、IP、审批绕过为零容忍项；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工程性</w:t>
      </w:r>
      <w:r>
        <w:rPr>
          <w:rFonts w:ascii="Calibri" w:hAnsi="Calibri" w:eastAsia="Microsoft YaHei"/>
          <w:color w:val="222222"/>
          <w:sz w:val="22"/>
        </w:rPr>
        <w:t>：成功率、延迟、可重放、成本、降级和回滚；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迁移稳定性</w:t>
      </w:r>
      <w:r>
        <w:rPr>
          <w:rFonts w:ascii="Calibri" w:hAnsi="Calibri" w:eastAsia="Microsoft YaHei"/>
          <w:color w:val="222222"/>
          <w:sz w:val="22"/>
        </w:rPr>
        <w:t>：不同品类、地区、季节和 IP 类型的差异。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13. 局限、失败模式与后续路线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13.1 当前局限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合成数据的生成机制已知，模型结果不能外推；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表格模型只提供透明基线，不代表最终最优模型；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DFM 规则数量少，尚未连接实时成本、供应商产能和法规；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虚拟面板没有真实消费者外部效度证据；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Agent fallback 适合开发，不应在生产中静默使用；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偏好飞轮尚未实现 DPO 或奖励模型训练；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尚未完成飞书身份、审批、卡片和数据权限集成；</w:t>
      </w:r>
    </w:p>
    <w:p>
      <w:pPr>
        <w:spacing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222222"/>
          <w:sz w:val="22"/>
        </w:rPr>
        <w:t>未进行正式的隐私影响评估、安全红队和生产负载验证。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13.2 典型失败模式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趋势信号由营销活动驱动，模型误判为自然需求；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相同 IP 系列跨窗造成近重复泄漏；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真实消费者样本偏向高活跃用户，校准依然失真；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进化搜索利用 DFM 规则空白，产生“高分但不可做”的概念；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产品经理只反馈被推荐候选，形成选择偏差；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模型生成接近现有 IP 的设计，带来侵权与品牌风险；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海外区域的文化、价格和渠道差异导致迁移失败；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指标优化牺牲创意多样性、长期品牌或尾部人群。</w:t>
      </w:r>
    </w:p>
    <w:p>
      <w:pPr>
        <w:pStyle w:val="Heading2"/>
        <w:ind w:left="0" w:right="0" w:firstLine="0"/>
      </w:pPr>
      <w:r>
        <w:rPr>
          <w:rFonts w:ascii="Calibri" w:hAnsi="Calibri" w:eastAsia="Microsoft YaHei"/>
          <w:b/>
          <w:color w:val="2E74B5"/>
          <w:sz w:val="26"/>
        </w:rPr>
        <w:t>13.3 路线图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近期：</w:t>
      </w:r>
      <w:r>
        <w:rPr>
          <w:rFonts w:ascii="Calibri" w:hAnsi="Calibri" w:eastAsia="Microsoft YaHei"/>
          <w:color w:val="222222"/>
          <w:sz w:val="22"/>
        </w:rPr>
        <w:t xml:space="preserve"> 企业字段契约、真实历史盲测、DFM 规则工作坊、飞书只读证据卡、模型与数据卡。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中期：</w:t>
      </w:r>
      <w:r>
        <w:rPr>
          <w:rFonts w:ascii="Calibri" w:hAnsi="Calibri" w:eastAsia="Microsoft YaHei"/>
          <w:color w:val="222222"/>
          <w:sz w:val="22"/>
        </w:rPr>
        <w:t xml:space="preserve"> 影子运行、校准面板外部验证、冠军/挑战者、分组监控、偏好数据质量。</w:t>
      </w:r>
    </w:p>
    <w:p>
      <w:pPr>
        <w:pStyle w:val="ListBullet"/>
      </w:pPr>
      <w:r>
        <w:rPr>
          <w:rFonts w:ascii="Calibri" w:hAnsi="Calibri" w:eastAsia="Microsoft YaHei"/>
          <w:b/>
          <w:color w:val="222222"/>
          <w:sz w:val="22"/>
        </w:rPr>
        <w:t>后期：</w:t>
      </w:r>
      <w:r>
        <w:rPr>
          <w:rFonts w:ascii="Calibri" w:hAnsi="Calibri" w:eastAsia="Microsoft YaHei"/>
          <w:color w:val="222222"/>
          <w:sz w:val="22"/>
        </w:rPr>
        <w:t xml:space="preserve"> 受控试点、可回滚的排序模型、经过安全与法务批准的偏好优化，以及跨品类迁移评估。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14. 结论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企业级 AI 产品研发的竞争力不在“生成得更多”，而在“知道哪些建议值得相信、为什么、在什么边界内，以及如何被复盘”。本方案用时间化数据和时光机回测约束证据，用真实锚点与保形区间约束虚拟面板，用多目标与 DFM 约束创意搜索，用人工审批与审计约束执行。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当前仓库已经从概念骨架升级为可复现的技术基线：核心不变量有测试，合成实验有机器可读证据，夸大口径被显式隔离。下一步不是继续包装合成指标，而是与企业共同冻结标签和盲测协议，让真实数据决定系统是否值得进入影子运行。只有经过历史盲测、前瞻试点、安全和合规门禁的提升，才可以被称为业务价值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附录 A：默认实验配置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8"/>
        <w:gridCol w:w="4452"/>
        <w:gridCol w:w="2010"/>
      </w:tblGrid>
      <w:tr>
        <w:trPr>
          <w:tblHeader w:val="true"/>
        </w:trP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参数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默认值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train_window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180 天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每个窗口的固定训练期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gap_days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14 天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数据迟到/决策隔离期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pred_window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90 天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未来结果观察期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stride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30 天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窗口向前移动步长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top_k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5/10/20/50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排序评估截断点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min_samples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80（演示）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训练与预测窗最少样本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random_seed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2026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可重复随机种子</w:t>
            </w:r>
          </w:p>
        </w:tc>
      </w:tr>
      <w:tr>
        <w:tc>
          <w:tcPr>
            <w:tcW w:type="dxa" w:w="28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protected outcomes</w:t>
            </w:r>
          </w:p>
        </w:tc>
        <w:tc>
          <w:tcPr>
            <w:tcW w:type="dxa" w:w="44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is_hit/sales_90d/realized_margin</w:t>
            </w:r>
          </w:p>
        </w:tc>
        <w:tc>
          <w:tcPr>
            <w:tcW w:type="dxa" w:w="2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候选评分前删除</w:t>
            </w:r>
          </w:p>
        </w:tc>
      </w:tr>
    </w:tbl>
    <w:p>
      <w:pPr>
        <w:spacing w:before="80" w:after="80"/>
      </w:pP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附录 B：企业数据接入检查表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每个字段有 owner、定义、event_time、available_time 和敏感级别；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爆品标签的时间窗、阈值、退货和缺货处理已冻结；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SKU 族、颜色款、IP 系列和重复概念可分组；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训练统计与预处理只在训练窗拟合；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盲测期封存，参数和基线预注册；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外部数据来源、许可、保留和删除完成审查；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DFM 规则有业务 owner、版本和例外流程；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产品经理反馈有目的、身份、理由和可撤回机制；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模型不可用、漂移和越权时有降级与回滚；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□ 结果报告包含无效窗口、失败案例和适用边界。</w:t>
      </w:r>
    </w:p>
    <w:p>
      <w:pPr>
        <w:pStyle w:val="Heading1"/>
        <w:ind w:left="0" w:right="0" w:firstLine="0"/>
      </w:pPr>
      <w:r>
        <w:rPr>
          <w:rFonts w:ascii="Calibri" w:hAnsi="Calibri" w:eastAsia="Microsoft YaHei"/>
          <w:b/>
          <w:color w:val="2E74B5"/>
          <w:sz w:val="32"/>
        </w:rPr>
        <w:t>附录 C：参考文献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[1] MINISO Group Holding Limited. </w:t>
      </w:r>
      <w:r>
        <w:rPr>
          <w:rFonts w:ascii="Calibri" w:hAnsi="Calibri" w:eastAsia="Microsoft YaHei"/>
          <w:i/>
          <w:color w:val="222222"/>
          <w:sz w:val="22"/>
        </w:rPr>
        <w:t>Annual Report 2025</w:t>
      </w:r>
      <w:r>
        <w:rPr>
          <w:rFonts w:ascii="Calibri" w:hAnsi="Calibri" w:eastAsia="Microsoft YaHei"/>
          <w:color w:val="222222"/>
          <w:sz w:val="22"/>
        </w:rPr>
        <w:t>. 2026. https://ir.miniso.com/image/Annual+Report+2025+US.pdf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[2] Argyle, L. P., Busby, E. C., Fulda, N., et al. “Out of One, Many: Using Language Models to Simulate Human Samples.” </w:t>
      </w:r>
      <w:r>
        <w:rPr>
          <w:rFonts w:ascii="Calibri" w:hAnsi="Calibri" w:eastAsia="Microsoft YaHei"/>
          <w:i/>
          <w:color w:val="222222"/>
          <w:sz w:val="22"/>
        </w:rPr>
        <w:t>Political Analysis</w:t>
      </w:r>
      <w:r>
        <w:rPr>
          <w:rFonts w:ascii="Calibri" w:hAnsi="Calibri" w:eastAsia="Microsoft YaHei"/>
          <w:color w:val="222222"/>
          <w:sz w:val="22"/>
        </w:rPr>
        <w:t>, 31(3), 2023, 337-351. https://doi.org/10.1017/pan.2023.2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[3] Horton, J. J. </w:t>
      </w:r>
      <w:r>
        <w:rPr>
          <w:rFonts w:ascii="Calibri" w:hAnsi="Calibri" w:eastAsia="Microsoft YaHei"/>
          <w:i/>
          <w:color w:val="222222"/>
          <w:sz w:val="22"/>
        </w:rPr>
        <w:t>Large Language Models as Simulated Economic Agents: What Can We Learn from Homo Silicus?</w:t>
      </w:r>
      <w:r>
        <w:rPr>
          <w:rFonts w:ascii="Calibri" w:hAnsi="Calibri" w:eastAsia="Microsoft YaHei"/>
          <w:color w:val="222222"/>
          <w:sz w:val="22"/>
        </w:rPr>
        <w:t xml:space="preserve"> NBER Working Paper 31122, 2023. https://doi.org/10.3386/w31122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[4] Granger, C. W. J. “Investigating Causal Relations by Econometric Models and Cross-spectral Methods.” </w:t>
      </w:r>
      <w:r>
        <w:rPr>
          <w:rFonts w:ascii="Calibri" w:hAnsi="Calibri" w:eastAsia="Microsoft YaHei"/>
          <w:i/>
          <w:color w:val="222222"/>
          <w:sz w:val="22"/>
        </w:rPr>
        <w:t>Econometrica</w:t>
      </w:r>
      <w:r>
        <w:rPr>
          <w:rFonts w:ascii="Calibri" w:hAnsi="Calibri" w:eastAsia="Microsoft YaHei"/>
          <w:color w:val="222222"/>
          <w:sz w:val="22"/>
        </w:rPr>
        <w:t>, 37(3), 1969, 424-438. https://doi.org/10.2307/1912791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[5] Romera-Paredes, B., Barekatain, M., Novikov, A., et al. “Mathematical Discoveries from Program Search with Large Language Models.” </w:t>
      </w:r>
      <w:r>
        <w:rPr>
          <w:rFonts w:ascii="Calibri" w:hAnsi="Calibri" w:eastAsia="Microsoft YaHei"/>
          <w:i/>
          <w:color w:val="222222"/>
          <w:sz w:val="22"/>
        </w:rPr>
        <w:t>Nature</w:t>
      </w:r>
      <w:r>
        <w:rPr>
          <w:rFonts w:ascii="Calibri" w:hAnsi="Calibri" w:eastAsia="Microsoft YaHei"/>
          <w:color w:val="222222"/>
          <w:sz w:val="22"/>
        </w:rPr>
        <w:t>, 625, 2024, 468-475. https://doi.org/10.1038/s41586-023-06924-6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[6] Rafailov, R., Sharma, A., Mitchell, E., et al. “Direct Preference Optimization: Your Language Model is Secretly a Reward Model.” </w:t>
      </w:r>
      <w:r>
        <w:rPr>
          <w:rFonts w:ascii="Calibri" w:hAnsi="Calibri" w:eastAsia="Microsoft YaHei"/>
          <w:i/>
          <w:color w:val="222222"/>
          <w:sz w:val="22"/>
        </w:rPr>
        <w:t>NeurIPS 2023</w:t>
      </w:r>
      <w:r>
        <w:rPr>
          <w:rFonts w:ascii="Calibri" w:hAnsi="Calibri" w:eastAsia="Microsoft YaHei"/>
          <w:color w:val="222222"/>
          <w:sz w:val="22"/>
        </w:rPr>
        <w:t>. https://arxiv.org/abs/2305.18290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>[7] Angelopoulos, A. N., and Bates, S. “A Gentle Introduction to Conformal Prediction and Distribution-Free Uncertainty Quantification.” 2021. https://arxiv.org/abs/2107.07511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[8] Järvelin, K., and Kekäläinen, J. “Cumulated Gain-based Evaluation of IR Techniques.” </w:t>
      </w:r>
      <w:r>
        <w:rPr>
          <w:rFonts w:ascii="Calibri" w:hAnsi="Calibri" w:eastAsia="Microsoft YaHei"/>
          <w:i/>
          <w:color w:val="222222"/>
          <w:sz w:val="22"/>
        </w:rPr>
        <w:t>ACM TOIS</w:t>
      </w:r>
      <w:r>
        <w:rPr>
          <w:rFonts w:ascii="Calibri" w:hAnsi="Calibri" w:eastAsia="Microsoft YaHei"/>
          <w:color w:val="222222"/>
          <w:sz w:val="22"/>
        </w:rPr>
        <w:t>, 20(4), 2002, 422-446. https://doi.org/10.1145/582415.582418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[9] Tabassi, E. </w:t>
      </w:r>
      <w:r>
        <w:rPr>
          <w:rFonts w:ascii="Calibri" w:hAnsi="Calibri" w:eastAsia="Microsoft YaHei"/>
          <w:i/>
          <w:color w:val="222222"/>
          <w:sz w:val="22"/>
        </w:rPr>
        <w:t>Artificial Intelligence Risk Management Framework (AI RMF 1.0)</w:t>
      </w:r>
      <w:r>
        <w:rPr>
          <w:rFonts w:ascii="Calibri" w:hAnsi="Calibri" w:eastAsia="Microsoft YaHei"/>
          <w:color w:val="222222"/>
          <w:sz w:val="22"/>
        </w:rPr>
        <w:t>. NIST AI 100-1, 2023. https://doi.org/10.6028/NIST.AI.100-1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[10] Autio, C., et al. </w:t>
      </w:r>
      <w:r>
        <w:rPr>
          <w:rFonts w:ascii="Calibri" w:hAnsi="Calibri" w:eastAsia="Microsoft YaHei"/>
          <w:i/>
          <w:color w:val="222222"/>
          <w:sz w:val="22"/>
        </w:rPr>
        <w:t>Artificial Intelligence Risk Management Framework: Generative Artificial Intelligence Profile</w:t>
      </w:r>
      <w:r>
        <w:rPr>
          <w:rFonts w:ascii="Calibri" w:hAnsi="Calibri" w:eastAsia="Microsoft YaHei"/>
          <w:color w:val="222222"/>
          <w:sz w:val="22"/>
        </w:rPr>
        <w:t>. NIST AI 600-1, 2024. https://doi.org/10.6028/NIST.AI.600-1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[11] OWASP Foundation. </w:t>
      </w:r>
      <w:r>
        <w:rPr>
          <w:rFonts w:ascii="Calibri" w:hAnsi="Calibri" w:eastAsia="Microsoft YaHei"/>
          <w:i/>
          <w:color w:val="222222"/>
          <w:sz w:val="22"/>
        </w:rPr>
        <w:t>OWASP Top 10 for Large Language Model Applications</w:t>
      </w:r>
      <w:r>
        <w:rPr>
          <w:rFonts w:ascii="Calibri" w:hAnsi="Calibri" w:eastAsia="Microsoft YaHei"/>
          <w:color w:val="222222"/>
          <w:sz w:val="22"/>
        </w:rPr>
        <w:t>. https://owasp.org/www-project-top-10-for-large-language-model-applications/</w:t>
      </w:r>
    </w:p>
    <w:p>
      <w:pPr>
        <w:keepNext w:val="0"/>
      </w:pPr>
      <w:r>
        <w:rPr>
          <w:rFonts w:ascii="Calibri" w:hAnsi="Calibri" w:eastAsia="Microsoft YaHei"/>
          <w:color w:val="222222"/>
          <w:sz w:val="22"/>
        </w:rPr>
        <w:t xml:space="preserve">[12] Mitchell, M., Wu, S., Zaldivar, A., et al. “Model Cards for Model Reporting.” </w:t>
      </w:r>
      <w:r>
        <w:rPr>
          <w:rFonts w:ascii="Calibri" w:hAnsi="Calibri" w:eastAsia="Microsoft YaHei"/>
          <w:i/>
          <w:color w:val="222222"/>
          <w:sz w:val="22"/>
        </w:rPr>
        <w:t>FAT</w:t>
      </w:r>
      <w:r>
        <w:rPr>
          <w:rFonts w:ascii="Calibri" w:hAnsi="Calibri" w:eastAsia="Microsoft YaHei"/>
          <w:color w:val="222222"/>
          <w:sz w:val="22"/>
        </w:rPr>
        <w:t xml:space="preserve"> 2019, 220-229. https://doi.org/10.1145/3287560.3287596</w:t>
      </w:r>
    </w:p>
    <w:sectPr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0009"/>
    <w:multiLevelType w:val="singleLevel"/>
    <w:tmpl w:val="B17E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>
    <w:nsid w:val="A11C000A"/>
    <w:multiLevelType w:val="singleLevel"/>
    <w:tmpl w:val="B17E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nsid w:val="A11C000B"/>
    <w:multiLevelType w:val="singleLevel"/>
    <w:tmpl w:val="B17E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>
    <w:nsid w:val="A11C000C"/>
    <w:multiLevelType w:val="singleLevel"/>
    <w:tmpl w:val="B17E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产品开发引擎技术白皮书</dc:title>
  <dc:subject>三人学生团队面向企业级赛题构建的新品研发决策系统</dc:subject>
  <dc:creator/>
  <cp:keywords>AI产品研发, 多Agent, 时光机回测, 保形预测, DFM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