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2761489"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2761490"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6D2496">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6D2496">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6D2496">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6D2496">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6D2496">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6D2496">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6D2496">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6D2496">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6D2496">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6D2496">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6D2496">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6D2496">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6D2496">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6D2496">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6D2496">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6D2496">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6D2496">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6D2496">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6D2496">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6D2496">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6D2496">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6D2496">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6D2496">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6D2496">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6D2496">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6D2496">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6D2496">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6D2496">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6D2496">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6D2496">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6D2496">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6D2496">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6D2496">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6D2496">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6D2496">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6D2496">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6D2496">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6D2496">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6D2496">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6D2496">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6D2496">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6D2496">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6D2496">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6D2496">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6D2496">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6D2496">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6D2496">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6D2496">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6D2496">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6D2496">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6D2496">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3DA09986"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Pr="00050E24">
        <w:rPr>
          <w:rFonts w:ascii="Times New Roman" w:eastAsia="宋体" w:hAnsi="Times New Roman" w:cs="Times New Roman" w:hint="eastAsia"/>
        </w:rPr>
        <w:t>，改进学生对于材料失效机制的理解，同时增加学生在材料科学课程的动机。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7777777"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24472C" w:rsidRDefault="002364AC" w:rsidP="0024472C">
      <w:pPr>
        <w:spacing w:line="440" w:lineRule="exact"/>
        <w:ind w:firstLineChars="0" w:firstLine="420"/>
        <w:rPr>
          <w:rFonts w:ascii="Times New Roman" w:hAnsi="Times New Roman" w:hint="eastAsia"/>
          <w:color w:val="BFBFBF" w:themeColor="background1" w:themeShade="BF"/>
        </w:rPr>
      </w:pPr>
      <w:r w:rsidRPr="0024472C">
        <w:rPr>
          <w:rFonts w:ascii="Times New Roman" w:hAnsi="Times New Roman"/>
          <w:color w:val="BFBFBF" w:themeColor="background1" w:themeShade="BF"/>
        </w:rPr>
        <w:t>学生与他人维度主要记录的是学生视角所观察到的教师及其同学的言语行为和非言语行为</w:t>
      </w:r>
      <w:r w:rsidRPr="0024472C">
        <w:rPr>
          <w:rFonts w:ascii="Times New Roman" w:hAnsi="Times New Roman" w:hint="eastAsia"/>
          <w:color w:val="BFBFBF" w:themeColor="background1" w:themeShade="BF"/>
        </w:rPr>
        <w:t>。</w:t>
      </w:r>
      <w:r w:rsidRPr="0024472C">
        <w:rPr>
          <w:rFonts w:ascii="Times New Roman" w:hAnsi="Times New Roman"/>
          <w:color w:val="BFBFBF" w:themeColor="background1" w:themeShade="BF"/>
        </w:rPr>
        <w:t>学生本人维度则主要记录的是学生的言语行为和非言语行为</w:t>
      </w:r>
      <w:r w:rsidRPr="0024472C">
        <w:rPr>
          <w:rFonts w:ascii="Times New Roman" w:hAnsi="Times New Roman" w:hint="eastAsia"/>
          <w:color w:val="BFBFBF" w:themeColor="background1" w:themeShade="BF"/>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hint="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w:t>
      </w:r>
      <w:r w:rsidR="00816484">
        <w:rPr>
          <w:rFonts w:ascii="Times New Roman" w:hAnsi="Times New Roman" w:hint="eastAsia"/>
        </w:rPr>
        <w:t>，要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hint="eastAsia"/>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hint="eastAsia"/>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hint="eastAsia"/>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hint="eastAsia"/>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rPr>
          <w:rFonts w:hint="eastAsia"/>
        </w:rPr>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rPr>
          <w:rFonts w:hint="eastAsia"/>
        </w:rP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7967B268">
            <wp:extent cx="3267075" cy="2314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267075" cy="2314575"/>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rPr>
          <w:rFonts w:hint="eastAsia"/>
        </w:rP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w:t>
      </w:r>
      <w:r w:rsidRPr="00F4605B">
        <w:rPr>
          <w:rFonts w:hint="eastAsia"/>
        </w:rPr>
        <w:lastRenderedPageBreak/>
        <w:t>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1E7546">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1E7546">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1E7546">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1E7546">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1E7546">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1E7546">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1E7546">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1E7546">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1E7546">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1E7546">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1E7546">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1E7546">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1E7546">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1E7546">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1E7546">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1E7546">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1E7546">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1E7546">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1E7546">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1E7546">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1E7546">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1E7546">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1E7546">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1E7546">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1E7546">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1E7546">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1E7546">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1E7546">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1E7546">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1E7546">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1E7546">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1E7546">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1E7546">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1E7546">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1E7546">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1E7546">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1E7546">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1E7546">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1E7546">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1E7546">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1E7546">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1E7546">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1E7546">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1E7546">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1E7546">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1E7546">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1E7546">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1E7546">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1E7546">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1E7546">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1E7546">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1E7546">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1E7546">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1E7546">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1E7546">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1E7546">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1E7546">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1E7546">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1E7546">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1E7546">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1E7546">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1E7546">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1E7546">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1E7546">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1E7546">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1E7546">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1E7546">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1E7546">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1E7546">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1E7546">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1E7546">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1E7546">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1E7546">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1E7546">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1E7546">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1E7546">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1E7546">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1E7546">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1E7546">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1E7546">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1E7546">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1E7546">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rFonts w:hint="eastAsia"/>
          <w:b/>
        </w:rPr>
      </w:pPr>
      <w:r w:rsidRPr="006546AB">
        <w:rPr>
          <w:rFonts w:hint="eastAsia"/>
          <w:b/>
        </w:rPr>
        <w:t>表</w:t>
      </w:r>
      <w:r w:rsidRPr="006546AB">
        <w:rPr>
          <w:b/>
        </w:rPr>
        <w:t>2</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w:t>
      </w:r>
      <w:r w:rsidRPr="006546AB">
        <w:rPr>
          <w:rFonts w:hint="eastAsia"/>
          <w:b/>
        </w:rPr>
        <w:t>本人</w:t>
      </w:r>
      <w:r w:rsidRPr="006546AB">
        <w:rPr>
          <w:rFonts w:hint="eastAsia"/>
          <w:b/>
        </w:rPr>
        <w:t>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1E7546">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1E7546">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1E7546">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1E7546">
            <w:pPr>
              <w:ind w:firstLine="420"/>
            </w:pPr>
            <w:r>
              <w:rPr>
                <w:rFonts w:ascii="微软雅黑" w:eastAsia="微软雅黑" w:hAnsi="微软雅黑" w:cs="微软雅黑" w:hint="eastAsia"/>
              </w:rPr>
              <w:t>表</w:t>
            </w:r>
            <w:r>
              <w:rPr>
                <w:rFonts w:hint="eastAsia"/>
              </w:rPr>
              <w:t>述</w:t>
            </w:r>
          </w:p>
        </w:tc>
      </w:tr>
      <w:tr w:rsidR="006546AB" w14:paraId="766302CF" w14:textId="77777777" w:rsidTr="001E7546">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1E7546">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1E7546">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1E7546">
        <w:tc>
          <w:tcPr>
            <w:tcW w:w="2547" w:type="dxa"/>
            <w:vMerge/>
            <w:tcBorders>
              <w:left w:val="single" w:sz="4" w:space="0" w:color="auto"/>
              <w:right w:val="single" w:sz="4" w:space="0" w:color="auto"/>
            </w:tcBorders>
            <w:vAlign w:val="center"/>
            <w:hideMark/>
          </w:tcPr>
          <w:p w14:paraId="4F6FB49C"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1E7546">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1E7546">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1E7546">
        <w:tc>
          <w:tcPr>
            <w:tcW w:w="2547" w:type="dxa"/>
            <w:vMerge/>
            <w:tcBorders>
              <w:left w:val="single" w:sz="4" w:space="0" w:color="auto"/>
              <w:right w:val="single" w:sz="4" w:space="0" w:color="auto"/>
            </w:tcBorders>
            <w:vAlign w:val="center"/>
            <w:hideMark/>
          </w:tcPr>
          <w:p w14:paraId="047FE014"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1E7546">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1E7546">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1E7546">
        <w:tc>
          <w:tcPr>
            <w:tcW w:w="2547" w:type="dxa"/>
            <w:vMerge/>
            <w:tcBorders>
              <w:left w:val="single" w:sz="4" w:space="0" w:color="auto"/>
              <w:right w:val="single" w:sz="4" w:space="0" w:color="auto"/>
            </w:tcBorders>
            <w:vAlign w:val="center"/>
            <w:hideMark/>
          </w:tcPr>
          <w:p w14:paraId="571E4958"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1E7546">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1E7546">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1E7546">
        <w:tc>
          <w:tcPr>
            <w:tcW w:w="2547" w:type="dxa"/>
            <w:vMerge/>
            <w:tcBorders>
              <w:left w:val="single" w:sz="4" w:space="0" w:color="auto"/>
              <w:right w:val="single" w:sz="4" w:space="0" w:color="auto"/>
            </w:tcBorders>
            <w:vAlign w:val="center"/>
          </w:tcPr>
          <w:p w14:paraId="64C0C8BF" w14:textId="77777777" w:rsidR="006546AB" w:rsidRDefault="006546AB" w:rsidP="001E7546">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1E7546">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1E7546">
        <w:tc>
          <w:tcPr>
            <w:tcW w:w="2547" w:type="dxa"/>
            <w:vMerge/>
            <w:tcBorders>
              <w:left w:val="single" w:sz="4" w:space="0" w:color="auto"/>
              <w:right w:val="single" w:sz="4" w:space="0" w:color="auto"/>
            </w:tcBorders>
            <w:vAlign w:val="center"/>
            <w:hideMark/>
          </w:tcPr>
          <w:p w14:paraId="2D867C04" w14:textId="77777777" w:rsidR="006546AB" w:rsidRDefault="006546AB" w:rsidP="001E7546">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1E7546">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1E7546">
            <w:pPr>
              <w:ind w:firstLine="420"/>
            </w:pPr>
            <w:r w:rsidRPr="006546AB">
              <w:rPr>
                <w:rFonts w:ascii="微软雅黑" w:eastAsia="微软雅黑" w:hAnsi="微软雅黑" w:cs="微软雅黑" w:hint="eastAsia"/>
              </w:rPr>
              <w:t>沉默或混乱</w:t>
            </w:r>
          </w:p>
        </w:tc>
      </w:tr>
      <w:tr w:rsidR="006546AB" w14:paraId="0A05A529" w14:textId="77777777" w:rsidTr="001E7546">
        <w:tc>
          <w:tcPr>
            <w:tcW w:w="2547" w:type="dxa"/>
            <w:vMerge/>
            <w:tcBorders>
              <w:left w:val="single" w:sz="4" w:space="0" w:color="auto"/>
              <w:right w:val="single" w:sz="4" w:space="0" w:color="auto"/>
            </w:tcBorders>
            <w:vAlign w:val="center"/>
            <w:hideMark/>
          </w:tcPr>
          <w:p w14:paraId="75726EB3"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1E7546">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1E7546">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1E7546">
        <w:tc>
          <w:tcPr>
            <w:tcW w:w="2547" w:type="dxa"/>
            <w:vMerge/>
            <w:tcBorders>
              <w:left w:val="single" w:sz="4" w:space="0" w:color="auto"/>
              <w:right w:val="single" w:sz="4" w:space="0" w:color="auto"/>
            </w:tcBorders>
            <w:vAlign w:val="center"/>
          </w:tcPr>
          <w:p w14:paraId="159DB943" w14:textId="77777777" w:rsidR="006546AB" w:rsidRDefault="006546AB" w:rsidP="001E7546">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1E7546">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1E7546">
        <w:tc>
          <w:tcPr>
            <w:tcW w:w="2547" w:type="dxa"/>
            <w:vMerge/>
            <w:tcBorders>
              <w:left w:val="single" w:sz="4" w:space="0" w:color="auto"/>
              <w:right w:val="single" w:sz="4" w:space="0" w:color="auto"/>
            </w:tcBorders>
            <w:vAlign w:val="center"/>
          </w:tcPr>
          <w:p w14:paraId="7000F511" w14:textId="77777777" w:rsidR="006546AB" w:rsidRDefault="006546AB" w:rsidP="001E7546">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1E7546">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1E7546">
        <w:tc>
          <w:tcPr>
            <w:tcW w:w="2547" w:type="dxa"/>
            <w:vMerge/>
            <w:tcBorders>
              <w:left w:val="single" w:sz="4" w:space="0" w:color="auto"/>
              <w:right w:val="single" w:sz="4" w:space="0" w:color="auto"/>
            </w:tcBorders>
            <w:vAlign w:val="center"/>
          </w:tcPr>
          <w:p w14:paraId="05FBE0F2" w14:textId="77777777" w:rsidR="006546AB" w:rsidRDefault="006546AB" w:rsidP="001E7546">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1E7546">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1E7546">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1E7546">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1E7546">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1E7546">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1E7546">
        <w:tc>
          <w:tcPr>
            <w:tcW w:w="2547" w:type="dxa"/>
            <w:vMerge/>
            <w:tcBorders>
              <w:left w:val="single" w:sz="4" w:space="0" w:color="auto"/>
              <w:right w:val="single" w:sz="4" w:space="0" w:color="auto"/>
            </w:tcBorders>
            <w:vAlign w:val="center"/>
            <w:hideMark/>
          </w:tcPr>
          <w:p w14:paraId="725E74C8"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1E7546">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1E7546">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1E7546">
        <w:tc>
          <w:tcPr>
            <w:tcW w:w="2547" w:type="dxa"/>
            <w:vMerge/>
            <w:tcBorders>
              <w:left w:val="single" w:sz="4" w:space="0" w:color="auto"/>
              <w:right w:val="single" w:sz="4" w:space="0" w:color="auto"/>
            </w:tcBorders>
            <w:vAlign w:val="center"/>
            <w:hideMark/>
          </w:tcPr>
          <w:p w14:paraId="44A26FF5"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1E7546">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1E7546">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1E7546">
        <w:tc>
          <w:tcPr>
            <w:tcW w:w="2547" w:type="dxa"/>
            <w:vMerge/>
            <w:tcBorders>
              <w:left w:val="single" w:sz="4" w:space="0" w:color="auto"/>
              <w:right w:val="single" w:sz="4" w:space="0" w:color="auto"/>
            </w:tcBorders>
            <w:vAlign w:val="center"/>
            <w:hideMark/>
          </w:tcPr>
          <w:p w14:paraId="08533713"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1E7546">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1E7546">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1E7546">
        <w:tc>
          <w:tcPr>
            <w:tcW w:w="2547" w:type="dxa"/>
            <w:vMerge/>
            <w:tcBorders>
              <w:left w:val="single" w:sz="4" w:space="0" w:color="auto"/>
              <w:right w:val="single" w:sz="4" w:space="0" w:color="auto"/>
            </w:tcBorders>
            <w:vAlign w:val="center"/>
            <w:hideMark/>
          </w:tcPr>
          <w:p w14:paraId="0DEEF3D4" w14:textId="77777777" w:rsidR="006546AB" w:rsidRDefault="006546AB" w:rsidP="001E7546">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1E7546">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1E7546">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1E7546">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rPr>
          <w:rFonts w:hint="eastAsia"/>
        </w:rPr>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w:t>
      </w:r>
      <w:bookmarkStart w:id="39" w:name="_GoBack"/>
      <w:bookmarkEnd w:id="39"/>
      <w:r w:rsidRPr="00590433">
        <w:rPr>
          <w:rFonts w:hint="eastAsia"/>
        </w:rPr>
        <w:t>例验证与分析</w:t>
      </w:r>
      <w:bookmarkEnd w:id="38"/>
    </w:p>
    <w:p w14:paraId="75A6B2A2" w14:textId="636D4633"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数字化课堂教学而互动行为研究。在学习终端、互动资源、可视化互动技术、智慧课堂教学支撑系统等内容与技术的支持下，能够满足课堂教学中人与人、人与技术之间互动的需求。</w:t>
      </w:r>
    </w:p>
    <w:p w14:paraId="3DB4CFBF" w14:textId="00575F4F" w:rsidR="00CA51AA" w:rsidRPr="00DC6548" w:rsidRDefault="00CA51AA" w:rsidP="007B254C">
      <w:pPr>
        <w:ind w:firstLine="420"/>
      </w:pPr>
      <w:r>
        <w:rPr>
          <w:rFonts w:hint="eastAsia"/>
        </w:rPr>
        <w:t>为验证</w:t>
      </w:r>
      <w:r>
        <w:rPr>
          <w:rFonts w:hint="eastAsia"/>
        </w:rPr>
        <w:t>SPOOTIAS</w:t>
      </w:r>
      <w:r>
        <w:rPr>
          <w:rFonts w:hint="eastAsia"/>
        </w:rPr>
        <w:t>能否站在学生的角度还原</w:t>
      </w:r>
      <w:r>
        <w:rPr>
          <w:rFonts w:hint="eastAsia"/>
        </w:rPr>
        <w:t>1:1</w:t>
      </w:r>
      <w:r>
        <w:rPr>
          <w:rFonts w:hint="eastAsia"/>
        </w:rPr>
        <w:t>数字化环境的教学互动行为，特别是能否真实的反映学生与他人的互动在课堂教学中的作用，我们选取了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1D60BA0A" w14:textId="281F224F" w:rsidR="007B254C" w:rsidRPr="007B254C" w:rsidRDefault="007B254C" w:rsidP="007B254C">
      <w:pPr>
        <w:ind w:firstLine="420"/>
      </w:pPr>
      <w:r>
        <w:rPr>
          <w:rFonts w:hint="eastAsia"/>
        </w:rPr>
        <w:lastRenderedPageBreak/>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学生视角的</w:t>
      </w:r>
      <w:r>
        <w:rPr>
          <w:rFonts w:hint="eastAsia"/>
        </w:rPr>
        <w:t>1:1</w:t>
      </w:r>
      <w:r>
        <w:rPr>
          <w:rFonts w:hint="eastAsia"/>
        </w:rPr>
        <w:t>环境下课堂教学互动行为；二是使用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40"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40"/>
    </w:p>
    <w:p w14:paraId="40D13237" w14:textId="2484951C" w:rsidR="00ED3E4B" w:rsidRDefault="00ED3E4B" w:rsidP="00ED3E4B">
      <w:pPr>
        <w:ind w:firstLine="420"/>
      </w:pPr>
      <w:r w:rsidRPr="00ED3E4B">
        <w:rPr>
          <w:rFonts w:hint="eastAsia"/>
        </w:rPr>
        <w:t>这节课，教师以“珠海长隆海洋王国”宣传视频作为情景导入主题，在逐层递进问题的引导下让学生了解仿生学的概念，通过动手实践使学生了解仿生品的创作过程，增强学生对仿生学的理解。从表</w:t>
      </w:r>
      <w:r w:rsidRPr="00ED3E4B">
        <w:rPr>
          <w:rFonts w:hint="eastAsia"/>
        </w:rPr>
        <w:t>3</w:t>
      </w:r>
      <w:r w:rsidRPr="00ED3E4B">
        <w:rPr>
          <w:rFonts w:hint="eastAsia"/>
        </w:rPr>
        <w:t>中我们可以了解两类课堂环境下教学的基本结构。教师言语大约占课堂教学时间的</w:t>
      </w:r>
      <w:r w:rsidRPr="00ED3E4B">
        <w:rPr>
          <w:rFonts w:hint="eastAsia"/>
        </w:rPr>
        <w:t>1/3</w:t>
      </w:r>
      <w:r w:rsidRPr="00ED3E4B">
        <w:rPr>
          <w:rFonts w:hint="eastAsia"/>
        </w:rPr>
        <w:t>，学生做练习（</w:t>
      </w:r>
      <w:r w:rsidRPr="00ED3E4B">
        <w:rPr>
          <w:rFonts w:hint="eastAsia"/>
        </w:rPr>
        <w:t>37.5%</w:t>
      </w:r>
      <w:r w:rsidRPr="00ED3E4B">
        <w:rPr>
          <w:rFonts w:hint="eastAsia"/>
        </w:rPr>
        <w:t>）或操纵技术（</w:t>
      </w:r>
      <w:r w:rsidRPr="00ED3E4B">
        <w:rPr>
          <w:rFonts w:hint="eastAsia"/>
        </w:rPr>
        <w:t>49.32%</w:t>
      </w:r>
      <w:r w:rsidRPr="00ED3E4B">
        <w:rPr>
          <w:rFonts w:hint="eastAsia"/>
        </w:rPr>
        <w:t>）的时间超过课堂教学时间的</w:t>
      </w:r>
      <w:r w:rsidRPr="00ED3E4B">
        <w:rPr>
          <w:rFonts w:hint="eastAsia"/>
        </w:rPr>
        <w:t>1/3</w:t>
      </w:r>
      <w:r w:rsidRPr="00ED3E4B">
        <w:rPr>
          <w:rFonts w:hint="eastAsia"/>
        </w:rPr>
        <w:t>，这表明教师在两节课中均贯彻了“以学生为中心”的教学理念，充分发挥了学生的主体性。</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41F5D014" w:rsidR="00CA51AA" w:rsidRDefault="00CA51AA" w:rsidP="007B254C">
            <w:pPr>
              <w:ind w:firstLineChars="0" w:firstLine="0"/>
            </w:pPr>
            <w:r>
              <w:rPr>
                <w:rFonts w:hint="eastAsia"/>
              </w:rPr>
              <w:t>1:1</w:t>
            </w:r>
            <w:r>
              <w:rPr>
                <w:rFonts w:hint="eastAsia"/>
              </w:rPr>
              <w:t>数字化课堂</w:t>
            </w:r>
          </w:p>
        </w:tc>
        <w:tc>
          <w:tcPr>
            <w:tcW w:w="2768" w:type="dxa"/>
          </w:tcPr>
          <w:p w14:paraId="4ECF5298" w14:textId="767527FC" w:rsidR="00CA51AA" w:rsidRDefault="00CA51AA" w:rsidP="007B254C">
            <w:pPr>
              <w:ind w:firstLineChars="0" w:firstLine="0"/>
            </w:pPr>
            <w:r>
              <w:t>学生视角的</w:t>
            </w:r>
            <w:r>
              <w:rPr>
                <w:rFonts w:hint="eastAsia"/>
              </w:rPr>
              <w:t>1:1</w:t>
            </w:r>
            <w:r>
              <w:rPr>
                <w:rFonts w:hint="eastAsia"/>
              </w:rPr>
              <w:t>数字化课堂</w:t>
            </w:r>
          </w:p>
        </w:tc>
      </w:tr>
      <w:tr w:rsidR="00E76D94" w14:paraId="752C1B11" w14:textId="77777777" w:rsidTr="00946F8B">
        <w:tc>
          <w:tcPr>
            <w:tcW w:w="2767" w:type="dxa"/>
          </w:tcPr>
          <w:p w14:paraId="60012711" w14:textId="1C9FB41F" w:rsidR="00E76D94" w:rsidRDefault="00E76D94" w:rsidP="00E76D94">
            <w:pPr>
              <w:ind w:firstLineChars="0" w:firstLine="0"/>
            </w:pPr>
            <w:r>
              <w:t>教师言语比率</w:t>
            </w:r>
          </w:p>
        </w:tc>
        <w:tc>
          <w:tcPr>
            <w:tcW w:w="2767" w:type="dxa"/>
            <w:vAlign w:val="center"/>
          </w:tcPr>
          <w:p w14:paraId="2744A300" w14:textId="2481742F" w:rsidR="00E76D94" w:rsidRDefault="00E76D94" w:rsidP="00E76D94">
            <w:pPr>
              <w:ind w:firstLineChars="0" w:firstLine="0"/>
            </w:pPr>
            <w:r>
              <w:rPr>
                <w:rFonts w:hint="eastAsia"/>
                <w:color w:val="000000"/>
                <w:sz w:val="22"/>
              </w:rPr>
              <w:t>90.00%</w:t>
            </w:r>
          </w:p>
        </w:tc>
        <w:tc>
          <w:tcPr>
            <w:tcW w:w="2768" w:type="dxa"/>
            <w:vAlign w:val="center"/>
          </w:tcPr>
          <w:p w14:paraId="0F2E1018" w14:textId="274C3E6D" w:rsidR="00E76D94" w:rsidRDefault="00E76D94" w:rsidP="00E76D94">
            <w:pPr>
              <w:ind w:firstLineChars="0" w:firstLine="0"/>
            </w:pPr>
            <w:r>
              <w:rPr>
                <w:rFonts w:hint="eastAsia"/>
                <w:color w:val="000000"/>
                <w:sz w:val="22"/>
              </w:rPr>
              <w:t>89.08%</w:t>
            </w:r>
          </w:p>
        </w:tc>
      </w:tr>
      <w:tr w:rsidR="00E76D94" w14:paraId="62C93D06" w14:textId="77777777" w:rsidTr="00946F8B">
        <w:tc>
          <w:tcPr>
            <w:tcW w:w="2767" w:type="dxa"/>
          </w:tcPr>
          <w:p w14:paraId="38175DC7" w14:textId="60C78E5E" w:rsidR="00E76D94" w:rsidRDefault="00E76D94" w:rsidP="00E76D94">
            <w:pPr>
              <w:ind w:firstLineChars="0" w:firstLine="0"/>
            </w:pPr>
            <w:r>
              <w:t>学生言语比率</w:t>
            </w:r>
          </w:p>
        </w:tc>
        <w:tc>
          <w:tcPr>
            <w:tcW w:w="2767" w:type="dxa"/>
            <w:vAlign w:val="center"/>
          </w:tcPr>
          <w:p w14:paraId="737565D8" w14:textId="286825C9" w:rsidR="00E76D94" w:rsidRDefault="00E76D94" w:rsidP="00E76D94">
            <w:pPr>
              <w:ind w:firstLineChars="0" w:firstLine="0"/>
            </w:pPr>
            <w:r>
              <w:rPr>
                <w:rFonts w:hint="eastAsia"/>
                <w:color w:val="000000"/>
                <w:sz w:val="22"/>
              </w:rPr>
              <w:t>6.01%</w:t>
            </w:r>
          </w:p>
        </w:tc>
        <w:tc>
          <w:tcPr>
            <w:tcW w:w="2768" w:type="dxa"/>
            <w:vAlign w:val="center"/>
          </w:tcPr>
          <w:p w14:paraId="79D10567" w14:textId="2D913B2D" w:rsidR="00E76D94" w:rsidRDefault="00E76D94" w:rsidP="00E76D94">
            <w:pPr>
              <w:ind w:firstLineChars="0" w:firstLine="0"/>
            </w:pPr>
            <w:r>
              <w:rPr>
                <w:rFonts w:hint="eastAsia"/>
                <w:color w:val="000000"/>
                <w:sz w:val="22"/>
              </w:rPr>
              <w:t>6.70%</w:t>
            </w:r>
          </w:p>
        </w:tc>
      </w:tr>
      <w:tr w:rsidR="00E76D94" w14:paraId="5025F7FF" w14:textId="77777777" w:rsidTr="00946F8B">
        <w:tc>
          <w:tcPr>
            <w:tcW w:w="2767" w:type="dxa"/>
          </w:tcPr>
          <w:p w14:paraId="5D36EBB7" w14:textId="2E6E59F5" w:rsidR="00E76D94" w:rsidRDefault="00E76D94" w:rsidP="00E76D94">
            <w:pPr>
              <w:ind w:firstLineChars="0" w:firstLine="0"/>
            </w:pPr>
            <w:r>
              <w:t>沉默或混乱比率</w:t>
            </w:r>
          </w:p>
        </w:tc>
        <w:tc>
          <w:tcPr>
            <w:tcW w:w="2767" w:type="dxa"/>
            <w:vAlign w:val="center"/>
          </w:tcPr>
          <w:p w14:paraId="1EFDB1D6" w14:textId="0D660B82" w:rsidR="00E76D94" w:rsidRDefault="00E76D94" w:rsidP="00E76D94">
            <w:pPr>
              <w:ind w:firstLineChars="0" w:firstLine="0"/>
            </w:pPr>
            <w:r>
              <w:rPr>
                <w:rFonts w:hint="eastAsia"/>
                <w:color w:val="000000"/>
                <w:sz w:val="22"/>
              </w:rPr>
              <w:t>1.14%</w:t>
            </w:r>
          </w:p>
        </w:tc>
        <w:tc>
          <w:tcPr>
            <w:tcW w:w="2768" w:type="dxa"/>
            <w:vAlign w:val="center"/>
          </w:tcPr>
          <w:p w14:paraId="059C16DE" w14:textId="5AFA34E8" w:rsidR="00E76D94" w:rsidRDefault="00E76D94" w:rsidP="00E76D94">
            <w:pPr>
              <w:ind w:firstLineChars="0" w:firstLine="0"/>
            </w:pPr>
            <w:r>
              <w:rPr>
                <w:rFonts w:hint="eastAsia"/>
                <w:color w:val="000000"/>
                <w:sz w:val="22"/>
              </w:rPr>
              <w:t>5.68%</w:t>
            </w:r>
          </w:p>
        </w:tc>
      </w:tr>
      <w:tr w:rsidR="00E76D94" w14:paraId="4F0E270C" w14:textId="77777777" w:rsidTr="00946F8B">
        <w:tc>
          <w:tcPr>
            <w:tcW w:w="2767" w:type="dxa"/>
          </w:tcPr>
          <w:p w14:paraId="5BA7D810" w14:textId="29FBABBF" w:rsidR="00E76D94" w:rsidRDefault="00E76D94" w:rsidP="00E76D94">
            <w:pPr>
              <w:ind w:firstLineChars="0" w:firstLine="0"/>
            </w:pPr>
            <w:r>
              <w:t>做练习比率</w:t>
            </w:r>
          </w:p>
        </w:tc>
        <w:tc>
          <w:tcPr>
            <w:tcW w:w="2767" w:type="dxa"/>
            <w:vAlign w:val="center"/>
          </w:tcPr>
          <w:p w14:paraId="5118C344" w14:textId="50459D65" w:rsidR="00E76D94" w:rsidRDefault="00E76D94" w:rsidP="00E76D94">
            <w:pPr>
              <w:ind w:firstLineChars="0" w:firstLine="0"/>
            </w:pPr>
            <w:r>
              <w:rPr>
                <w:rFonts w:hint="eastAsia"/>
                <w:color w:val="000000"/>
                <w:sz w:val="22"/>
              </w:rPr>
              <w:t>1.00%</w:t>
            </w:r>
          </w:p>
        </w:tc>
        <w:tc>
          <w:tcPr>
            <w:tcW w:w="2768" w:type="dxa"/>
            <w:vAlign w:val="center"/>
          </w:tcPr>
          <w:p w14:paraId="3E07DF4B" w14:textId="00E4E2B6" w:rsidR="00E76D94" w:rsidRDefault="00E76D94" w:rsidP="00E76D94">
            <w:pPr>
              <w:ind w:firstLineChars="0" w:firstLine="0"/>
            </w:pPr>
            <w:r>
              <w:rPr>
                <w:rFonts w:hint="eastAsia"/>
                <w:color w:val="000000"/>
                <w:sz w:val="22"/>
              </w:rPr>
              <w:t>2.47%</w:t>
            </w:r>
          </w:p>
        </w:tc>
      </w:tr>
      <w:tr w:rsidR="00E76D94" w14:paraId="2FCDBF3D" w14:textId="77777777" w:rsidTr="00946F8B">
        <w:tc>
          <w:tcPr>
            <w:tcW w:w="2767" w:type="dxa"/>
          </w:tcPr>
          <w:p w14:paraId="6CFCD94A" w14:textId="07759645" w:rsidR="00E76D94" w:rsidRDefault="00E76D94" w:rsidP="00E76D94">
            <w:pPr>
              <w:ind w:firstLineChars="0" w:firstLine="0"/>
            </w:pPr>
            <w:r>
              <w:t>教师操纵技术比率</w:t>
            </w:r>
          </w:p>
        </w:tc>
        <w:tc>
          <w:tcPr>
            <w:tcW w:w="2767" w:type="dxa"/>
            <w:vAlign w:val="center"/>
          </w:tcPr>
          <w:p w14:paraId="3B28D53C" w14:textId="29846CBF" w:rsidR="00E76D94" w:rsidRDefault="00E76D94" w:rsidP="00E76D94">
            <w:pPr>
              <w:ind w:firstLineChars="0" w:firstLine="0"/>
            </w:pPr>
            <w:r>
              <w:rPr>
                <w:rFonts w:hint="eastAsia"/>
                <w:color w:val="000000"/>
                <w:sz w:val="22"/>
              </w:rPr>
              <w:t>4.29%</w:t>
            </w:r>
          </w:p>
        </w:tc>
        <w:tc>
          <w:tcPr>
            <w:tcW w:w="2768" w:type="dxa"/>
            <w:vAlign w:val="center"/>
          </w:tcPr>
          <w:p w14:paraId="28892143" w14:textId="352B7483" w:rsidR="00E76D94" w:rsidRDefault="00E76D94" w:rsidP="00E76D94">
            <w:pPr>
              <w:ind w:firstLineChars="0" w:firstLine="0"/>
            </w:pPr>
            <w:r>
              <w:rPr>
                <w:rFonts w:hint="eastAsia"/>
                <w:color w:val="000000"/>
                <w:sz w:val="22"/>
              </w:rPr>
              <w:t>1.75%</w:t>
            </w:r>
          </w:p>
        </w:tc>
      </w:tr>
      <w:tr w:rsidR="00E76D94" w14:paraId="4F25A41A" w14:textId="77777777" w:rsidTr="00946F8B">
        <w:tc>
          <w:tcPr>
            <w:tcW w:w="2767" w:type="dxa"/>
          </w:tcPr>
          <w:p w14:paraId="032E4DF9" w14:textId="1F938068" w:rsidR="00E76D94" w:rsidRDefault="00E76D94" w:rsidP="00E76D94">
            <w:pPr>
              <w:ind w:firstLineChars="0" w:firstLine="0"/>
            </w:pPr>
            <w:r>
              <w:t>学生操纵技术比率</w:t>
            </w:r>
          </w:p>
        </w:tc>
        <w:tc>
          <w:tcPr>
            <w:tcW w:w="2767" w:type="dxa"/>
            <w:vAlign w:val="center"/>
          </w:tcPr>
          <w:p w14:paraId="2271EF86" w14:textId="0D2299AD" w:rsidR="00E76D94" w:rsidRDefault="00E76D94" w:rsidP="00E76D94">
            <w:pPr>
              <w:ind w:firstLineChars="0" w:firstLine="0"/>
            </w:pPr>
            <w:r>
              <w:rPr>
                <w:rFonts w:hint="eastAsia"/>
                <w:color w:val="000000"/>
                <w:sz w:val="22"/>
              </w:rPr>
              <w:t>3.29%</w:t>
            </w:r>
          </w:p>
        </w:tc>
        <w:tc>
          <w:tcPr>
            <w:tcW w:w="2768" w:type="dxa"/>
            <w:vAlign w:val="center"/>
          </w:tcPr>
          <w:p w14:paraId="07FEA5A7" w14:textId="26F9BBA1" w:rsidR="00E76D94" w:rsidRDefault="00E76D94" w:rsidP="00E76D94">
            <w:pPr>
              <w:ind w:firstLineChars="0" w:firstLine="0"/>
            </w:pPr>
            <w:r>
              <w:rPr>
                <w:rFonts w:hint="eastAsia"/>
                <w:color w:val="000000"/>
                <w:sz w:val="22"/>
              </w:rPr>
              <w:t>9.24%</w:t>
            </w:r>
          </w:p>
        </w:tc>
      </w:tr>
      <w:tr w:rsidR="00E76D94" w14:paraId="3C2A31B6" w14:textId="77777777" w:rsidTr="00946F8B">
        <w:tc>
          <w:tcPr>
            <w:tcW w:w="2767" w:type="dxa"/>
          </w:tcPr>
          <w:p w14:paraId="57457CF3" w14:textId="5419B68A" w:rsidR="00E76D94" w:rsidRDefault="00E76D94" w:rsidP="00E76D94">
            <w:pPr>
              <w:ind w:firstLineChars="0" w:firstLine="0"/>
            </w:pPr>
            <w:r>
              <w:t>技术作用学生比率</w:t>
            </w:r>
          </w:p>
        </w:tc>
        <w:tc>
          <w:tcPr>
            <w:tcW w:w="2767" w:type="dxa"/>
            <w:vAlign w:val="center"/>
          </w:tcPr>
          <w:p w14:paraId="1FD74DDF" w14:textId="34C1712E" w:rsidR="00E76D94" w:rsidRDefault="00E76D94" w:rsidP="00E76D94">
            <w:pPr>
              <w:ind w:firstLineChars="0" w:firstLine="0"/>
            </w:pPr>
            <w:r>
              <w:rPr>
                <w:rFonts w:hint="eastAsia"/>
                <w:color w:val="000000"/>
                <w:sz w:val="22"/>
              </w:rPr>
              <w:t>7.58%</w:t>
            </w:r>
          </w:p>
        </w:tc>
        <w:tc>
          <w:tcPr>
            <w:tcW w:w="2768" w:type="dxa"/>
            <w:vAlign w:val="center"/>
          </w:tcPr>
          <w:p w14:paraId="21D32474" w14:textId="6DB6A783" w:rsidR="00E76D94" w:rsidRDefault="00E76D94" w:rsidP="00E76D94">
            <w:pPr>
              <w:ind w:firstLineChars="0" w:firstLine="0"/>
            </w:pPr>
            <w:r>
              <w:rPr>
                <w:rFonts w:hint="eastAsia"/>
                <w:color w:val="000000"/>
                <w:sz w:val="22"/>
              </w:rPr>
              <w:t>10.98%</w:t>
            </w:r>
          </w:p>
        </w:tc>
      </w:tr>
    </w:tbl>
    <w:p w14:paraId="1376B6D7" w14:textId="7C1FC82D" w:rsidR="00E76D94" w:rsidRDefault="00E76D94" w:rsidP="007B254C">
      <w:pPr>
        <w:ind w:firstLineChars="0" w:firstLine="420"/>
      </w:pPr>
    </w:p>
    <w:p w14:paraId="43C465F1" w14:textId="77777777" w:rsidR="00ED3E4B"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的数据还表明，两类课堂在教师与学生言语比率、沉默或混乱比率以及做练习比率与学生操纵技术比率等方面存在差异。结合课堂观察的实际情况，我们认为上述差异的产生与课堂环境技术的支持有关。</w:t>
      </w:r>
      <w:r w:rsidRPr="00ED3E4B">
        <w:rPr>
          <w:rFonts w:hint="eastAsia"/>
        </w:rPr>
        <w:t>1:1</w:t>
      </w:r>
      <w:r w:rsidRPr="00ED3E4B">
        <w:rPr>
          <w:rFonts w:hint="eastAsia"/>
        </w:rPr>
        <w:t>数字化课堂为教学互动行为带来如下变化。</w:t>
      </w:r>
    </w:p>
    <w:p w14:paraId="78DE4661" w14:textId="1A4BB541" w:rsidR="00ED3E4B" w:rsidRDefault="0051678F" w:rsidP="007B254C">
      <w:pPr>
        <w:ind w:firstLineChars="0" w:firstLine="420"/>
      </w:pPr>
      <w:r>
        <w:rPr>
          <w:rFonts w:hint="eastAsia"/>
        </w:rPr>
        <w:t>1</w:t>
      </w:r>
      <w:r>
        <w:t>.</w:t>
      </w:r>
      <w:r w:rsidR="00ED3E4B" w:rsidRPr="00ED3E4B">
        <w:rPr>
          <w:rFonts w:hint="eastAsia"/>
        </w:rPr>
        <w:t>及时反馈能增强人与人互动的针对性。</w:t>
      </w:r>
      <w:r w:rsidR="00ED3E4B" w:rsidRPr="00ED3E4B">
        <w:rPr>
          <w:rFonts w:hint="eastAsia"/>
        </w:rPr>
        <w:t>1:1</w:t>
      </w:r>
      <w:r w:rsidR="00ED3E4B" w:rsidRPr="00ED3E4B">
        <w:rPr>
          <w:rFonts w:hint="eastAsia"/>
        </w:rPr>
        <w:t>数字化课堂中教师言语与学生言语比率之和（</w:t>
      </w:r>
      <w:r w:rsidR="00ED3E4B" w:rsidRPr="00ED3E4B">
        <w:rPr>
          <w:rFonts w:hint="eastAsia"/>
        </w:rPr>
        <w:t>40.12%</w:t>
      </w:r>
      <w:r w:rsidR="00ED3E4B" w:rsidRPr="00ED3E4B">
        <w:rPr>
          <w:rFonts w:hint="eastAsia"/>
        </w:rPr>
        <w:t>）低于多媒体教室中教师言语与学生言语比率之和（</w:t>
      </w:r>
      <w:r w:rsidR="00ED3E4B" w:rsidRPr="00ED3E4B">
        <w:rPr>
          <w:rFonts w:hint="eastAsia"/>
        </w:rPr>
        <w:t>47.51%</w:t>
      </w:r>
      <w:r w:rsidR="00ED3E4B" w:rsidRPr="00ED3E4B">
        <w:rPr>
          <w:rFonts w:hint="eastAsia"/>
        </w:rPr>
        <w:t>）。传统课堂或多媒体教室中的反馈一般是通过言语行为实现的，教师主要是根据表面现象与主观经验判断学生的知识掌握情况，无法了解是否发生了有意义的教学互动行为，导致教师只能凭经验授课，缺少学生认知情况的掌握与分析，势必造成较多时间的交流与讨论，使多媒体教室中教师和学生的言语比率相对较高。</w:t>
      </w:r>
      <w:r w:rsidR="00ED3E4B" w:rsidRPr="00ED3E4B">
        <w:rPr>
          <w:rFonts w:hint="eastAsia"/>
        </w:rPr>
        <w:t>1:1</w:t>
      </w:r>
      <w:r w:rsidR="00ED3E4B" w:rsidRPr="00ED3E4B">
        <w:rPr>
          <w:rFonts w:hint="eastAsia"/>
        </w:rPr>
        <w:t>数字化课堂中教师可以通过智慧教学支持系统及时收集学生练习情况，对学情进行分析，然而在</w:t>
      </w:r>
      <w:r w:rsidR="00ED3E4B" w:rsidRPr="00ED3E4B">
        <w:rPr>
          <w:rFonts w:hint="eastAsia"/>
        </w:rPr>
        <w:t>ITIAS</w:t>
      </w:r>
      <w:r w:rsidR="00ED3E4B" w:rsidRPr="00ED3E4B">
        <w:rPr>
          <w:rFonts w:hint="eastAsia"/>
        </w:rPr>
        <w:t>编码系统中，这类行为无法区分。</w:t>
      </w:r>
    </w:p>
    <w:p w14:paraId="4C4EAFCB" w14:textId="56FCDBEE" w:rsidR="00ED3E4B" w:rsidRDefault="0051678F" w:rsidP="007B254C">
      <w:pPr>
        <w:ind w:firstLineChars="0" w:firstLine="420"/>
      </w:pPr>
      <w:r>
        <w:rPr>
          <w:rFonts w:hint="eastAsia"/>
        </w:rPr>
        <w:t>2</w:t>
      </w:r>
      <w:r>
        <w:t>.</w:t>
      </w:r>
      <w:r w:rsidR="00ED3E4B" w:rsidRPr="00ED3E4B">
        <w:rPr>
          <w:rFonts w:hint="eastAsia"/>
        </w:rPr>
        <w:t>可视化互动技术能缩短课堂沉默或混乱的时间。</w:t>
      </w:r>
      <w:r w:rsidR="00ED3E4B" w:rsidRPr="00ED3E4B">
        <w:rPr>
          <w:rFonts w:hint="eastAsia"/>
        </w:rPr>
        <w:t>1:1</w:t>
      </w:r>
      <w:r w:rsidR="00ED3E4B" w:rsidRPr="00ED3E4B">
        <w:rPr>
          <w:rFonts w:hint="eastAsia"/>
        </w:rPr>
        <w:t>数字化课堂中沉默或混乱的比率（</w:t>
      </w:r>
      <w:r w:rsidR="00ED3E4B" w:rsidRPr="00ED3E4B">
        <w:rPr>
          <w:rFonts w:hint="eastAsia"/>
        </w:rPr>
        <w:t>3.86%</w:t>
      </w:r>
      <w:r w:rsidR="00ED3E4B" w:rsidRPr="00ED3E4B">
        <w:rPr>
          <w:rFonts w:hint="eastAsia"/>
        </w:rPr>
        <w:t>）低于多媒体教室中沉默或混乱的比率（</w:t>
      </w:r>
      <w:r w:rsidR="00ED3E4B" w:rsidRPr="00ED3E4B">
        <w:rPr>
          <w:rFonts w:hint="eastAsia"/>
        </w:rPr>
        <w:t>5.75%</w:t>
      </w:r>
      <w:r w:rsidR="00ED3E4B" w:rsidRPr="00ED3E4B">
        <w:rPr>
          <w:rFonts w:hint="eastAsia"/>
        </w:rPr>
        <w:t>）。在</w:t>
      </w:r>
      <w:r w:rsidR="00ED3E4B" w:rsidRPr="00ED3E4B">
        <w:rPr>
          <w:rFonts w:hint="eastAsia"/>
        </w:rPr>
        <w:t>1:1</w:t>
      </w:r>
      <w:r w:rsidR="00ED3E4B" w:rsidRPr="00ED3E4B">
        <w:rPr>
          <w:rFonts w:hint="eastAsia"/>
        </w:rPr>
        <w:t>数字化课堂中，教师通过可视化互动技术确保每位学生的作品都能有效率和有效果地展示，这节省了教师“设备、软件工具切换”的时间，避免了课堂教学中不必要的“沉默或混乱”。然而，基于可视化互动技术进行作品分享与展示，设备、软件工具切换等教师操作技术的行为在</w:t>
      </w:r>
      <w:r w:rsidR="00ED3E4B" w:rsidRPr="00ED3E4B">
        <w:rPr>
          <w:rFonts w:hint="eastAsia"/>
        </w:rPr>
        <w:t>ITIAS</w:t>
      </w:r>
      <w:r w:rsidR="00ED3E4B" w:rsidRPr="00ED3E4B">
        <w:rPr>
          <w:rFonts w:hint="eastAsia"/>
        </w:rPr>
        <w:t>中无法区分。</w:t>
      </w:r>
    </w:p>
    <w:p w14:paraId="7418AFA7" w14:textId="3E46384C" w:rsidR="00590433" w:rsidRDefault="0051678F" w:rsidP="007B254C">
      <w:pPr>
        <w:ind w:firstLineChars="0" w:firstLine="420"/>
      </w:pPr>
      <w:r>
        <w:rPr>
          <w:rFonts w:hint="eastAsia"/>
        </w:rPr>
        <w:t>3.</w:t>
      </w:r>
      <w:r w:rsidR="00ED3E4B" w:rsidRPr="00ED3E4B">
        <w:rPr>
          <w:rFonts w:hint="eastAsia"/>
        </w:rPr>
        <w:t>1:1</w:t>
      </w:r>
      <w:r w:rsidR="00ED3E4B" w:rsidRPr="00ED3E4B">
        <w:rPr>
          <w:rFonts w:hint="eastAsia"/>
        </w:rPr>
        <w:t>技术能创设自主学习环境。在</w:t>
      </w:r>
      <w:r w:rsidR="00ED3E4B" w:rsidRPr="00ED3E4B">
        <w:rPr>
          <w:rFonts w:hint="eastAsia"/>
        </w:rPr>
        <w:t>1:1</w:t>
      </w:r>
      <w:r w:rsidR="00ED3E4B" w:rsidRPr="00ED3E4B">
        <w:rPr>
          <w:rFonts w:hint="eastAsia"/>
        </w:rPr>
        <w:t>数字化课堂中，学生基于学习终端进行自主练习、实践创作或成果展示。但在改进前的编码里，这些丰富的学生与技术互动的行为都简单地归为“学生操作技术”，技术在学生学习中的应用层次难以表现出来。综上所述，</w:t>
      </w:r>
      <w:r w:rsidR="00ED3E4B" w:rsidRPr="00ED3E4B">
        <w:rPr>
          <w:rFonts w:hint="eastAsia"/>
        </w:rPr>
        <w:t>ITIAS</w:t>
      </w:r>
      <w:r w:rsidR="00ED3E4B" w:rsidRPr="00ED3E4B">
        <w:rPr>
          <w:rFonts w:hint="eastAsia"/>
        </w:rPr>
        <w:t>无法把这节课的丰富内涵，尤其是无法将</w:t>
      </w:r>
      <w:r w:rsidR="00ED3E4B" w:rsidRPr="00ED3E4B">
        <w:rPr>
          <w:rFonts w:hint="eastAsia"/>
        </w:rPr>
        <w:t>1:1</w:t>
      </w:r>
      <w:r w:rsidR="00ED3E4B" w:rsidRPr="00ED3E4B">
        <w:rPr>
          <w:rFonts w:hint="eastAsia"/>
        </w:rPr>
        <w:t>数字化课堂中人与技术互动的丰富内涵真实反映出来。</w:t>
      </w:r>
    </w:p>
    <w:p w14:paraId="52C1F9C8" w14:textId="33647958" w:rsidR="00590433" w:rsidRDefault="00590433" w:rsidP="007B254C">
      <w:pPr>
        <w:pStyle w:val="a5"/>
        <w:numPr>
          <w:ilvl w:val="0"/>
          <w:numId w:val="39"/>
        </w:numPr>
        <w:ind w:firstLineChars="0"/>
        <w:outlineLvl w:val="1"/>
        <w:rPr>
          <w:b/>
        </w:rPr>
      </w:pPr>
      <w:bookmarkStart w:id="41"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1"/>
    </w:p>
    <w:p w14:paraId="683857E3" w14:textId="1202590A" w:rsidR="007B254C" w:rsidRDefault="00ED3E4B" w:rsidP="00ED3E4B">
      <w:pPr>
        <w:ind w:firstLineChars="0" w:firstLine="420"/>
      </w:pPr>
      <w:r w:rsidRPr="00ED3E4B">
        <w:rPr>
          <w:rFonts w:hint="eastAsia"/>
        </w:rPr>
        <w:lastRenderedPageBreak/>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的时间是对所创作作品的汇报与演示</w:t>
      </w:r>
      <w:r>
        <w:rPr>
          <w:rFonts w:hint="eastAsia"/>
        </w:rPr>
        <w:t>。</w:t>
      </w:r>
    </w:p>
    <w:p w14:paraId="391709A2" w14:textId="613105D6" w:rsidR="007B254C" w:rsidRDefault="006836C5" w:rsidP="006836C5">
      <w:pPr>
        <w:ind w:firstLineChars="0" w:firstLine="420"/>
      </w:pPr>
      <w:r w:rsidRPr="006836C5">
        <w:rPr>
          <w:rFonts w:hint="eastAsia"/>
        </w:rPr>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lastRenderedPageBreak/>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lastRenderedPageBreak/>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lastRenderedPageBreak/>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6"/>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6546AB" w:rsidRDefault="006546AB"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72D21" w14:textId="77777777" w:rsidR="00FE553E" w:rsidRDefault="00FE553E" w:rsidP="003947E7">
      <w:pPr>
        <w:ind w:firstLine="420"/>
      </w:pPr>
      <w:r>
        <w:separator/>
      </w:r>
    </w:p>
  </w:endnote>
  <w:endnote w:type="continuationSeparator" w:id="0">
    <w:p w14:paraId="1E9C3053" w14:textId="77777777" w:rsidR="00FE553E" w:rsidRDefault="00FE553E" w:rsidP="003947E7">
      <w:pPr>
        <w:ind w:firstLine="420"/>
      </w:pPr>
      <w:r>
        <w:continuationSeparator/>
      </w:r>
    </w:p>
  </w:endnote>
  <w:endnote w:id="1">
    <w:p w14:paraId="4F21D614" w14:textId="77777777" w:rsidR="006D2496" w:rsidRPr="00EE230A" w:rsidRDefault="006D2496"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6D2496" w:rsidRPr="00EE230A" w:rsidRDefault="006D2496"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6D2496" w:rsidRPr="0047389F" w:rsidRDefault="006D2496"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6D2496" w:rsidRPr="00B82D4A" w:rsidRDefault="006D2496"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6D2496" w:rsidRPr="00B82D4A" w:rsidRDefault="006D2496"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6D2496" w:rsidRPr="001D7EFD" w:rsidRDefault="006D2496"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6D2496" w:rsidRDefault="006D2496"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6D2496" w:rsidRPr="008B7794" w:rsidRDefault="006D2496"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6D2496" w:rsidRPr="009426BE" w:rsidRDefault="006D2496"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6D2496" w:rsidRDefault="006D2496"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6D2496" w:rsidRPr="003D5C9C" w:rsidRDefault="006D2496"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6D2496" w:rsidRDefault="006D2496"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6D2496" w:rsidRDefault="006D2496"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6D2496" w:rsidRPr="00132486" w:rsidRDefault="006D2496"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6D2496" w:rsidRDefault="006D2496"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6D2496" w:rsidRPr="009B49BF" w:rsidRDefault="006D2496"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6D2496" w:rsidRPr="009B49BF" w:rsidRDefault="006D2496"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6D2496" w:rsidRPr="001D3312" w:rsidRDefault="006D2496"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6D2496" w:rsidRPr="001D3312" w:rsidRDefault="006D2496"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6D2496" w:rsidRDefault="006D2496"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6D2496" w:rsidRPr="008C330F" w:rsidRDefault="006D2496"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6D2496" w:rsidRDefault="006D2496">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6D2496" w:rsidRDefault="006D2496"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6D2496" w:rsidRPr="00CC4783" w:rsidRDefault="006D2496">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6D2496" w:rsidRDefault="006D2496"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6D2496" w:rsidRPr="00547094" w:rsidRDefault="006D2496">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6D2496" w:rsidRDefault="006D2496">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6D2496" w:rsidRDefault="006D2496"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6D2496" w:rsidRDefault="006D2496" w:rsidP="00006267">
        <w:pPr>
          <w:pStyle w:val="a4"/>
          <w:ind w:firstLine="360"/>
          <w:jc w:val="center"/>
        </w:pPr>
        <w:r>
          <w:fldChar w:fldCharType="begin"/>
        </w:r>
        <w:r>
          <w:instrText>PAGE   \* MERGEFORMAT</w:instrText>
        </w:r>
        <w:r>
          <w:fldChar w:fldCharType="separate"/>
        </w:r>
        <w:r w:rsidR="00D250C2" w:rsidRPr="00D250C2">
          <w:rPr>
            <w:noProof/>
            <w:lang w:val="zh-CN"/>
          </w:rPr>
          <w:t>23</w:t>
        </w:r>
        <w:r>
          <w:rPr>
            <w:noProof/>
            <w:lang w:val="zh-CN"/>
          </w:rPr>
          <w:fldChar w:fldCharType="end"/>
        </w:r>
      </w:p>
    </w:sdtContent>
  </w:sdt>
  <w:p w14:paraId="308B7A7B" w14:textId="77777777" w:rsidR="006D2496" w:rsidRDefault="006D2496"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6D2496" w:rsidRDefault="006D2496" w:rsidP="00CA1EFE">
    <w:pPr>
      <w:pStyle w:val="a4"/>
      <w:ind w:firstLineChars="0" w:firstLine="0"/>
    </w:pPr>
  </w:p>
  <w:p w14:paraId="0BAD5019" w14:textId="77777777" w:rsidR="006D2496" w:rsidRDefault="006D2496"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1B13E" w14:textId="77777777" w:rsidR="00FE553E" w:rsidRDefault="00FE553E" w:rsidP="00A83C3B">
      <w:pPr>
        <w:ind w:firstLine="420"/>
      </w:pPr>
      <w:r>
        <w:separator/>
      </w:r>
    </w:p>
  </w:footnote>
  <w:footnote w:type="continuationSeparator" w:id="0">
    <w:p w14:paraId="6AA083E8" w14:textId="77777777" w:rsidR="00FE553E" w:rsidRDefault="00FE553E"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6D2496" w:rsidRDefault="006D2496"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6D2496" w:rsidRPr="00CA1EFE" w:rsidRDefault="006D2496"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6D2496" w:rsidRDefault="006D2496"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6D2496" w:rsidRPr="00CA1EFE" w:rsidRDefault="006D2496"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14"/>
  </w:num>
  <w:num w:numId="4">
    <w:abstractNumId w:val="17"/>
  </w:num>
  <w:num w:numId="5">
    <w:abstractNumId w:val="35"/>
  </w:num>
  <w:num w:numId="6">
    <w:abstractNumId w:val="15"/>
  </w:num>
  <w:num w:numId="7">
    <w:abstractNumId w:val="11"/>
  </w:num>
  <w:num w:numId="8">
    <w:abstractNumId w:val="10"/>
  </w:num>
  <w:num w:numId="9">
    <w:abstractNumId w:val="37"/>
  </w:num>
  <w:num w:numId="10">
    <w:abstractNumId w:val="25"/>
  </w:num>
  <w:num w:numId="11">
    <w:abstractNumId w:val="20"/>
  </w:num>
  <w:num w:numId="12">
    <w:abstractNumId w:val="1"/>
  </w:num>
  <w:num w:numId="13">
    <w:abstractNumId w:val="5"/>
  </w:num>
  <w:num w:numId="14">
    <w:abstractNumId w:val="36"/>
  </w:num>
  <w:num w:numId="15">
    <w:abstractNumId w:val="22"/>
  </w:num>
  <w:num w:numId="16">
    <w:abstractNumId w:val="38"/>
  </w:num>
  <w:num w:numId="17">
    <w:abstractNumId w:val="28"/>
  </w:num>
  <w:num w:numId="18">
    <w:abstractNumId w:val="34"/>
  </w:num>
  <w:num w:numId="19">
    <w:abstractNumId w:val="4"/>
  </w:num>
  <w:num w:numId="20">
    <w:abstractNumId w:val="8"/>
  </w:num>
  <w:num w:numId="21">
    <w:abstractNumId w:val="9"/>
  </w:num>
  <w:num w:numId="22">
    <w:abstractNumId w:val="3"/>
  </w:num>
  <w:num w:numId="23">
    <w:abstractNumId w:val="16"/>
  </w:num>
  <w:num w:numId="24">
    <w:abstractNumId w:val="27"/>
  </w:num>
  <w:num w:numId="25">
    <w:abstractNumId w:val="13"/>
  </w:num>
  <w:num w:numId="26">
    <w:abstractNumId w:val="19"/>
  </w:num>
  <w:num w:numId="27">
    <w:abstractNumId w:val="7"/>
  </w:num>
  <w:num w:numId="28">
    <w:abstractNumId w:val="23"/>
  </w:num>
  <w:num w:numId="29">
    <w:abstractNumId w:val="39"/>
  </w:num>
  <w:num w:numId="30">
    <w:abstractNumId w:val="6"/>
  </w:num>
  <w:num w:numId="31">
    <w:abstractNumId w:val="29"/>
  </w:num>
  <w:num w:numId="32">
    <w:abstractNumId w:val="33"/>
  </w:num>
  <w:num w:numId="33">
    <w:abstractNumId w:val="21"/>
  </w:num>
  <w:num w:numId="34">
    <w:abstractNumId w:val="32"/>
  </w:num>
  <w:num w:numId="35">
    <w:abstractNumId w:val="2"/>
  </w:num>
  <w:num w:numId="36">
    <w:abstractNumId w:val="30"/>
  </w:num>
  <w:num w:numId="37">
    <w:abstractNumId w:val="0"/>
  </w:num>
  <w:num w:numId="38">
    <w:abstractNumId w:val="12"/>
  </w:num>
  <w:num w:numId="39">
    <w:abstractNumId w:val="31"/>
  </w:num>
  <w:num w:numId="4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0471F"/>
    <w:rsid w:val="001138CD"/>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80588"/>
    <w:rsid w:val="002C6E05"/>
    <w:rsid w:val="002E2CF9"/>
    <w:rsid w:val="002E7A23"/>
    <w:rsid w:val="002F4444"/>
    <w:rsid w:val="003046B3"/>
    <w:rsid w:val="0031029F"/>
    <w:rsid w:val="003250F8"/>
    <w:rsid w:val="0036152E"/>
    <w:rsid w:val="00361DA6"/>
    <w:rsid w:val="003643E6"/>
    <w:rsid w:val="003720C8"/>
    <w:rsid w:val="00376C4F"/>
    <w:rsid w:val="003914E9"/>
    <w:rsid w:val="003947E7"/>
    <w:rsid w:val="003A27F8"/>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7094"/>
    <w:rsid w:val="0055681B"/>
    <w:rsid w:val="00572B19"/>
    <w:rsid w:val="00584CCA"/>
    <w:rsid w:val="0058634E"/>
    <w:rsid w:val="00590433"/>
    <w:rsid w:val="00592BD9"/>
    <w:rsid w:val="005B734F"/>
    <w:rsid w:val="005C1DC3"/>
    <w:rsid w:val="005E136E"/>
    <w:rsid w:val="00600CBC"/>
    <w:rsid w:val="00603F35"/>
    <w:rsid w:val="00611E00"/>
    <w:rsid w:val="00617852"/>
    <w:rsid w:val="00617C33"/>
    <w:rsid w:val="006264BD"/>
    <w:rsid w:val="00631F89"/>
    <w:rsid w:val="00633963"/>
    <w:rsid w:val="00634D9A"/>
    <w:rsid w:val="00635D16"/>
    <w:rsid w:val="00641470"/>
    <w:rsid w:val="00641972"/>
    <w:rsid w:val="006535E3"/>
    <w:rsid w:val="006546AB"/>
    <w:rsid w:val="00654799"/>
    <w:rsid w:val="00655517"/>
    <w:rsid w:val="006713EA"/>
    <w:rsid w:val="00673668"/>
    <w:rsid w:val="00674D2F"/>
    <w:rsid w:val="006836C5"/>
    <w:rsid w:val="006922F7"/>
    <w:rsid w:val="006A51EF"/>
    <w:rsid w:val="006A753F"/>
    <w:rsid w:val="006C7DF2"/>
    <w:rsid w:val="006D0FC6"/>
    <w:rsid w:val="006D2496"/>
    <w:rsid w:val="006D2F24"/>
    <w:rsid w:val="006E15EA"/>
    <w:rsid w:val="006E775C"/>
    <w:rsid w:val="006F3713"/>
    <w:rsid w:val="007056C4"/>
    <w:rsid w:val="0071288C"/>
    <w:rsid w:val="0073217A"/>
    <w:rsid w:val="00747E61"/>
    <w:rsid w:val="00774177"/>
    <w:rsid w:val="00781D63"/>
    <w:rsid w:val="00782933"/>
    <w:rsid w:val="007840D0"/>
    <w:rsid w:val="007A3E94"/>
    <w:rsid w:val="007A4FC6"/>
    <w:rsid w:val="007B254C"/>
    <w:rsid w:val="007B7BCD"/>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F8B"/>
    <w:rsid w:val="009622B4"/>
    <w:rsid w:val="009639D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7E89"/>
    <w:rsid w:val="00E24D61"/>
    <w:rsid w:val="00E3046A"/>
    <w:rsid w:val="00E542EC"/>
    <w:rsid w:val="00E57052"/>
    <w:rsid w:val="00E76D94"/>
    <w:rsid w:val="00E846EF"/>
    <w:rsid w:val="00E95B65"/>
    <w:rsid w:val="00EB05F3"/>
    <w:rsid w:val="00EC346D"/>
    <w:rsid w:val="00ED0EA0"/>
    <w:rsid w:val="00ED2477"/>
    <w:rsid w:val="00ED3E4B"/>
    <w:rsid w:val="00EE18C5"/>
    <w:rsid w:val="00EF0122"/>
    <w:rsid w:val="00EF2949"/>
    <w:rsid w:val="00F06EFE"/>
    <w:rsid w:val="00F12C57"/>
    <w:rsid w:val="00F22D01"/>
    <w:rsid w:val="00F31205"/>
    <w:rsid w:val="00F417D9"/>
    <w:rsid w:val="00F41F21"/>
    <w:rsid w:val="00F43FAF"/>
    <w:rsid w:val="00F4605B"/>
    <w:rsid w:val="00F47509"/>
    <w:rsid w:val="00F505D0"/>
    <w:rsid w:val="00F602C6"/>
    <w:rsid w:val="00FA68D0"/>
    <w:rsid w:val="00FB0D97"/>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EF58D-EDA0-4EF1-9CA0-705567BF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30</Pages>
  <Words>3480</Words>
  <Characters>19836</Characters>
  <Application>Microsoft Office Word</Application>
  <DocSecurity>0</DocSecurity>
  <Lines>165</Lines>
  <Paragraphs>46</Paragraphs>
  <ScaleCrop>false</ScaleCrop>
  <Company>Microsoft</Company>
  <LinksUpToDate>false</LinksUpToDate>
  <CharactersWithSpaces>23270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17</cp:revision>
  <dcterms:created xsi:type="dcterms:W3CDTF">2016-04-17T01:41:00Z</dcterms:created>
  <dcterms:modified xsi:type="dcterms:W3CDTF">2016-04-21T07:31:00Z</dcterms:modified>
</cp:coreProperties>
</file>