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2828225"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2828226"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31401D">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31401D">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31401D">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31401D">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31401D">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31401D">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31401D">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31401D">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31401D">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31401D">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31401D">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31401D">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31401D">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31401D">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31401D">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31401D">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31401D">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31401D">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31401D">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31401D">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31401D">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31401D">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31401D">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31401D">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31401D">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31401D">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31401D">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31401D">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31401D">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31401D">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31401D">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31401D">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31401D">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31401D">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31401D">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31401D">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31401D">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31401D">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31401D">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31401D">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31401D">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31401D">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31401D">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31401D">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31401D">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31401D">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31401D">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31401D">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31401D">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31401D">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31401D">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79EBF778" w14:textId="44D00B2A" w:rsidR="00FC3607" w:rsidRDefault="00FC3607" w:rsidP="00547094">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21437A38" w14:textId="77777777" w:rsidR="00FC3607" w:rsidRDefault="00FC3607" w:rsidP="00547094">
      <w:pPr>
        <w:ind w:firstLineChars="0" w:firstLine="0"/>
        <w:jc w:val="center"/>
      </w:pP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w:t>
      </w:r>
      <w:r w:rsidRPr="00F4605B">
        <w:rPr>
          <w:rFonts w:hint="eastAsia"/>
        </w:rPr>
        <w:lastRenderedPageBreak/>
        <w:t>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7"/>
            <w:r>
              <w:rPr>
                <w:rFonts w:ascii="宋体" w:eastAsia="宋体" w:hAnsi="宋体" w:cs="宋体" w:hint="eastAsia"/>
              </w:rPr>
              <w:t>学生使用技术</w:t>
            </w:r>
            <w:commentRangeEnd w:id="37"/>
            <w:r>
              <w:rPr>
                <w:rStyle w:val="aa"/>
              </w:rPr>
              <w:commentReference w:id="37"/>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74B4B89A" w14:textId="77777777" w:rsidR="006546AB" w:rsidRDefault="006546AB" w:rsidP="00D31748">
      <w:pPr>
        <w:ind w:firstLine="420"/>
        <w:jc w:val="left"/>
      </w:pPr>
    </w:p>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w:t>
      </w:r>
      <w:r>
        <w:rPr>
          <w:rFonts w:hint="eastAsia"/>
        </w:rPr>
        <w:lastRenderedPageBreak/>
        <w:t>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1D60BA0A" w14:textId="066D2149" w:rsidR="007B254C" w:rsidRPr="007B254C"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rPr>
          <w:rFonts w:hint="eastAsia"/>
        </w:rPr>
      </w:pPr>
      <w:r>
        <w:rPr>
          <w:rFonts w:hint="eastAsia"/>
        </w:rPr>
        <w:t>学生</w:t>
      </w:r>
      <w:r>
        <w:rPr>
          <w:rFonts w:hint="eastAsia"/>
        </w:rPr>
        <w:t>alpha</w:t>
      </w:r>
      <w:r>
        <w:rPr>
          <w:rFonts w:hint="eastAsia"/>
        </w:rPr>
        <w:t>视角的做练习比率</w:t>
      </w:r>
      <w:r>
        <w:rPr>
          <w:rFonts w:hint="eastAsia"/>
        </w:rPr>
        <w:t>、</w:t>
      </w:r>
      <w:r>
        <w:rPr>
          <w:rFonts w:hint="eastAsia"/>
        </w:rPr>
        <w:t>学生操纵技术比率比旁观者视角的比率要高，</w:t>
      </w:r>
      <w:r>
        <w:rPr>
          <w:rFonts w:hint="eastAsia"/>
        </w:rPr>
        <w:t>由此可推测出</w:t>
      </w:r>
      <w:r>
        <w:rPr>
          <w:rFonts w:hint="eastAsia"/>
        </w:rPr>
        <w:t>学生视角比旁观者视角能够发现更多学生的个体行为。</w:t>
      </w:r>
      <w:r>
        <w:rPr>
          <w:rFonts w:hint="eastAsia"/>
        </w:rPr>
        <w:t>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Pr>
          <w:rFonts w:hint="eastAsia"/>
        </w:rPr>
        <w:lastRenderedPageBreak/>
        <w:t>综上所述，</w:t>
      </w:r>
      <w:r>
        <w:rPr>
          <w:rFonts w:hint="eastAsia"/>
        </w:rPr>
        <w:t>OOT</w:t>
      </w:r>
      <w:r w:rsidRPr="00ED3E4B">
        <w:rPr>
          <w:rFonts w:hint="eastAsia"/>
        </w:rPr>
        <w:t>IAS</w:t>
      </w:r>
      <w:r>
        <w:rPr>
          <w:rFonts w:hint="eastAsia"/>
        </w:rPr>
        <w:t>无法把这节课学生参与课堂的总体情况，尤其是非教学互动</w:t>
      </w:r>
      <w:r w:rsidRPr="00ED3E4B">
        <w:rPr>
          <w:rFonts w:hint="eastAsia"/>
        </w:rPr>
        <w:t>的</w:t>
      </w:r>
      <w:r>
        <w:rPr>
          <w:rFonts w:hint="eastAsia"/>
        </w:rPr>
        <w:t>情况</w:t>
      </w:r>
      <w:r w:rsidRPr="00ED3E4B">
        <w:rPr>
          <w:rFonts w:hint="eastAsia"/>
        </w:rPr>
        <w:t>真实反映出来。</w:t>
      </w:r>
    </w:p>
    <w:p w14:paraId="52C1F9C8" w14:textId="33647958"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0"/>
    </w:p>
    <w:p w14:paraId="683857E3" w14:textId="1202590A" w:rsidR="007B254C" w:rsidRDefault="00ED3E4B" w:rsidP="00ED3E4B">
      <w:pPr>
        <w:ind w:firstLineChars="0" w:firstLine="420"/>
      </w:pPr>
      <w:r w:rsidRPr="00ED3E4B">
        <w:rPr>
          <w:rFonts w:hint="eastAsia"/>
        </w:rPr>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w:t>
      </w:r>
      <w:bookmarkStart w:id="41" w:name="_GoBack"/>
      <w:bookmarkEnd w:id="41"/>
      <w:r w:rsidRPr="00ED3E4B">
        <w:rPr>
          <w:rFonts w:hint="eastAsia"/>
        </w:rPr>
        <w:t>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w:t>
      </w:r>
      <w:r w:rsidRPr="00ED3E4B">
        <w:rPr>
          <w:rFonts w:hint="eastAsia"/>
        </w:rPr>
        <w:lastRenderedPageBreak/>
        <w:t>作品的汇报与演示</w:t>
      </w:r>
      <w:r>
        <w:rPr>
          <w:rFonts w:hint="eastAsia"/>
        </w:rPr>
        <w:t>。</w:t>
      </w:r>
    </w:p>
    <w:p w14:paraId="391709A2" w14:textId="613105D6" w:rsidR="007B254C" w:rsidRDefault="006836C5" w:rsidP="006836C5">
      <w:pPr>
        <w:ind w:firstLineChars="0" w:firstLine="420"/>
      </w:pPr>
      <w:r w:rsidRPr="006836C5">
        <w:rPr>
          <w:rFonts w:hint="eastAsia"/>
        </w:rPr>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lastRenderedPageBreak/>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lastRenderedPageBreak/>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6"/>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李锋" w:date="2016-04-19T21:38:00Z" w:initials="李锋">
    <w:p w14:paraId="2810D037" w14:textId="77777777" w:rsidR="0031401D" w:rsidRDefault="0031401D"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C2966" w14:textId="77777777" w:rsidR="0054558C" w:rsidRDefault="0054558C" w:rsidP="003947E7">
      <w:pPr>
        <w:ind w:firstLine="420"/>
      </w:pPr>
      <w:r>
        <w:separator/>
      </w:r>
    </w:p>
  </w:endnote>
  <w:endnote w:type="continuationSeparator" w:id="0">
    <w:p w14:paraId="21D757D3" w14:textId="77777777" w:rsidR="0054558C" w:rsidRDefault="0054558C" w:rsidP="003947E7">
      <w:pPr>
        <w:ind w:firstLine="420"/>
      </w:pPr>
      <w:r>
        <w:continuationSeparator/>
      </w:r>
    </w:p>
  </w:endnote>
  <w:endnote w:id="1">
    <w:p w14:paraId="4F21D614" w14:textId="77777777" w:rsidR="0031401D" w:rsidRPr="00EE230A" w:rsidRDefault="0031401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31401D" w:rsidRPr="00EE230A" w:rsidRDefault="0031401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31401D" w:rsidRPr="0047389F" w:rsidRDefault="0031401D"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31401D" w:rsidRPr="00B82D4A" w:rsidRDefault="0031401D"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31401D" w:rsidRPr="00B82D4A" w:rsidRDefault="0031401D"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31401D" w:rsidRPr="001D7EFD" w:rsidRDefault="0031401D"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31401D" w:rsidRDefault="0031401D"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31401D" w:rsidRPr="008B7794" w:rsidRDefault="0031401D"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31401D" w:rsidRPr="009426BE" w:rsidRDefault="0031401D"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31401D" w:rsidRDefault="0031401D"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31401D" w:rsidRPr="003D5C9C" w:rsidRDefault="0031401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31401D" w:rsidRDefault="0031401D"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31401D" w:rsidRDefault="0031401D"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31401D" w:rsidRPr="00132486" w:rsidRDefault="0031401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31401D" w:rsidRDefault="0031401D"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31401D" w:rsidRPr="009B49BF" w:rsidRDefault="0031401D"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31401D" w:rsidRPr="009B49BF" w:rsidRDefault="0031401D"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31401D" w:rsidRPr="001D3312" w:rsidRDefault="0031401D"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31401D" w:rsidRPr="001D3312" w:rsidRDefault="0031401D"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31401D" w:rsidRDefault="0031401D"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31401D" w:rsidRPr="008C330F" w:rsidRDefault="0031401D"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31401D" w:rsidRDefault="0031401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31401D" w:rsidRDefault="0031401D"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31401D" w:rsidRPr="00CC4783" w:rsidRDefault="0031401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31401D" w:rsidRDefault="0031401D"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31401D" w:rsidRPr="00547094" w:rsidRDefault="0031401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31401D" w:rsidRDefault="0031401D">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31401D" w:rsidRDefault="0031401D"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31401D" w:rsidRDefault="0031401D" w:rsidP="00006267">
        <w:pPr>
          <w:pStyle w:val="a4"/>
          <w:ind w:firstLine="360"/>
          <w:jc w:val="center"/>
        </w:pPr>
        <w:r>
          <w:fldChar w:fldCharType="begin"/>
        </w:r>
        <w:r>
          <w:instrText>PAGE   \* MERGEFORMAT</w:instrText>
        </w:r>
        <w:r>
          <w:fldChar w:fldCharType="separate"/>
        </w:r>
        <w:r w:rsidR="00712C03" w:rsidRPr="00712C03">
          <w:rPr>
            <w:noProof/>
            <w:lang w:val="zh-CN"/>
          </w:rPr>
          <w:t>24</w:t>
        </w:r>
        <w:r>
          <w:rPr>
            <w:noProof/>
            <w:lang w:val="zh-CN"/>
          </w:rPr>
          <w:fldChar w:fldCharType="end"/>
        </w:r>
      </w:p>
    </w:sdtContent>
  </w:sdt>
  <w:p w14:paraId="308B7A7B" w14:textId="77777777" w:rsidR="0031401D" w:rsidRDefault="0031401D"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31401D" w:rsidRDefault="0031401D" w:rsidP="00CA1EFE">
    <w:pPr>
      <w:pStyle w:val="a4"/>
      <w:ind w:firstLineChars="0" w:firstLine="0"/>
    </w:pPr>
  </w:p>
  <w:p w14:paraId="0BAD5019" w14:textId="77777777" w:rsidR="0031401D" w:rsidRDefault="0031401D"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33263" w14:textId="77777777" w:rsidR="0054558C" w:rsidRDefault="0054558C" w:rsidP="00A83C3B">
      <w:pPr>
        <w:ind w:firstLine="420"/>
      </w:pPr>
      <w:r>
        <w:separator/>
      </w:r>
    </w:p>
  </w:footnote>
  <w:footnote w:type="continuationSeparator" w:id="0">
    <w:p w14:paraId="41F59D5C" w14:textId="77777777" w:rsidR="0054558C" w:rsidRDefault="0054558C"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31401D" w:rsidRDefault="0031401D"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31401D" w:rsidRPr="00CA1EFE" w:rsidRDefault="0031401D"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31401D" w:rsidRDefault="0031401D"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31401D" w:rsidRPr="00CA1EFE" w:rsidRDefault="0031401D"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0471F"/>
    <w:rsid w:val="001138CD"/>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80588"/>
    <w:rsid w:val="002C6E05"/>
    <w:rsid w:val="002E2CF9"/>
    <w:rsid w:val="002E7A23"/>
    <w:rsid w:val="002F4444"/>
    <w:rsid w:val="003046B3"/>
    <w:rsid w:val="0031029F"/>
    <w:rsid w:val="00313255"/>
    <w:rsid w:val="0031401D"/>
    <w:rsid w:val="003250F8"/>
    <w:rsid w:val="0036152E"/>
    <w:rsid w:val="00361DA6"/>
    <w:rsid w:val="003643E6"/>
    <w:rsid w:val="003720C8"/>
    <w:rsid w:val="0037220C"/>
    <w:rsid w:val="00376C4F"/>
    <w:rsid w:val="003914E9"/>
    <w:rsid w:val="003947E7"/>
    <w:rsid w:val="003A27F8"/>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558C"/>
    <w:rsid w:val="00547094"/>
    <w:rsid w:val="0055681B"/>
    <w:rsid w:val="00572B19"/>
    <w:rsid w:val="00584CCA"/>
    <w:rsid w:val="0058634E"/>
    <w:rsid w:val="00590433"/>
    <w:rsid w:val="00592BD9"/>
    <w:rsid w:val="005B734F"/>
    <w:rsid w:val="005C1DC3"/>
    <w:rsid w:val="005E136E"/>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31748"/>
    <w:rsid w:val="00D3279F"/>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2D31"/>
    <w:rsid w:val="00E17E89"/>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F0122"/>
    <w:rsid w:val="00EF2949"/>
    <w:rsid w:val="00EF3CA3"/>
    <w:rsid w:val="00F06EFE"/>
    <w:rsid w:val="00F12C57"/>
    <w:rsid w:val="00F22D01"/>
    <w:rsid w:val="00F31205"/>
    <w:rsid w:val="00F417D9"/>
    <w:rsid w:val="00F41F21"/>
    <w:rsid w:val="00F43FAF"/>
    <w:rsid w:val="00F4605B"/>
    <w:rsid w:val="00F47509"/>
    <w:rsid w:val="00F505D0"/>
    <w:rsid w:val="00F602C6"/>
    <w:rsid w:val="00FA68D0"/>
    <w:rsid w:val="00FB0D97"/>
    <w:rsid w:val="00FC3607"/>
    <w:rsid w:val="00FD117B"/>
    <w:rsid w:val="00FE01CD"/>
    <w:rsid w:val="00FE51A7"/>
    <w:rsid w:val="00FE553E"/>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91095-345A-4409-A5D6-A4A665B4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30</Pages>
  <Words>3471</Words>
  <Characters>19787</Characters>
  <Application>Microsoft Office Word</Application>
  <DocSecurity>0</DocSecurity>
  <Lines>164</Lines>
  <Paragraphs>46</Paragraphs>
  <ScaleCrop>false</ScaleCrop>
  <Company>Microsoft</Company>
  <LinksUpToDate>false</LinksUpToDate>
  <CharactersWithSpaces>23212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23</cp:revision>
  <dcterms:created xsi:type="dcterms:W3CDTF">2016-04-17T01:41:00Z</dcterms:created>
  <dcterms:modified xsi:type="dcterms:W3CDTF">2016-04-22T02:04:00Z</dcterms:modified>
</cp:coreProperties>
</file>