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57.15pt" o:ole="">
            <v:imagedata r:id="rId8" o:title=""/>
          </v:shape>
          <o:OLEObject Type="Embed" ProgID="PBrush" ShapeID="_x0000_i1025" DrawAspect="Content" ObjectID="_1522999039" r:id="rId9"/>
        </w:object>
      </w:r>
      <w:r>
        <w:object w:dxaOrig="11672" w:dyaOrig="3030" w14:anchorId="73C86BFF">
          <v:shape id="_x0000_i1026" type="#_x0000_t75" style="width:3in;height:57.9pt" o:ole="" filled="t" fillcolor="black">
            <v:imagedata r:id="rId10" o:title=""/>
          </v:shape>
          <o:OLEObject Type="Embed" ProgID="PBrush" ShapeID="_x0000_i1026" DrawAspect="Content" ObjectID="_1522999040"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411074">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411074">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411074">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411074">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411074">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411074">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411074">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411074">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411074">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411074">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411074">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411074">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411074">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411074">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411074">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411074">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411074">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411074">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411074">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411074">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411074">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411074">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411074">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411074">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411074">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411074">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411074">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411074">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411074">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411074">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411074">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411074">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411074">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411074">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411074">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411074">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411074">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411074">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411074">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411074">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411074">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411074">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411074">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411074">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411074">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411074">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411074">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411074">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411074">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411074">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411074">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w:t>
      </w:r>
      <w:r w:rsidRPr="00050E24">
        <w:rPr>
          <w:rFonts w:ascii="Times New Roman" w:eastAsia="宋体" w:hAnsi="Times New Roman" w:cs="Times New Roman" w:hint="eastAsia"/>
        </w:rPr>
        <w:lastRenderedPageBreak/>
        <w:t>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w:t>
      </w:r>
      <w:r w:rsidRPr="00872F8F">
        <w:rPr>
          <w:rFonts w:ascii="Times New Roman" w:hAnsi="Times New Roman" w:hint="eastAsia"/>
        </w:rPr>
        <w:lastRenderedPageBreak/>
        <w:t>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lastRenderedPageBreak/>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w:t>
      </w:r>
      <w:r w:rsidRPr="00816484">
        <w:rPr>
          <w:rFonts w:ascii="Times New Roman" w:hAnsi="Times New Roman" w:hint="eastAsia"/>
          <w:strike/>
        </w:rPr>
        <w:lastRenderedPageBreak/>
        <w:t>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w:t>
      </w:r>
      <w:r w:rsidRPr="00AE5C2C">
        <w:rPr>
          <w:rFonts w:ascii="Times New Roman" w:hAnsi="Times New Roman" w:hint="eastAsia"/>
        </w:rPr>
        <w:lastRenderedPageBreak/>
        <w:t>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525B8C73"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w:t>
      </w:r>
      <w:r w:rsidRPr="00F4605B">
        <w:rPr>
          <w:rFonts w:hint="eastAsia"/>
        </w:rPr>
        <w:lastRenderedPageBreak/>
        <w:t>比较满意时，他们的学习感受、学习动机以及学习</w:t>
      </w:r>
      <w:bookmarkStart w:id="37" w:name="_GoBack"/>
      <w:bookmarkEnd w:id="37"/>
      <w:r w:rsidRPr="00F4605B">
        <w:rPr>
          <w:rFonts w:hint="eastAsia"/>
        </w:rPr>
        <w:t>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Pr="00FF2470">
        <w:rPr>
          <w:rFonts w:hint="eastAsia"/>
        </w:rPr>
        <w:t>1</w:t>
      </w:r>
      <w:r w:rsidRPr="00FF2470">
        <w:rPr>
          <w:rFonts w:hint="eastAsia"/>
        </w:rPr>
        <w:t>基础上通过问卷调查或访谈等方式收集学生与教师的主观感受等信息，如图</w:t>
      </w:r>
      <w:r w:rsidRPr="00FF2470">
        <w:rPr>
          <w:rFonts w:hint="eastAsia"/>
        </w:rPr>
        <w:t>3</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commentRangeStart w:id="38"/>
            <w:r>
              <w:rPr>
                <w:rFonts w:ascii="宋体" w:eastAsia="宋体" w:hAnsi="宋体" w:cs="宋体" w:hint="eastAsia"/>
              </w:rPr>
              <w:t>学生使用技术</w:t>
            </w:r>
            <w:commentRangeEnd w:id="38"/>
            <w:r>
              <w:rPr>
                <w:rStyle w:val="aa"/>
              </w:rPr>
              <w:commentReference w:id="38"/>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2311400"/>
                    </a:xfrm>
                    <a:prstGeom prst="rect">
                      <a:avLst/>
                    </a:prstGeom>
                  </pic:spPr>
                </pic:pic>
              </a:graphicData>
            </a:graphic>
          </wp:inline>
        </w:drawing>
      </w:r>
    </w:p>
    <w:p w14:paraId="6B35AC31" w14:textId="1EF828D7" w:rsidR="007D70DC" w:rsidRDefault="007D70DC" w:rsidP="007D70DC">
      <w:pPr>
        <w:ind w:firstLineChars="0" w:firstLine="0"/>
        <w:jc w:val="center"/>
        <w:rPr>
          <w:rFonts w:hint="eastAsia"/>
        </w:rPr>
      </w:pPr>
      <w:r>
        <w:rPr>
          <w:rFonts w:hint="eastAsia"/>
        </w:rPr>
        <w:t>图</w:t>
      </w:r>
      <w:r>
        <w:rPr>
          <w:rFonts w:hint="eastAsia"/>
        </w:rPr>
        <w:t>3</w:t>
      </w:r>
      <w:r>
        <w:t xml:space="preserve"> </w:t>
      </w:r>
      <w:r w:rsidRPr="007D70DC">
        <w:rPr>
          <w:rFonts w:hint="eastAsia"/>
        </w:rPr>
        <w:t>学生视角的数字化环境下课堂教学互动行为质性分析框架</w:t>
      </w:r>
    </w:p>
    <w:p w14:paraId="4EAA4566" w14:textId="2E66F9F3" w:rsidR="00F4605B" w:rsidRDefault="00590433" w:rsidP="00590433">
      <w:pPr>
        <w:pStyle w:val="1"/>
        <w:numPr>
          <w:ilvl w:val="0"/>
          <w:numId w:val="40"/>
        </w:numPr>
        <w:ind w:firstLineChars="0"/>
      </w:pPr>
      <w:bookmarkStart w:id="39" w:name="_Toc448734088"/>
      <w:r w:rsidRPr="00590433">
        <w:rPr>
          <w:rFonts w:hint="eastAsia"/>
        </w:rPr>
        <w:t>应用案例验证与分析</w:t>
      </w:r>
      <w:bookmarkEnd w:id="39"/>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lastRenderedPageBreak/>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40"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40"/>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w:t>
      </w:r>
      <w:r w:rsidRPr="004800D7">
        <w:rPr>
          <w:rFonts w:hint="eastAsia"/>
          <w:highlight w:val="yellow"/>
        </w:rPr>
        <w:lastRenderedPageBreak/>
        <w:t>真实反映出来。</w:t>
      </w:r>
    </w:p>
    <w:p w14:paraId="52C1F9C8" w14:textId="12C4334A" w:rsidR="00590433" w:rsidRDefault="00590433" w:rsidP="007B254C">
      <w:pPr>
        <w:pStyle w:val="a5"/>
        <w:numPr>
          <w:ilvl w:val="0"/>
          <w:numId w:val="39"/>
        </w:numPr>
        <w:ind w:firstLineChars="0"/>
        <w:outlineLvl w:val="1"/>
        <w:rPr>
          <w:b/>
        </w:rPr>
      </w:pPr>
      <w:bookmarkStart w:id="41"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1"/>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098A4D3" w14:textId="4B60C758" w:rsidR="00D262D5" w:rsidRDefault="00D262D5" w:rsidP="00ED3E4B">
      <w:pPr>
        <w:ind w:firstLineChars="0" w:firstLine="420"/>
      </w:pPr>
      <w:r>
        <w:t>从学生个体的角度分析</w:t>
      </w:r>
      <w:r>
        <w:rPr>
          <w:rFonts w:hint="eastAsia"/>
        </w:rPr>
        <w:t>，</w:t>
      </w:r>
      <w:r w:rsidR="00FB2C51">
        <w:rPr>
          <w:rFonts w:hint="eastAsia"/>
        </w:rPr>
        <w:t>SPOOTIAS</w:t>
      </w:r>
      <w:r w:rsidR="00FB2C51">
        <w:rPr>
          <w:rFonts w:hint="eastAsia"/>
        </w:rPr>
        <w:t>编码体系对学生</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w:t>
      </w:r>
      <w:r w:rsidRPr="006836C5">
        <w:rPr>
          <w:rFonts w:hint="eastAsia"/>
        </w:rPr>
        <w:lastRenderedPageBreak/>
        <w:t>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2" w:name="_Toc448734091"/>
      <w:r w:rsidRPr="006836C5">
        <w:rPr>
          <w:rFonts w:hint="eastAsia"/>
          <w:b/>
        </w:rPr>
        <w:t>参与观察与课后访谈</w:t>
      </w:r>
      <w:bookmarkEnd w:id="42"/>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3" w:name="_Toc448734092"/>
      <w:r>
        <w:rPr>
          <w:rFonts w:hint="eastAsia"/>
        </w:rPr>
        <w:t>结论</w:t>
      </w:r>
      <w:bookmarkEnd w:id="43"/>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4"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4"/>
    </w:p>
    <w:p w14:paraId="71191A48" w14:textId="0AA242D9" w:rsidR="008106D8" w:rsidRPr="00451C7D" w:rsidRDefault="00B70F16" w:rsidP="000B58A8">
      <w:pPr>
        <w:spacing w:before="120" w:after="120"/>
        <w:ind w:left="425" w:firstLineChars="0" w:firstLine="0"/>
        <w:outlineLvl w:val="1"/>
        <w:rPr>
          <w:b/>
          <w:sz w:val="24"/>
          <w:szCs w:val="24"/>
        </w:rPr>
      </w:pPr>
      <w:bookmarkStart w:id="45"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5"/>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6"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6"/>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7"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7"/>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8" w:name="_Toc448734097"/>
      <w:r>
        <w:rPr>
          <w:rFonts w:hint="eastAsia"/>
          <w:b/>
          <w:sz w:val="24"/>
          <w:szCs w:val="24"/>
        </w:rPr>
        <w:t>定性观察的实现</w:t>
      </w:r>
      <w:bookmarkEnd w:id="48"/>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49" w:name="_Toc448734098"/>
      <w:r>
        <w:rPr>
          <w:b/>
          <w:sz w:val="24"/>
          <w:szCs w:val="24"/>
        </w:rPr>
        <w:t>定量观察的实现</w:t>
      </w:r>
      <w:bookmarkEnd w:id="49"/>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0" w:name="_Toc448734099"/>
      <w:r>
        <w:rPr>
          <w:b/>
          <w:sz w:val="24"/>
          <w:szCs w:val="24"/>
        </w:rPr>
        <w:t>对视频分析的流程</w:t>
      </w:r>
      <w:bookmarkEnd w:id="50"/>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1" w:name="_Toc448734100"/>
      <w:r>
        <w:rPr>
          <w:rFonts w:asciiTheme="minorEastAsia" w:hAnsiTheme="minorEastAsia" w:hint="eastAsia"/>
          <w:b/>
          <w:sz w:val="24"/>
          <w:szCs w:val="24"/>
        </w:rPr>
        <w:lastRenderedPageBreak/>
        <w:t>1.</w:t>
      </w:r>
      <w:r w:rsidR="00EC346D" w:rsidRPr="002C6E05">
        <w:rPr>
          <w:rFonts w:asciiTheme="minorEastAsia" w:hAnsiTheme="minorEastAsia" w:hint="eastAsia"/>
          <w:b/>
          <w:sz w:val="24"/>
          <w:szCs w:val="24"/>
        </w:rPr>
        <w:t>课程内</w:t>
      </w:r>
      <w:bookmarkEnd w:id="51"/>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2"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2"/>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3" w:name="_Toc448734102"/>
      <w:r w:rsidRPr="004368BB">
        <w:rPr>
          <w:rFonts w:hint="eastAsia"/>
          <w:b/>
          <w:sz w:val="24"/>
          <w:szCs w:val="24"/>
        </w:rPr>
        <w:t>个案简介</w:t>
      </w:r>
      <w:bookmarkEnd w:id="53"/>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4" w:name="_Toc448734103"/>
      <w:r w:rsidRPr="004368BB">
        <w:rPr>
          <w:rFonts w:hint="eastAsia"/>
          <w:b/>
          <w:sz w:val="24"/>
          <w:szCs w:val="24"/>
        </w:rPr>
        <w:t>研究方案分析</w:t>
      </w:r>
      <w:bookmarkEnd w:id="54"/>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5" w:name="_Toc448734104"/>
      <w:r w:rsidRPr="00CC229A">
        <w:rPr>
          <w:rFonts w:asciiTheme="minorEastAsia" w:hAnsiTheme="minorEastAsia"/>
          <w:b/>
          <w:sz w:val="24"/>
          <w:szCs w:val="24"/>
        </w:rPr>
        <w:t>对学生视角的课堂学习视频进行分析</w:t>
      </w:r>
      <w:bookmarkEnd w:id="55"/>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lastRenderedPageBreak/>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6" w:name="_Toc448734105"/>
      <w:r w:rsidRPr="00CC229A">
        <w:rPr>
          <w:rFonts w:asciiTheme="minorEastAsia" w:hAnsiTheme="minorEastAsia"/>
          <w:b/>
          <w:sz w:val="24"/>
          <w:szCs w:val="24"/>
        </w:rPr>
        <w:t>学生学习效果评价表并进行分析</w:t>
      </w:r>
      <w:bookmarkEnd w:id="56"/>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7" w:name="_Toc448734106"/>
      <w:r w:rsidRPr="00CC229A">
        <w:rPr>
          <w:rFonts w:asciiTheme="minorEastAsia" w:hAnsiTheme="minorEastAsia"/>
          <w:b/>
          <w:sz w:val="24"/>
          <w:szCs w:val="24"/>
        </w:rPr>
        <w:t>统计学生访谈稿并进行分析</w:t>
      </w:r>
      <w:bookmarkEnd w:id="57"/>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7"/>
      <w:r w:rsidRPr="00CC229A">
        <w:rPr>
          <w:rFonts w:asciiTheme="minorEastAsia" w:hAnsiTheme="minorEastAsia"/>
          <w:b/>
          <w:sz w:val="24"/>
          <w:szCs w:val="24"/>
        </w:rPr>
        <w:t>统计教师访谈稿并进行分析</w:t>
      </w:r>
      <w:bookmarkEnd w:id="58"/>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59" w:name="_Toc448734108"/>
      <w:r w:rsidRPr="004368BB">
        <w:rPr>
          <w:rFonts w:hint="eastAsia"/>
          <w:b/>
          <w:sz w:val="24"/>
          <w:szCs w:val="24"/>
        </w:rPr>
        <w:t>实施过程及数据分析</w:t>
      </w:r>
      <w:bookmarkEnd w:id="59"/>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0" w:name="_Toc448734109"/>
      <w:r w:rsidRPr="004368BB">
        <w:rPr>
          <w:rFonts w:hint="eastAsia"/>
          <w:b/>
          <w:sz w:val="24"/>
          <w:szCs w:val="24"/>
        </w:rPr>
        <w:t>反馈评价</w:t>
      </w:r>
      <w:bookmarkEnd w:id="60"/>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1" w:name="_Toc448734110"/>
      <w:r w:rsidRPr="004368BB">
        <w:rPr>
          <w:rFonts w:hint="eastAsia"/>
          <w:b/>
          <w:sz w:val="24"/>
          <w:szCs w:val="24"/>
        </w:rPr>
        <w:t>利弊小结</w:t>
      </w:r>
      <w:bookmarkEnd w:id="61"/>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2"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2"/>
    </w:p>
    <w:p w14:paraId="33701B0A" w14:textId="77777777" w:rsidR="009639D4" w:rsidRDefault="009639D4" w:rsidP="009639D4">
      <w:pPr>
        <w:spacing w:before="120" w:after="120"/>
        <w:ind w:left="425" w:firstLineChars="0" w:firstLine="0"/>
        <w:outlineLvl w:val="1"/>
        <w:rPr>
          <w:b/>
          <w:sz w:val="24"/>
          <w:szCs w:val="24"/>
        </w:rPr>
      </w:pPr>
      <w:bookmarkStart w:id="63" w:name="_Toc448734112"/>
      <w:r w:rsidRPr="00451C7D">
        <w:rPr>
          <w:rFonts w:hint="eastAsia"/>
          <w:b/>
          <w:sz w:val="24"/>
          <w:szCs w:val="24"/>
        </w:rPr>
        <w:t>（一）总结与反思</w:t>
      </w:r>
      <w:bookmarkEnd w:id="63"/>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4"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4"/>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5"/>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6" w:name="_Toc448734115"/>
      <w:r w:rsidRPr="00451C7D">
        <w:rPr>
          <w:rFonts w:hint="eastAsia"/>
          <w:b/>
          <w:sz w:val="24"/>
          <w:szCs w:val="24"/>
        </w:rPr>
        <w:t>（二）对未来的展望</w:t>
      </w:r>
      <w:bookmarkEnd w:id="66"/>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7"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7"/>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8"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8"/>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5"/>
      <w:endnotePr>
        <w:numFmt w:val="decimal"/>
      </w:endnotePr>
      <w:pgSz w:w="11906" w:h="16838" w:code="9"/>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李锋" w:date="2016-04-19T21:38:00Z" w:initials="李锋">
    <w:p w14:paraId="2810D037" w14:textId="77777777" w:rsidR="00F55E52" w:rsidRDefault="00F55E52" w:rsidP="006546AB">
      <w:pPr>
        <w:pStyle w:val="ab"/>
        <w:ind w:firstLine="420"/>
      </w:pPr>
      <w:r>
        <w:rPr>
          <w:rStyle w:val="aa"/>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0D0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5D40E" w14:textId="77777777" w:rsidR="00411074" w:rsidRDefault="00411074" w:rsidP="003947E7">
      <w:pPr>
        <w:ind w:firstLine="420"/>
      </w:pPr>
      <w:r>
        <w:separator/>
      </w:r>
    </w:p>
  </w:endnote>
  <w:endnote w:type="continuationSeparator" w:id="0">
    <w:p w14:paraId="122DD0BE" w14:textId="77777777" w:rsidR="00411074" w:rsidRDefault="00411074" w:rsidP="003947E7">
      <w:pPr>
        <w:ind w:firstLine="420"/>
      </w:pPr>
      <w:r>
        <w:continuationSeparator/>
      </w:r>
    </w:p>
  </w:endnote>
  <w:endnote w:id="1">
    <w:p w14:paraId="4F21D614" w14:textId="77777777" w:rsidR="00F55E52" w:rsidRPr="00EE230A" w:rsidRDefault="00F55E52"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F55E52" w:rsidRPr="00EE230A" w:rsidRDefault="00F55E52"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F55E52" w:rsidRPr="0047389F" w:rsidRDefault="00F55E52"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F55E52" w:rsidRPr="00B82D4A" w:rsidRDefault="00F55E52"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F55E52" w:rsidRPr="00B82D4A" w:rsidRDefault="00F55E52"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F55E52" w:rsidRPr="001D7EFD" w:rsidRDefault="00F55E52"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F55E52" w:rsidRDefault="00F55E52"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F55E52" w:rsidRPr="008B7794" w:rsidRDefault="00F55E52"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F55E52" w:rsidRPr="009426BE" w:rsidRDefault="00F55E52"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F55E52" w:rsidRDefault="00F55E52"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F55E52" w:rsidRPr="003D5C9C" w:rsidRDefault="00F55E52"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F55E52" w:rsidRDefault="00F55E52"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F55E52" w:rsidRDefault="00F55E52"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F55E52" w:rsidRPr="00132486" w:rsidRDefault="00F55E52"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F55E52" w:rsidRDefault="00F55E52"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F55E52" w:rsidRPr="009B49BF" w:rsidRDefault="00F55E52"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F55E52" w:rsidRPr="009B49BF" w:rsidRDefault="00F55E52"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F55E52" w:rsidRPr="001D3312" w:rsidRDefault="00F55E52"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F55E52" w:rsidRPr="001D3312" w:rsidRDefault="00F55E52"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F55E52" w:rsidRDefault="00F55E52"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F55E52" w:rsidRPr="008C330F" w:rsidRDefault="00F55E52"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F55E52" w:rsidRDefault="00F55E52">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F55E52" w:rsidRDefault="00F55E52"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F55E52" w:rsidRPr="00CC4783" w:rsidRDefault="00F55E52">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F55E52" w:rsidRDefault="00F55E52"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F55E52" w:rsidRPr="00547094" w:rsidRDefault="00F55E52">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F55E52" w:rsidRDefault="00F55E52">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F55E52" w:rsidRDefault="00F55E52"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F55E52" w:rsidRDefault="00F55E52" w:rsidP="00006267">
        <w:pPr>
          <w:pStyle w:val="a4"/>
          <w:ind w:firstLine="360"/>
          <w:jc w:val="center"/>
        </w:pPr>
        <w:r>
          <w:fldChar w:fldCharType="begin"/>
        </w:r>
        <w:r>
          <w:instrText>PAGE   \* MERGEFORMAT</w:instrText>
        </w:r>
        <w:r>
          <w:fldChar w:fldCharType="separate"/>
        </w:r>
        <w:r w:rsidR="00FF2470" w:rsidRPr="00FF2470">
          <w:rPr>
            <w:noProof/>
            <w:lang w:val="zh-CN"/>
          </w:rPr>
          <w:t>19</w:t>
        </w:r>
        <w:r>
          <w:rPr>
            <w:noProof/>
            <w:lang w:val="zh-CN"/>
          </w:rPr>
          <w:fldChar w:fldCharType="end"/>
        </w:r>
      </w:p>
    </w:sdtContent>
  </w:sdt>
  <w:p w14:paraId="308B7A7B" w14:textId="77777777" w:rsidR="00F55E52" w:rsidRDefault="00F55E52"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F55E52" w:rsidRDefault="00F55E52" w:rsidP="00CA1EFE">
    <w:pPr>
      <w:pStyle w:val="a4"/>
      <w:ind w:firstLineChars="0" w:firstLine="0"/>
    </w:pPr>
  </w:p>
  <w:p w14:paraId="0BAD5019" w14:textId="77777777" w:rsidR="00F55E52" w:rsidRDefault="00F55E52"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990BB" w14:textId="77777777" w:rsidR="00411074" w:rsidRDefault="00411074" w:rsidP="00A83C3B">
      <w:pPr>
        <w:ind w:firstLine="420"/>
      </w:pPr>
      <w:r>
        <w:separator/>
      </w:r>
    </w:p>
  </w:footnote>
  <w:footnote w:type="continuationSeparator" w:id="0">
    <w:p w14:paraId="1ACFEBE0" w14:textId="77777777" w:rsidR="00411074" w:rsidRDefault="00411074"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F55E52" w:rsidRDefault="00F55E52"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F55E52" w:rsidRPr="00CA1EFE" w:rsidRDefault="00F55E52"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F55E52" w:rsidRDefault="00F55E52"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F55E52" w:rsidRPr="00CA1EFE" w:rsidRDefault="00F55E52"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3D8C"/>
    <w:rsid w:val="000C6E47"/>
    <w:rsid w:val="000E2851"/>
    <w:rsid w:val="000E2FB5"/>
    <w:rsid w:val="000E7A55"/>
    <w:rsid w:val="000F3217"/>
    <w:rsid w:val="00103BD3"/>
    <w:rsid w:val="0010471F"/>
    <w:rsid w:val="001138CD"/>
    <w:rsid w:val="0011448B"/>
    <w:rsid w:val="0011471E"/>
    <w:rsid w:val="00120054"/>
    <w:rsid w:val="001218CD"/>
    <w:rsid w:val="00124146"/>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C6E05"/>
    <w:rsid w:val="002E2CF9"/>
    <w:rsid w:val="002E7A23"/>
    <w:rsid w:val="002F4444"/>
    <w:rsid w:val="003046B3"/>
    <w:rsid w:val="0031029F"/>
    <w:rsid w:val="00313255"/>
    <w:rsid w:val="0031401D"/>
    <w:rsid w:val="003250F8"/>
    <w:rsid w:val="0036152E"/>
    <w:rsid w:val="00361DA6"/>
    <w:rsid w:val="003643E6"/>
    <w:rsid w:val="003720C8"/>
    <w:rsid w:val="0037220C"/>
    <w:rsid w:val="00376C4F"/>
    <w:rsid w:val="003914E9"/>
    <w:rsid w:val="00393C26"/>
    <w:rsid w:val="003947E7"/>
    <w:rsid w:val="003A27F8"/>
    <w:rsid w:val="003A2C2C"/>
    <w:rsid w:val="003A7946"/>
    <w:rsid w:val="003B2F49"/>
    <w:rsid w:val="003B7C51"/>
    <w:rsid w:val="003C44D6"/>
    <w:rsid w:val="003C6397"/>
    <w:rsid w:val="003C787A"/>
    <w:rsid w:val="003D32F1"/>
    <w:rsid w:val="00401A36"/>
    <w:rsid w:val="00411074"/>
    <w:rsid w:val="00417955"/>
    <w:rsid w:val="004368BB"/>
    <w:rsid w:val="004427C3"/>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D70DC"/>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56B81"/>
    <w:rsid w:val="00B611E2"/>
    <w:rsid w:val="00B70F16"/>
    <w:rsid w:val="00B73F8F"/>
    <w:rsid w:val="00B8105F"/>
    <w:rsid w:val="00B86501"/>
    <w:rsid w:val="00B866EA"/>
    <w:rsid w:val="00B91181"/>
    <w:rsid w:val="00B96088"/>
    <w:rsid w:val="00B97712"/>
    <w:rsid w:val="00BA5A7F"/>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4EDC"/>
    <w:rsid w:val="00D41432"/>
    <w:rsid w:val="00D55C46"/>
    <w:rsid w:val="00D5673F"/>
    <w:rsid w:val="00DB5B2C"/>
    <w:rsid w:val="00DC07F8"/>
    <w:rsid w:val="00DC2DBF"/>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FFC36-16F3-48AC-9B50-C0E2D729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30</Pages>
  <Words>3509</Words>
  <Characters>20005</Characters>
  <Application>Microsoft Office Word</Application>
  <DocSecurity>0</DocSecurity>
  <Lines>166</Lines>
  <Paragraphs>46</Paragraphs>
  <ScaleCrop>false</ScaleCrop>
  <Company>Microsoft</Company>
  <LinksUpToDate>false</LinksUpToDate>
  <CharactersWithSpaces>23468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8</cp:revision>
  <dcterms:created xsi:type="dcterms:W3CDTF">2016-04-23T01:57:00Z</dcterms:created>
  <dcterms:modified xsi:type="dcterms:W3CDTF">2016-04-24T01:31:00Z</dcterms:modified>
</cp:coreProperties>
</file>