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5: Comprehensive Data Science Project Reporting and Strategic Recommendations</w:t>
      </w:r>
    </w:p>
    <w:p>
      <w:pPr>
        <w:pStyle w:val="Heading1"/>
      </w:pPr>
      <w:r>
        <w:t>Executive Summary</w:t>
      </w:r>
    </w:p>
    <w:p>
      <w:r>
        <w:t>This project explores the public diabetes progression dataset and trains a Ridge regression model. On a held-out test split, results were MAE=42.81, RMSE=53.78, and R-squared=0.454. A simple training-mean baseline achieved MAE=64.01. This report covers data preparation, exploratory analysis, modelling, evaluation, visual findings, recommendations, and limitations. The dataset and model are for education only, not medical use.</w:t>
      </w:r>
    </w:p>
    <w:p>
      <w:pPr>
        <w:pStyle w:val="Heading1"/>
      </w:pPr>
      <w:r>
        <w:t>1. Introduction and Objectives</w:t>
      </w:r>
    </w:p>
    <w:p>
      <w:r>
        <w:t>The goal is to integrate data acquisition, cleaning, exploratory data analysis, machine learning, evaluation, visualization, and actionable recommendations into one report. The work aims to communicate technical findings clearly for a non-technical audience.</w:t>
      </w:r>
    </w:p>
    <w:p>
      <w:pPr>
        <w:pStyle w:val="Heading1"/>
      </w:pPr>
      <w:r>
        <w:t>2. Dataset and Preparation</w:t>
      </w:r>
    </w:p>
    <w:p>
      <w:r>
        <w:t>The scikit-learn diabetes dataset contains 442 observations, ten standardized baseline features, and a quantitative progression target. Data were checked through descriptive statistics and correlation analysis. The target was separated from predictors and the data split into 80% training and 20% testing using random_state=42. Median imputation and standardization are included in a pipeline fitted on training data to reduce data leakage.</w:t>
      </w:r>
    </w:p>
    <w:p>
      <w:pPr>
        <w:pStyle w:val="Heading1"/>
      </w:pPr>
      <w:r>
        <w:t>3. Methodology and Model Selection</w:t>
      </w:r>
    </w:p>
    <w:p>
      <w:r>
        <w:t>Ridge regression was selected as a regularized linear model. Its L2 penalty can help stabilize estimates when predictors are correlated. A simple baseline predicts the training-set mean for every test record. The baseline allows us to assess whether the model improves on a simple reference.</w:t>
      </w:r>
    </w:p>
    <w:p>
      <w:pPr>
        <w:pStyle w:val="Heading1"/>
      </w:pPr>
      <w:r>
        <w:t>4. Evaluation Metrics and Results</w:t>
      </w:r>
    </w:p>
    <w:p>
      <w:r>
        <w:t>Mean Absolute Error (MAE) is the average absolute prediction error; lower is better. Root Mean Squared Error (RMSE) penalizes larger errors; lower is better. R-squared measures fit relative to a mean-based reference and can be negative. All model scores below are calculated on the held-out test set.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</w:t>
            </w:r>
          </w:p>
        </w:tc>
        <w:tc>
          <w:tcPr>
            <w:tcW w:type="dxa" w:w="2160"/>
          </w:tcPr>
          <w:p>
            <w:r>
              <w:t>MAE</w:t>
            </w:r>
          </w:p>
        </w:tc>
        <w:tc>
          <w:tcPr>
            <w:tcW w:type="dxa" w:w="2160"/>
          </w:tcPr>
          <w:p>
            <w:r>
              <w:t>RMSE</w:t>
            </w:r>
          </w:p>
        </w:tc>
        <w:tc>
          <w:tcPr>
            <w:tcW w:type="dxa" w:w="2160"/>
          </w:tcPr>
          <w:p>
            <w:r>
              <w:t>R-squared</w:t>
            </w:r>
          </w:p>
        </w:tc>
      </w:tr>
      <w:tr>
        <w:tc>
          <w:tcPr>
            <w:tcW w:type="dxa" w:w="2160"/>
          </w:tcPr>
          <w:p>
            <w:r>
              <w:t>Mean baseline</w:t>
            </w:r>
          </w:p>
        </w:tc>
        <w:tc>
          <w:tcPr>
            <w:tcW w:type="dxa" w:w="2160"/>
          </w:tcPr>
          <w:p>
            <w:r>
              <w:t>64.01</w:t>
            </w:r>
          </w:p>
        </w:tc>
        <w:tc>
          <w:tcPr>
            <w:tcW w:type="dxa" w:w="2160"/>
          </w:tcPr>
          <w:p>
            <w:r>
              <w:t>73.22</w:t>
            </w:r>
          </w:p>
        </w:tc>
        <w:tc>
          <w:tcPr>
            <w:tcW w:type="dxa" w:w="2160"/>
          </w:tcPr>
          <w:p>
            <w:r>
              <w:t>-0.012</w:t>
            </w:r>
          </w:p>
        </w:tc>
      </w:tr>
      <w:tr>
        <w:tc>
          <w:tcPr>
            <w:tcW w:type="dxa" w:w="2160"/>
          </w:tcPr>
          <w:p>
            <w:r>
              <w:t>Ridge regression</w:t>
            </w:r>
          </w:p>
        </w:tc>
        <w:tc>
          <w:tcPr>
            <w:tcW w:type="dxa" w:w="2160"/>
          </w:tcPr>
          <w:p>
            <w:r>
              <w:t>42.81</w:t>
            </w:r>
          </w:p>
        </w:tc>
        <w:tc>
          <w:tcPr>
            <w:tcW w:type="dxa" w:w="2160"/>
          </w:tcPr>
          <w:p>
            <w:r>
              <w:t>53.78</w:t>
            </w:r>
          </w:p>
        </w:tc>
        <w:tc>
          <w:tcPr>
            <w:tcW w:type="dxa" w:w="2160"/>
          </w:tcPr>
          <w:p>
            <w:r>
              <w:t>0.454</w:t>
            </w:r>
          </w:p>
        </w:tc>
      </w:tr>
    </w:tbl>
    <w:p>
      <w:pPr>
        <w:pStyle w:val="Heading1"/>
      </w:pPr>
      <w:r>
        <w:t>5. Visualizations and Interpretation</w:t>
      </w:r>
    </w:p>
    <w:p>
      <w:pPr>
        <w:pStyle w:val="Heading2"/>
      </w:pPr>
      <w:r>
        <w:t>Figure 1. Target distribution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arget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Shows the range and frequency of target values.</w:t>
      </w:r>
    </w:p>
    <w:p>
      <w:pPr>
        <w:pStyle w:val="Heading2"/>
      </w:pPr>
      <w:r>
        <w:t>Figure 2. Actual versus predicted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ctual_predi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Points closer to the diagonal indicate more accurate predictions; deviations indicate prediction errors.</w:t>
      </w:r>
    </w:p>
    <w:p>
      <w:pPr>
        <w:pStyle w:val="Heading2"/>
      </w:pPr>
      <w:r>
        <w:t>Figure 3. Residual analysis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residua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Residuals are actual minus predicted. Patterns may indicate model limitations.</w:t>
      </w:r>
    </w:p>
    <w:p>
      <w:pPr>
        <w:pStyle w:val="Heading2"/>
      </w:pPr>
      <w:r>
        <w:t>Figure 4. Model comparison</w:t>
      </w:r>
    </w:p>
    <w:p>
      <w:r>
        <w:drawing>
          <wp:inline xmlns:a="http://schemas.openxmlformats.org/drawingml/2006/main" xmlns:pic="http://schemas.openxmlformats.org/drawingml/2006/picture">
            <wp:extent cx="5120640" cy="3413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del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413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Compares average absolute error for the baseline and Ridge model; lower MAE is better.</w:t>
      </w:r>
    </w:p>
    <w:p>
      <w:pPr>
        <w:pStyle w:val="Heading2"/>
      </w:pPr>
      <w:r>
        <w:t>Figure 5. Feature-target correlations</w:t>
      </w:r>
    </w:p>
    <w:p>
      <w:r>
        <w:drawing>
          <wp:inline xmlns:a="http://schemas.openxmlformats.org/drawingml/2006/main" xmlns:pic="http://schemas.openxmlformats.org/drawingml/2006/picture">
            <wp:extent cx="5120640" cy="29260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rrela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926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Shows linear associations between predictors and target; correlation does not establish causation.</w:t>
      </w:r>
    </w:p>
    <w:p>
      <w:pPr>
        <w:pStyle w:val="Heading1"/>
      </w:pPr>
      <w:r>
        <w:t>6. Strategic Recommendations</w:t>
      </w:r>
    </w:p>
    <w:p>
      <w:pPr>
        <w:pStyle w:val="ListBullet"/>
      </w:pPr>
      <w:r>
        <w:t>Use a documented data-quality checklist for missing values, duplicates, types, and unusual observations.</w:t>
      </w:r>
    </w:p>
    <w:p>
      <w:pPr>
        <w:pStyle w:val="ListBullet"/>
      </w:pPr>
      <w:r>
        <w:t>Keep preprocessing in a pipeline and fit it only on training data to reduce data leakage.</w:t>
      </w:r>
    </w:p>
    <w:p>
      <w:pPr>
        <w:pStyle w:val="ListBullet"/>
      </w:pPr>
      <w:r>
        <w:t>Compare models with a simple baseline and use several metrics rather than accuracy or one score alone.</w:t>
      </w:r>
    </w:p>
    <w:p>
      <w:pPr>
        <w:pStyle w:val="ListBullet"/>
      </w:pPr>
      <w:r>
        <w:t>Use cross-validation and tune the Ridge alpha parameter on training data before final model selection.</w:t>
      </w:r>
    </w:p>
    <w:p>
      <w:pPr>
        <w:pStyle w:val="ListBullet"/>
      </w:pPr>
      <w:r>
        <w:t>Explain uncertainty and limitations to stakeholders; do not treat correlation as causation.</w:t>
      </w:r>
    </w:p>
    <w:p>
      <w:pPr>
        <w:pStyle w:val="ListBullet"/>
      </w:pPr>
      <w:r>
        <w:t>Do not use this educational dataset or model for diagnosis or treatment decisions.</w:t>
      </w:r>
    </w:p>
    <w:p>
      <w:pPr>
        <w:pStyle w:val="Heading1"/>
      </w:pPr>
      <w:r>
        <w:t>7. Limitations and Future Improvements</w:t>
      </w:r>
    </w:p>
    <w:p>
      <w:r>
        <w:t>The dataset is small and reflects the original study population. One train-test split may give variable estimates, and a linear model may not capture nonlinear relationships. Future work could use cross-validation, tune model parameters, compare alternative regressors, and validate on independent data. Any real-world health application would require rigorous external validation and qualified oversight.</w:t>
      </w:r>
    </w:p>
    <w:p>
      <w:pPr>
        <w:pStyle w:val="Heading1"/>
      </w:pPr>
      <w:r>
        <w:t>8. Conclusion</w:t>
      </w:r>
    </w:p>
    <w:p>
      <w:r>
        <w:t>The project demonstrates an end-to-end workflow from data preparation and EDA to model evaluation and recommendations. Ridge regression was compared with a simple baseline using MAE, RMSE, and R-squared. Visualizations explain the target distribution, prediction errors, model comparison, and feature relationships. Findings are educational and should not be generalized without further validation.</w:t>
      </w:r>
    </w:p>
    <w:p>
      <w:pPr>
        <w:pStyle w:val="Heading1"/>
      </w:pPr>
      <w:r>
        <w:t>9. Reproducibility</w:t>
      </w:r>
    </w:p>
    <w:p>
      <w:r>
        <w:t>Install dependencies: pip install pandas numpy matplotlib scikit-learn. Run analysis.py. Included project files: Python code, dataset CSV, descriptive statistics, feature correlations, model metrics, test predictions, README, and five charts.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