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99" w:rsidRDefault="00B6006F" w:rsidP="00C33B0E">
      <w:pPr>
        <w:jc w:val="center"/>
        <w:rPr>
          <w:rFonts w:ascii="Arial" w:hAnsi="Arial" w:cs="Arial"/>
          <w:b/>
          <w:i/>
          <w:noProof/>
          <w:color w:val="00B0F0"/>
          <w:sz w:val="26"/>
          <w:szCs w:val="26"/>
        </w:rPr>
      </w:pPr>
      <w:r>
        <w:rPr>
          <w:rFonts w:ascii="Arial" w:hAnsi="Arial" w:cs="Arial"/>
          <w:b/>
          <w:i/>
          <w:noProof/>
          <w:color w:val="00B0F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-409575</wp:posOffset>
            </wp:positionV>
            <wp:extent cx="1143000" cy="16859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noProof/>
          <w:color w:val="00B0F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-342900</wp:posOffset>
            </wp:positionV>
            <wp:extent cx="6448425" cy="1600200"/>
            <wp:effectExtent l="19050" t="0" r="9525" b="0"/>
            <wp:wrapNone/>
            <wp:docPr id="3" name="Picture 1" descr="C:\Users\asus\Desktop\14344850_1174580045933604_33093109110377424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4344850_1174580045933604_3309310911037742446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F43">
        <w:rPr>
          <w:rFonts w:ascii="Arial" w:hAnsi="Arial" w:cs="Arial"/>
          <w:b/>
          <w:i/>
          <w:noProof/>
          <w:color w:val="00B0F0"/>
          <w:sz w:val="26"/>
          <w:szCs w:val="26"/>
        </w:rPr>
        <w:t>KK</w:t>
      </w:r>
    </w:p>
    <w:p w:rsidR="000969E2" w:rsidRDefault="000969E2" w:rsidP="00C33B0E">
      <w:pPr>
        <w:jc w:val="center"/>
        <w:rPr>
          <w:rFonts w:ascii="Arial" w:hAnsi="Arial" w:cs="Arial"/>
          <w:b/>
          <w:i/>
          <w:noProof/>
          <w:color w:val="00B0F0"/>
          <w:sz w:val="26"/>
          <w:szCs w:val="26"/>
        </w:rPr>
      </w:pPr>
    </w:p>
    <w:p w:rsidR="000969E2" w:rsidRDefault="000969E2" w:rsidP="00C33B0E">
      <w:pPr>
        <w:jc w:val="center"/>
        <w:rPr>
          <w:rFonts w:ascii="Arial" w:hAnsi="Arial" w:cs="Arial"/>
          <w:b/>
          <w:i/>
          <w:noProof/>
          <w:color w:val="00B0F0"/>
          <w:sz w:val="26"/>
          <w:szCs w:val="26"/>
        </w:rPr>
      </w:pPr>
    </w:p>
    <w:p w:rsidR="000969E2" w:rsidRDefault="000969E2" w:rsidP="00C33B0E">
      <w:pPr>
        <w:jc w:val="center"/>
        <w:rPr>
          <w:rFonts w:ascii="Arial" w:hAnsi="Arial" w:cs="Arial"/>
          <w:b/>
          <w:i/>
          <w:noProof/>
          <w:color w:val="00B0F0"/>
          <w:sz w:val="26"/>
          <w:szCs w:val="26"/>
        </w:rPr>
      </w:pPr>
    </w:p>
    <w:p w:rsidR="000969E2" w:rsidRDefault="000969E2" w:rsidP="00C33B0E">
      <w:pPr>
        <w:jc w:val="center"/>
        <w:rPr>
          <w:rFonts w:ascii="Arial" w:hAnsi="Arial" w:cs="Arial"/>
          <w:b/>
          <w:i/>
          <w:noProof/>
          <w:color w:val="00B0F0"/>
          <w:sz w:val="26"/>
          <w:szCs w:val="26"/>
        </w:rPr>
      </w:pPr>
    </w:p>
    <w:p w:rsidR="000969E2" w:rsidRDefault="000969E2" w:rsidP="00C33B0E">
      <w:pPr>
        <w:jc w:val="center"/>
        <w:rPr>
          <w:rFonts w:ascii="Arial" w:hAnsi="Arial" w:cs="Arial"/>
          <w:b/>
          <w:i/>
          <w:noProof/>
          <w:color w:val="00B0F0"/>
          <w:sz w:val="26"/>
          <w:szCs w:val="26"/>
        </w:rPr>
      </w:pPr>
    </w:p>
    <w:p w:rsidR="000969E2" w:rsidRDefault="000969E2" w:rsidP="00C33B0E">
      <w:pPr>
        <w:jc w:val="center"/>
        <w:rPr>
          <w:rFonts w:ascii="Arial" w:hAnsi="Arial" w:cs="Arial"/>
          <w:b/>
          <w:i/>
          <w:noProof/>
          <w:color w:val="00B0F0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9"/>
        <w:tblW w:w="11898" w:type="dxa"/>
        <w:shd w:val="clear" w:color="auto" w:fill="FFFFFF" w:themeFill="background1"/>
        <w:tblLook w:val="04A0"/>
      </w:tblPr>
      <w:tblGrid>
        <w:gridCol w:w="1728"/>
        <w:gridCol w:w="10170"/>
      </w:tblGrid>
      <w:tr w:rsidR="00B6006F" w:rsidRPr="008C3231" w:rsidTr="00820B80">
        <w:trPr>
          <w:trHeight w:val="620"/>
        </w:trPr>
        <w:tc>
          <w:tcPr>
            <w:tcW w:w="1728" w:type="dxa"/>
            <w:vMerge w:val="restart"/>
            <w:shd w:val="clear" w:color="auto" w:fill="002060"/>
            <w:vAlign w:val="center"/>
          </w:tcPr>
          <w:p w:rsidR="00B6006F" w:rsidRPr="008C3231" w:rsidRDefault="00B6006F" w:rsidP="006B363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C3231">
              <w:rPr>
                <w:rFonts w:ascii="Arial" w:hAnsi="Arial" w:cs="Arial"/>
                <w:b/>
                <w:sz w:val="26"/>
                <w:szCs w:val="26"/>
              </w:rPr>
              <w:t>THÔNG TIN CÁ NHÂN</w:t>
            </w:r>
          </w:p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và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proofErr w:type="gram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          BÙI HẬU.</w:t>
            </w:r>
          </w:p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006F" w:rsidRPr="008C3231" w:rsidTr="00820B80">
        <w:trPr>
          <w:trHeight w:val="503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Ngày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proofErr w:type="gram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         12/03/1984.</w:t>
            </w: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Địa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chỉ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Liên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hệ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:  12/1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Máy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Nước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Phường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Phước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Tân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Nha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Trang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Khánh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Hòa</w:t>
            </w:r>
            <w:proofErr w:type="spellEnd"/>
          </w:p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006F" w:rsidRPr="008C3231" w:rsidTr="00820B80">
        <w:trPr>
          <w:trHeight w:val="404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Điện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thoại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:          </w:t>
            </w:r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>09</w:t>
            </w:r>
            <w:r w:rsidR="006B5B0C">
              <w:rPr>
                <w:rFonts w:ascii="Arial" w:hAnsi="Arial" w:cs="Arial"/>
                <w:b/>
                <w:sz w:val="24"/>
                <w:szCs w:val="24"/>
              </w:rPr>
              <w:t>04.828.33</w:t>
            </w:r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006F" w:rsidRPr="008C3231" w:rsidTr="00820B80">
        <w:trPr>
          <w:trHeight w:val="503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231">
              <w:rPr>
                <w:rFonts w:ascii="Arial" w:hAnsi="Arial" w:cs="Arial"/>
                <w:b/>
                <w:sz w:val="24"/>
                <w:szCs w:val="24"/>
              </w:rPr>
              <w:t>Email:                  dsbuihau@gmail.com</w:t>
            </w:r>
          </w:p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006F" w:rsidRPr="008C3231" w:rsidTr="00820B80">
        <w:trPr>
          <w:trHeight w:val="713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8C3231">
              <w:rPr>
                <w:rFonts w:ascii="Arial" w:hAnsi="Arial" w:cs="Arial"/>
              </w:rPr>
              <w:t>Đại</w:t>
            </w:r>
            <w:proofErr w:type="spellEnd"/>
            <w:r w:rsidRPr="008C3231">
              <w:rPr>
                <w:rFonts w:ascii="Arial" w:hAnsi="Arial" w:cs="Arial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</w:rPr>
              <w:t>h</w:t>
            </w:r>
            <w:r w:rsidR="008C3231" w:rsidRPr="008C3231">
              <w:rPr>
                <w:rFonts w:ascii="Arial" w:hAnsi="Arial" w:cs="Arial"/>
              </w:rPr>
              <w:t>ọc</w:t>
            </w:r>
            <w:proofErr w:type="spellEnd"/>
            <w:r w:rsidR="008C3231"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kinh</w:t>
            </w:r>
            <w:proofErr w:type="spellEnd"/>
            <w:r w:rsidR="008C3231"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tế</w:t>
            </w:r>
            <w:proofErr w:type="spellEnd"/>
            <w:r w:rsidR="008C3231" w:rsidRPr="008C3231">
              <w:rPr>
                <w:rFonts w:ascii="Arial" w:hAnsi="Arial" w:cs="Arial"/>
              </w:rPr>
              <w:t xml:space="preserve"> – </w:t>
            </w:r>
            <w:proofErr w:type="spellStart"/>
            <w:r w:rsidR="008C3231" w:rsidRPr="008C3231">
              <w:rPr>
                <w:rFonts w:ascii="Arial" w:hAnsi="Arial" w:cs="Arial"/>
              </w:rPr>
              <w:t>Chuyên</w:t>
            </w:r>
            <w:proofErr w:type="spellEnd"/>
            <w:r w:rsidR="008C3231"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Ngành</w:t>
            </w:r>
            <w:proofErr w:type="spellEnd"/>
            <w:r w:rsidR="008C3231"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Quản</w:t>
            </w:r>
            <w:proofErr w:type="spellEnd"/>
            <w:r w:rsidR="008C3231"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T</w:t>
            </w:r>
            <w:r w:rsidRPr="008C3231">
              <w:rPr>
                <w:rFonts w:ascii="Arial" w:hAnsi="Arial" w:cs="Arial"/>
              </w:rPr>
              <w:t>rị</w:t>
            </w:r>
            <w:proofErr w:type="spellEnd"/>
            <w:r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K</w:t>
            </w:r>
            <w:r w:rsidRPr="008C3231">
              <w:rPr>
                <w:rFonts w:ascii="Arial" w:hAnsi="Arial" w:cs="Arial"/>
              </w:rPr>
              <w:t>inh</w:t>
            </w:r>
            <w:proofErr w:type="spellEnd"/>
            <w:r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D</w:t>
            </w:r>
            <w:r w:rsidRPr="008C3231">
              <w:rPr>
                <w:rFonts w:ascii="Arial" w:hAnsi="Arial" w:cs="Arial"/>
              </w:rPr>
              <w:t>oanh</w:t>
            </w:r>
            <w:proofErr w:type="spellEnd"/>
            <w:r w:rsidRPr="008C3231">
              <w:rPr>
                <w:rFonts w:ascii="Arial" w:hAnsi="Arial" w:cs="Arial"/>
              </w:rPr>
              <w:t>.</w:t>
            </w:r>
          </w:p>
          <w:p w:rsidR="00B6006F" w:rsidRPr="008C3231" w:rsidRDefault="00B6006F" w:rsidP="00820B8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8C3231">
              <w:rPr>
                <w:rFonts w:ascii="Arial" w:hAnsi="Arial" w:cs="Arial"/>
              </w:rPr>
              <w:t>Dược</w:t>
            </w:r>
            <w:proofErr w:type="spellEnd"/>
            <w:r w:rsidRPr="008C3231">
              <w:rPr>
                <w:rFonts w:ascii="Arial" w:hAnsi="Arial" w:cs="Arial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</w:rPr>
              <w:t>sĩ</w:t>
            </w:r>
            <w:proofErr w:type="spellEnd"/>
            <w:r w:rsidRPr="008C3231">
              <w:rPr>
                <w:rFonts w:ascii="Arial" w:hAnsi="Arial" w:cs="Arial"/>
              </w:rPr>
              <w:t xml:space="preserve"> </w:t>
            </w:r>
            <w:r w:rsidR="008C3231" w:rsidRPr="008C3231">
              <w:rPr>
                <w:rFonts w:ascii="Arial" w:hAnsi="Arial" w:cs="Arial"/>
              </w:rPr>
              <w:t xml:space="preserve">Cao </w:t>
            </w:r>
            <w:proofErr w:type="spellStart"/>
            <w:r w:rsidR="008C3231" w:rsidRPr="008C3231">
              <w:rPr>
                <w:rFonts w:ascii="Arial" w:hAnsi="Arial" w:cs="Arial"/>
              </w:rPr>
              <w:t>Đẳng</w:t>
            </w:r>
            <w:proofErr w:type="spellEnd"/>
            <w:r w:rsidR="008C3231"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C</w:t>
            </w:r>
            <w:r w:rsidRPr="008C3231">
              <w:rPr>
                <w:rFonts w:ascii="Arial" w:hAnsi="Arial" w:cs="Arial"/>
              </w:rPr>
              <w:t>hính</w:t>
            </w:r>
            <w:proofErr w:type="spellEnd"/>
            <w:r w:rsidRPr="008C3231">
              <w:rPr>
                <w:rFonts w:ascii="Arial" w:hAnsi="Arial" w:cs="Arial"/>
              </w:rPr>
              <w:t xml:space="preserve"> </w:t>
            </w:r>
            <w:proofErr w:type="spellStart"/>
            <w:r w:rsidR="008C3231" w:rsidRPr="008C3231">
              <w:rPr>
                <w:rFonts w:ascii="Arial" w:hAnsi="Arial" w:cs="Arial"/>
              </w:rPr>
              <w:t>Q</w:t>
            </w:r>
            <w:r w:rsidRPr="008C3231">
              <w:rPr>
                <w:rFonts w:ascii="Arial" w:hAnsi="Arial" w:cs="Arial"/>
              </w:rPr>
              <w:t>uy</w:t>
            </w:r>
            <w:proofErr w:type="spellEnd"/>
            <w:r w:rsidRPr="008C3231">
              <w:rPr>
                <w:rFonts w:ascii="Arial" w:hAnsi="Arial" w:cs="Arial"/>
              </w:rPr>
              <w:t>.</w:t>
            </w:r>
          </w:p>
        </w:tc>
      </w:tr>
      <w:tr w:rsidR="00B6006F" w:rsidRPr="008C3231" w:rsidTr="00F45118">
        <w:trPr>
          <w:trHeight w:val="1517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Kinh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b/>
                <w:sz w:val="24"/>
                <w:szCs w:val="24"/>
              </w:rPr>
              <w:t>nghiệm</w:t>
            </w:r>
            <w:proofErr w:type="spellEnd"/>
            <w:r w:rsidRPr="008C3231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</w:p>
          <w:p w:rsidR="00B6006F" w:rsidRPr="008C3231" w:rsidRDefault="00DF0C7E" w:rsidP="00820B80">
            <w:pPr>
              <w:rPr>
                <w:rFonts w:ascii="Arial" w:hAnsi="Arial" w:cs="Arial"/>
                <w:sz w:val="24"/>
                <w:szCs w:val="24"/>
              </w:rPr>
            </w:pPr>
            <w:r w:rsidRPr="008C3231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 xml:space="preserve">4 </w:t>
            </w:r>
            <w:proofErr w:type="spellStart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>năm</w:t>
            </w:r>
            <w:proofErr w:type="spellEnd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>làm</w:t>
            </w:r>
            <w:proofErr w:type="spellEnd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 xml:space="preserve"> MR </w:t>
            </w:r>
            <w:proofErr w:type="spellStart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>kênh</w:t>
            </w:r>
            <w:proofErr w:type="spellEnd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 xml:space="preserve"> ETC </w:t>
            </w:r>
            <w:proofErr w:type="spellStart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>và</w:t>
            </w:r>
            <w:proofErr w:type="spellEnd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FF61AB" w:rsidRPr="008C3231">
              <w:rPr>
                <w:rFonts w:ascii="Arial" w:hAnsi="Arial" w:cs="Arial"/>
                <w:b/>
                <w:sz w:val="24"/>
                <w:szCs w:val="24"/>
              </w:rPr>
              <w:t>hơn</w:t>
            </w:r>
            <w:proofErr w:type="spellEnd"/>
            <w:r w:rsidR="00A51803" w:rsidRPr="008C3231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  <w:r w:rsidR="00B6006F"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b/>
                <w:sz w:val="24"/>
                <w:szCs w:val="24"/>
              </w:rPr>
              <w:t>năm</w:t>
            </w:r>
            <w:proofErr w:type="spellEnd"/>
            <w:r w:rsidR="00B6006F" w:rsidRPr="008C32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b/>
                <w:sz w:val="24"/>
                <w:szCs w:val="24"/>
              </w:rPr>
              <w:t>làm</w:t>
            </w:r>
            <w:proofErr w:type="spellEnd"/>
            <w:r w:rsidR="00B6006F" w:rsidRPr="008C3231">
              <w:rPr>
                <w:rFonts w:ascii="Arial" w:hAnsi="Arial" w:cs="Arial"/>
                <w:b/>
                <w:sz w:val="24"/>
                <w:szCs w:val="24"/>
              </w:rPr>
              <w:t xml:space="preserve"> ASM </w:t>
            </w:r>
            <w:proofErr w:type="spellStart"/>
            <w:r w:rsidR="00B6006F" w:rsidRPr="008C3231">
              <w:rPr>
                <w:rFonts w:ascii="Arial" w:hAnsi="Arial" w:cs="Arial"/>
                <w:b/>
                <w:sz w:val="24"/>
                <w:szCs w:val="24"/>
              </w:rPr>
              <w:t>kênh</w:t>
            </w:r>
            <w:proofErr w:type="spellEnd"/>
            <w:r w:rsidR="00B6006F" w:rsidRPr="008C3231">
              <w:rPr>
                <w:rFonts w:ascii="Arial" w:hAnsi="Arial" w:cs="Arial"/>
                <w:b/>
                <w:sz w:val="24"/>
                <w:szCs w:val="24"/>
              </w:rPr>
              <w:t xml:space="preserve"> ETC/OTC</w:t>
            </w:r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việc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hoàn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doanh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bán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ngành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dược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phẩm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nhận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góp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doanh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bán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lãnh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đạo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đội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ngũ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bán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mở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rộng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4"/>
                <w:szCs w:val="24"/>
              </w:rPr>
              <w:t>mới</w:t>
            </w:r>
            <w:proofErr w:type="spellEnd"/>
            <w:r w:rsidR="00B6006F" w:rsidRPr="008C323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6006F" w:rsidRPr="008C3231" w:rsidRDefault="00B6006F" w:rsidP="00820B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006F" w:rsidRPr="008C3231" w:rsidTr="00820B80">
        <w:trPr>
          <w:trHeight w:val="482"/>
        </w:trPr>
        <w:tc>
          <w:tcPr>
            <w:tcW w:w="1728" w:type="dxa"/>
            <w:vMerge w:val="restart"/>
            <w:shd w:val="clear" w:color="auto" w:fill="002060"/>
            <w:vAlign w:val="center"/>
          </w:tcPr>
          <w:p w:rsidR="00B6006F" w:rsidRPr="008C3231" w:rsidRDefault="00B6006F" w:rsidP="006B363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C3231">
              <w:rPr>
                <w:rFonts w:ascii="Arial" w:hAnsi="Arial" w:cs="Arial"/>
                <w:b/>
                <w:sz w:val="26"/>
                <w:szCs w:val="26"/>
              </w:rPr>
              <w:t>TRẢI NGHIỆM CÔNG TÁC</w:t>
            </w: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6"/>
                <w:szCs w:val="26"/>
              </w:rPr>
              <w:t>Từ</w:t>
            </w:r>
            <w:proofErr w:type="spellEnd"/>
            <w:r w:rsidRPr="008C3231">
              <w:rPr>
                <w:rFonts w:ascii="Arial" w:hAnsi="Arial" w:cs="Arial"/>
                <w:b/>
                <w:sz w:val="26"/>
                <w:szCs w:val="26"/>
              </w:rPr>
              <w:t xml:space="preserve"> 2006 - 2008</w:t>
            </w:r>
            <w:r w:rsidRPr="008C3231">
              <w:rPr>
                <w:rFonts w:ascii="Arial" w:hAnsi="Arial" w:cs="Arial"/>
                <w:sz w:val="26"/>
                <w:szCs w:val="26"/>
              </w:rPr>
              <w:t xml:space="preserve">: MR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kênh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ETC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toàn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tỉnh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Khánh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Hòa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Stada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Việt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Nam.</w:t>
            </w: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6"/>
                <w:szCs w:val="26"/>
              </w:rPr>
              <w:t>Từ</w:t>
            </w:r>
            <w:proofErr w:type="spellEnd"/>
            <w:r w:rsidRPr="008C3231">
              <w:rPr>
                <w:rFonts w:ascii="Arial" w:hAnsi="Arial" w:cs="Arial"/>
                <w:b/>
                <w:sz w:val="26"/>
                <w:szCs w:val="26"/>
              </w:rPr>
              <w:t xml:space="preserve"> 2008 – 2011</w:t>
            </w:r>
            <w:r w:rsidR="00655A86" w:rsidRPr="008C3231">
              <w:rPr>
                <w:rFonts w:ascii="Arial" w:hAnsi="Arial" w:cs="Arial"/>
                <w:sz w:val="26"/>
                <w:szCs w:val="26"/>
              </w:rPr>
              <w:t>: SR</w:t>
            </w:r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kênh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ETC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OTC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tại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Khánh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Hòa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Phú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Yên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Ninh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Thuận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Bình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đoàn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DP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Đa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Quốc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Gia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Fresenius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Kabi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FF61AB" w:rsidP="00820B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6"/>
                <w:szCs w:val="26"/>
              </w:rPr>
              <w:t>Từ</w:t>
            </w:r>
            <w:proofErr w:type="spellEnd"/>
            <w:r w:rsidRPr="008C3231">
              <w:rPr>
                <w:rFonts w:ascii="Arial" w:hAnsi="Arial" w:cs="Arial"/>
                <w:b/>
                <w:sz w:val="26"/>
                <w:szCs w:val="26"/>
              </w:rPr>
              <w:t xml:space="preserve"> 2011- </w:t>
            </w:r>
            <w:proofErr w:type="spellStart"/>
            <w:r w:rsidRPr="008C3231">
              <w:rPr>
                <w:rFonts w:ascii="Arial" w:hAnsi="Arial" w:cs="Arial"/>
                <w:b/>
                <w:sz w:val="26"/>
                <w:szCs w:val="26"/>
              </w:rPr>
              <w:t>Đầu</w:t>
            </w:r>
            <w:proofErr w:type="spellEnd"/>
            <w:r w:rsidR="00B6006F" w:rsidRPr="008C3231">
              <w:rPr>
                <w:rFonts w:ascii="Arial" w:hAnsi="Arial" w:cs="Arial"/>
                <w:b/>
                <w:sz w:val="26"/>
                <w:szCs w:val="26"/>
              </w:rPr>
              <w:t xml:space="preserve"> 201</w:t>
            </w:r>
            <w:r w:rsidRPr="008C3231">
              <w:rPr>
                <w:rFonts w:ascii="Arial" w:hAnsi="Arial" w:cs="Arial"/>
                <w:b/>
                <w:sz w:val="26"/>
                <w:szCs w:val="26"/>
              </w:rPr>
              <w:t>6</w:t>
            </w:r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: ASM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kênh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ETC/OTC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tại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Ninh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Thuận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Khánh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Hòa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Phú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Yên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Bình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Quãng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Ngãi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="00BD0948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Boston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Việt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Nam.</w:t>
            </w: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622A22" w:rsidP="00820B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3231">
              <w:rPr>
                <w:rFonts w:ascii="Arial" w:hAnsi="Arial" w:cs="Arial"/>
                <w:b/>
                <w:sz w:val="26"/>
                <w:szCs w:val="26"/>
              </w:rPr>
              <w:t>Từ</w:t>
            </w:r>
            <w:proofErr w:type="spellEnd"/>
            <w:r w:rsidRPr="008C3231">
              <w:rPr>
                <w:rFonts w:ascii="Arial" w:hAnsi="Arial" w:cs="Arial"/>
                <w:b/>
                <w:sz w:val="26"/>
                <w:szCs w:val="26"/>
              </w:rPr>
              <w:t xml:space="preserve"> 2016 – 06/2018</w:t>
            </w:r>
            <w:r w:rsidR="00B6006F" w:rsidRPr="008C323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B6006F" w:rsidRPr="008C32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ASM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kênh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ETC/OTC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tại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Ninh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Thuận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Khánh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Hòa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Phú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Yên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Bình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Daklak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D</w:t>
            </w:r>
            <w:r w:rsidR="00FF61AB" w:rsidRPr="008C3231">
              <w:rPr>
                <w:rFonts w:ascii="Arial" w:hAnsi="Arial" w:cs="Arial"/>
                <w:sz w:val="26"/>
                <w:szCs w:val="26"/>
              </w:rPr>
              <w:t>akNong</w:t>
            </w:r>
            <w:proofErr w:type="spellEnd"/>
            <w:r w:rsidR="00FF61AB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F61AB" w:rsidRPr="008C3231">
              <w:rPr>
                <w:rFonts w:ascii="Arial" w:hAnsi="Arial" w:cs="Arial"/>
                <w:sz w:val="26"/>
                <w:szCs w:val="26"/>
              </w:rPr>
              <w:t>Gia</w:t>
            </w:r>
            <w:proofErr w:type="spellEnd"/>
            <w:r w:rsidR="00FF61AB" w:rsidRPr="008C3231">
              <w:rPr>
                <w:rFonts w:ascii="Arial" w:hAnsi="Arial" w:cs="Arial"/>
                <w:sz w:val="26"/>
                <w:szCs w:val="26"/>
              </w:rPr>
              <w:t xml:space="preserve"> Lai </w:t>
            </w:r>
            <w:proofErr w:type="spellStart"/>
            <w:r w:rsidR="00FF61AB" w:rsidRPr="008C323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FF61AB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F61AB" w:rsidRPr="008C3231">
              <w:rPr>
                <w:rFonts w:ascii="Arial" w:hAnsi="Arial" w:cs="Arial"/>
                <w:sz w:val="26"/>
                <w:szCs w:val="26"/>
              </w:rPr>
              <w:t>Komtum</w:t>
            </w:r>
            <w:proofErr w:type="spellEnd"/>
            <w:r w:rsidR="00FF61AB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F61AB" w:rsidRPr="008C3231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310994" w:rsidRPr="008C3231">
              <w:rPr>
                <w:rFonts w:ascii="Arial" w:hAnsi="Arial" w:cs="Arial"/>
                <w:sz w:val="26"/>
                <w:szCs w:val="26"/>
              </w:rPr>
              <w:t xml:space="preserve">CTY CPDP </w:t>
            </w:r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CPC1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Hà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Nội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 w:val="restart"/>
            <w:shd w:val="clear" w:color="auto" w:fill="002060"/>
            <w:vAlign w:val="center"/>
          </w:tcPr>
          <w:p w:rsidR="00B6006F" w:rsidRPr="008C3231" w:rsidRDefault="00B6006F" w:rsidP="006B363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C3231">
              <w:rPr>
                <w:rFonts w:ascii="Arial" w:hAnsi="Arial" w:cs="Arial"/>
                <w:b/>
                <w:sz w:val="26"/>
                <w:szCs w:val="26"/>
              </w:rPr>
              <w:t>KỸ NĂNG CÁ NHÂN</w:t>
            </w: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F45118" w:rsidP="00820B80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mối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hệ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mở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rộng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tiềm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</w:tr>
      <w:tr w:rsidR="00B6006F" w:rsidRPr="008C3231" w:rsidTr="00820B80">
        <w:trPr>
          <w:trHeight w:val="485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F45118" w:rsidP="00820B80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</w:t>
            </w:r>
            <w:r w:rsidR="00FF61AB" w:rsidRPr="008C3231">
              <w:rPr>
                <w:rFonts w:ascii="Arial" w:hAnsi="Arial" w:cs="Arial"/>
                <w:sz w:val="26"/>
                <w:szCs w:val="26"/>
              </w:rPr>
              <w:t>ây</w:t>
            </w:r>
            <w:proofErr w:type="spellEnd"/>
            <w:r w:rsidR="00FF61AB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F61AB" w:rsidRPr="008C3231"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thuốc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thầu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phát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triển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tốt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bán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thầu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so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dự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6006F" w:rsidRPr="008C3231">
              <w:rPr>
                <w:rFonts w:ascii="Arial" w:hAnsi="Arial" w:cs="Arial"/>
                <w:sz w:val="26"/>
                <w:szCs w:val="26"/>
              </w:rPr>
              <w:t>kiến</w:t>
            </w:r>
            <w:proofErr w:type="spellEnd"/>
            <w:r w:rsidR="00B6006F"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Đàm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phán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hợp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C3231">
              <w:rPr>
                <w:rFonts w:ascii="Arial" w:hAnsi="Arial" w:cs="Arial"/>
                <w:sz w:val="26"/>
                <w:szCs w:val="26"/>
              </w:rPr>
              <w:t>đồng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>(</w:t>
            </w:r>
            <w:proofErr w:type="gram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Cung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phối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…),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tiếp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thuyết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phục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tốt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kỹ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làm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nhóm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đào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phát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triển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nhân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B6006F" w:rsidRPr="008C3231" w:rsidTr="00820B80">
        <w:trPr>
          <w:trHeight w:val="572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kinh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nghiệp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phỏng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vấn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nhân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kinh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doanh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B6006F" w:rsidRPr="008C3231" w:rsidTr="00820B80">
        <w:trPr>
          <w:trHeight w:val="482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thạo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vi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văn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Nắm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bắt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nhanh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chóng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thông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sự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trường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dược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phẩm</w:t>
            </w:r>
            <w:proofErr w:type="spellEnd"/>
            <w:r w:rsidR="00655A86"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B6006F" w:rsidRPr="008C3231" w:rsidTr="00820B80">
        <w:trPr>
          <w:trHeight w:val="440"/>
        </w:trPr>
        <w:tc>
          <w:tcPr>
            <w:tcW w:w="1728" w:type="dxa"/>
            <w:vMerge/>
            <w:shd w:val="clear" w:color="auto" w:fill="00206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Anh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C3231">
              <w:rPr>
                <w:rFonts w:ascii="Arial" w:hAnsi="Arial" w:cs="Arial"/>
                <w:sz w:val="26"/>
                <w:szCs w:val="26"/>
              </w:rPr>
              <w:t>văn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căn</w:t>
            </w:r>
            <w:proofErr w:type="spellEnd"/>
            <w:proofErr w:type="gramEnd"/>
            <w:r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231"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  <w:r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B6006F" w:rsidRPr="008C3231" w:rsidTr="00F45118">
        <w:trPr>
          <w:trHeight w:val="500"/>
        </w:trPr>
        <w:tc>
          <w:tcPr>
            <w:tcW w:w="1728" w:type="dxa"/>
            <w:shd w:val="clear" w:color="auto" w:fill="002060"/>
            <w:vAlign w:val="center"/>
          </w:tcPr>
          <w:p w:rsidR="00B6006F" w:rsidRPr="008C3231" w:rsidRDefault="00B6006F" w:rsidP="006B363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C3231">
              <w:rPr>
                <w:rFonts w:ascii="Arial" w:hAnsi="Arial" w:cs="Arial"/>
                <w:b/>
                <w:sz w:val="26"/>
                <w:szCs w:val="26"/>
              </w:rPr>
              <w:t>SỞ THÍCH</w:t>
            </w:r>
          </w:p>
        </w:tc>
        <w:tc>
          <w:tcPr>
            <w:tcW w:w="10170" w:type="dxa"/>
            <w:shd w:val="clear" w:color="auto" w:fill="FFFF00"/>
            <w:vAlign w:val="center"/>
          </w:tcPr>
          <w:p w:rsidR="00B6006F" w:rsidRPr="008C3231" w:rsidRDefault="00B6006F" w:rsidP="00820B80">
            <w:pPr>
              <w:rPr>
                <w:rFonts w:ascii="Arial" w:hAnsi="Arial" w:cs="Arial"/>
                <w:sz w:val="26"/>
                <w:szCs w:val="26"/>
              </w:rPr>
            </w:pPr>
            <w:r w:rsidRPr="008C3231">
              <w:rPr>
                <w:rFonts w:ascii="Arial" w:hAnsi="Arial" w:cs="Arial"/>
                <w:sz w:val="26"/>
                <w:szCs w:val="26"/>
              </w:rPr>
              <w:t>D</w:t>
            </w:r>
            <w:r w:rsidR="00861914" w:rsidRPr="008C3231">
              <w:rPr>
                <w:rFonts w:ascii="Arial" w:hAnsi="Arial" w:cs="Arial"/>
                <w:sz w:val="26"/>
                <w:szCs w:val="26"/>
              </w:rPr>
              <w:t xml:space="preserve">u </w:t>
            </w:r>
            <w:proofErr w:type="spellStart"/>
            <w:r w:rsidR="00861914" w:rsidRPr="008C3231">
              <w:rPr>
                <w:rFonts w:ascii="Arial" w:hAnsi="Arial" w:cs="Arial"/>
                <w:sz w:val="26"/>
                <w:szCs w:val="26"/>
              </w:rPr>
              <w:t>lịch</w:t>
            </w:r>
            <w:proofErr w:type="spellEnd"/>
            <w:r w:rsidR="00861914" w:rsidRPr="008C323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861914" w:rsidRPr="008C3231">
              <w:rPr>
                <w:rFonts w:ascii="Arial" w:hAnsi="Arial" w:cs="Arial"/>
                <w:sz w:val="26"/>
                <w:szCs w:val="26"/>
              </w:rPr>
              <w:t>chơi</w:t>
            </w:r>
            <w:proofErr w:type="spellEnd"/>
            <w:r w:rsidR="00861914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61914" w:rsidRPr="008C3231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="00861914" w:rsidRPr="008C323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61914" w:rsidRPr="008C3231">
              <w:rPr>
                <w:rFonts w:ascii="Arial" w:hAnsi="Arial" w:cs="Arial"/>
                <w:sz w:val="26"/>
                <w:szCs w:val="26"/>
              </w:rPr>
              <w:t>thao</w:t>
            </w:r>
            <w:proofErr w:type="spellEnd"/>
            <w:r w:rsidR="00861914" w:rsidRPr="008C323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B6006F" w:rsidRPr="008C3231" w:rsidRDefault="00B6006F" w:rsidP="00820B80">
            <w:pPr>
              <w:rPr>
                <w:rFonts w:ascii="Arial" w:hAnsi="Arial" w:cs="Arial"/>
                <w:b/>
              </w:rPr>
            </w:pPr>
          </w:p>
        </w:tc>
      </w:tr>
      <w:tr w:rsidR="00CD20B3" w:rsidRPr="008C3231" w:rsidTr="00820B80">
        <w:trPr>
          <w:trHeight w:val="800"/>
        </w:trPr>
        <w:tc>
          <w:tcPr>
            <w:tcW w:w="11898" w:type="dxa"/>
            <w:gridSpan w:val="2"/>
            <w:shd w:val="clear" w:color="auto" w:fill="002060"/>
            <w:vAlign w:val="center"/>
          </w:tcPr>
          <w:p w:rsidR="00CD20B3" w:rsidRPr="008C3231" w:rsidRDefault="00CD20B3" w:rsidP="00820B80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8C3231">
              <w:rPr>
                <w:rFonts w:ascii="Arial" w:hAnsi="Arial" w:cs="Arial"/>
                <w:b/>
                <w:sz w:val="26"/>
                <w:szCs w:val="26"/>
              </w:rPr>
              <w:t>CHÂN THÀNH CẢM ƠN NHÀ TUYỂN DỤNG ĐÃ XEM QUA CV CỦA TÔI.</w:t>
            </w:r>
          </w:p>
        </w:tc>
      </w:tr>
    </w:tbl>
    <w:p w:rsidR="00A74EAE" w:rsidRPr="00817A44" w:rsidRDefault="00A74EAE" w:rsidP="000302D4">
      <w:pPr>
        <w:jc w:val="both"/>
        <w:rPr>
          <w:rFonts w:ascii="Arial" w:hAnsi="Arial" w:cs="Arial"/>
          <w:color w:val="42AE4C"/>
          <w:sz w:val="26"/>
          <w:szCs w:val="26"/>
        </w:rPr>
      </w:pPr>
    </w:p>
    <w:sectPr w:rsidR="00A74EAE" w:rsidRPr="00817A44" w:rsidSect="000154D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67594"/>
    <w:multiLevelType w:val="hybridMultilevel"/>
    <w:tmpl w:val="E6B8A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906ACD"/>
    <w:multiLevelType w:val="hybridMultilevel"/>
    <w:tmpl w:val="076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441F84"/>
    <w:multiLevelType w:val="hybridMultilevel"/>
    <w:tmpl w:val="917A8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71723"/>
    <w:multiLevelType w:val="hybridMultilevel"/>
    <w:tmpl w:val="01DEFA9A"/>
    <w:lvl w:ilvl="0" w:tplc="A6F475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74EAE"/>
    <w:rsid w:val="000065DC"/>
    <w:rsid w:val="000154D0"/>
    <w:rsid w:val="000302D4"/>
    <w:rsid w:val="00075533"/>
    <w:rsid w:val="00080149"/>
    <w:rsid w:val="000838C7"/>
    <w:rsid w:val="00087D97"/>
    <w:rsid w:val="000969E2"/>
    <w:rsid w:val="000C5794"/>
    <w:rsid w:val="000C79E9"/>
    <w:rsid w:val="000F0B03"/>
    <w:rsid w:val="00100F31"/>
    <w:rsid w:val="001014EC"/>
    <w:rsid w:val="00127989"/>
    <w:rsid w:val="00166E8A"/>
    <w:rsid w:val="00196B50"/>
    <w:rsid w:val="001B491D"/>
    <w:rsid w:val="001C3F69"/>
    <w:rsid w:val="001C4006"/>
    <w:rsid w:val="001C70EB"/>
    <w:rsid w:val="002249AF"/>
    <w:rsid w:val="00231971"/>
    <w:rsid w:val="00240DEB"/>
    <w:rsid w:val="00241356"/>
    <w:rsid w:val="002426EA"/>
    <w:rsid w:val="00243F44"/>
    <w:rsid w:val="00247E70"/>
    <w:rsid w:val="00260F82"/>
    <w:rsid w:val="002624AF"/>
    <w:rsid w:val="00271F3F"/>
    <w:rsid w:val="00283EED"/>
    <w:rsid w:val="002953BF"/>
    <w:rsid w:val="002A2638"/>
    <w:rsid w:val="002C095D"/>
    <w:rsid w:val="00300A85"/>
    <w:rsid w:val="00310994"/>
    <w:rsid w:val="00320F80"/>
    <w:rsid w:val="00356712"/>
    <w:rsid w:val="003634D9"/>
    <w:rsid w:val="00367AF3"/>
    <w:rsid w:val="003D0A5C"/>
    <w:rsid w:val="003D2874"/>
    <w:rsid w:val="00414770"/>
    <w:rsid w:val="00472AB7"/>
    <w:rsid w:val="00484398"/>
    <w:rsid w:val="004F0DDF"/>
    <w:rsid w:val="004F2E2B"/>
    <w:rsid w:val="00514B4C"/>
    <w:rsid w:val="00564394"/>
    <w:rsid w:val="00564F23"/>
    <w:rsid w:val="0057239A"/>
    <w:rsid w:val="005B1253"/>
    <w:rsid w:val="005E5D18"/>
    <w:rsid w:val="00622A22"/>
    <w:rsid w:val="006328D6"/>
    <w:rsid w:val="00647A67"/>
    <w:rsid w:val="00655A86"/>
    <w:rsid w:val="006775D2"/>
    <w:rsid w:val="006B3633"/>
    <w:rsid w:val="006B5B0C"/>
    <w:rsid w:val="006D1047"/>
    <w:rsid w:val="006D7803"/>
    <w:rsid w:val="00731101"/>
    <w:rsid w:val="00732134"/>
    <w:rsid w:val="00741327"/>
    <w:rsid w:val="00743EBE"/>
    <w:rsid w:val="00745F7D"/>
    <w:rsid w:val="00753226"/>
    <w:rsid w:val="00761978"/>
    <w:rsid w:val="00786BFB"/>
    <w:rsid w:val="00790B0C"/>
    <w:rsid w:val="007A3A85"/>
    <w:rsid w:val="007B56B4"/>
    <w:rsid w:val="007D0BF4"/>
    <w:rsid w:val="007E1F16"/>
    <w:rsid w:val="007F4CCC"/>
    <w:rsid w:val="008037AA"/>
    <w:rsid w:val="00804F43"/>
    <w:rsid w:val="00817A44"/>
    <w:rsid w:val="00820B80"/>
    <w:rsid w:val="008353DE"/>
    <w:rsid w:val="00840C97"/>
    <w:rsid w:val="00861914"/>
    <w:rsid w:val="00861BE3"/>
    <w:rsid w:val="008C3231"/>
    <w:rsid w:val="008C5DF7"/>
    <w:rsid w:val="008E0537"/>
    <w:rsid w:val="008F1040"/>
    <w:rsid w:val="00921E09"/>
    <w:rsid w:val="00946699"/>
    <w:rsid w:val="009828CA"/>
    <w:rsid w:val="009B40B2"/>
    <w:rsid w:val="009E4B6B"/>
    <w:rsid w:val="009E7B81"/>
    <w:rsid w:val="00A51803"/>
    <w:rsid w:val="00A5574B"/>
    <w:rsid w:val="00A6153E"/>
    <w:rsid w:val="00A74EAE"/>
    <w:rsid w:val="00AA54C7"/>
    <w:rsid w:val="00AC0E88"/>
    <w:rsid w:val="00AF14F7"/>
    <w:rsid w:val="00B10173"/>
    <w:rsid w:val="00B36B7B"/>
    <w:rsid w:val="00B53BE6"/>
    <w:rsid w:val="00B53F13"/>
    <w:rsid w:val="00B56B6F"/>
    <w:rsid w:val="00B6006F"/>
    <w:rsid w:val="00B83F63"/>
    <w:rsid w:val="00B964F1"/>
    <w:rsid w:val="00BD0948"/>
    <w:rsid w:val="00BE5BE5"/>
    <w:rsid w:val="00BF0A47"/>
    <w:rsid w:val="00C33B0E"/>
    <w:rsid w:val="00C36815"/>
    <w:rsid w:val="00C41011"/>
    <w:rsid w:val="00C44555"/>
    <w:rsid w:val="00C5349C"/>
    <w:rsid w:val="00C73836"/>
    <w:rsid w:val="00CD20B3"/>
    <w:rsid w:val="00CE4371"/>
    <w:rsid w:val="00CE62C3"/>
    <w:rsid w:val="00CF1C6F"/>
    <w:rsid w:val="00CF28C8"/>
    <w:rsid w:val="00CF6179"/>
    <w:rsid w:val="00D10EED"/>
    <w:rsid w:val="00D26EB4"/>
    <w:rsid w:val="00D62C76"/>
    <w:rsid w:val="00D734E1"/>
    <w:rsid w:val="00D87B96"/>
    <w:rsid w:val="00D90A2F"/>
    <w:rsid w:val="00DA631C"/>
    <w:rsid w:val="00DD646B"/>
    <w:rsid w:val="00DE4647"/>
    <w:rsid w:val="00DF0C7E"/>
    <w:rsid w:val="00DF393F"/>
    <w:rsid w:val="00E53AC4"/>
    <w:rsid w:val="00E625C2"/>
    <w:rsid w:val="00E743F8"/>
    <w:rsid w:val="00E97A8C"/>
    <w:rsid w:val="00EC1984"/>
    <w:rsid w:val="00EF4DB5"/>
    <w:rsid w:val="00F07DDF"/>
    <w:rsid w:val="00F2114E"/>
    <w:rsid w:val="00F45118"/>
    <w:rsid w:val="00F70D1E"/>
    <w:rsid w:val="00FB18F3"/>
    <w:rsid w:val="00FF61AB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74EAE"/>
  </w:style>
  <w:style w:type="paragraph" w:styleId="BalloonText">
    <w:name w:val="Balloon Text"/>
    <w:basedOn w:val="Normal"/>
    <w:link w:val="BalloonTextChar"/>
    <w:uiPriority w:val="99"/>
    <w:semiHidden/>
    <w:unhideWhenUsed/>
    <w:rsid w:val="00946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9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6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DEE92-FECE-4CCC-8157-CF1369EE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22</cp:revision>
  <cp:lastPrinted>2001-12-31T18:08:00Z</cp:lastPrinted>
  <dcterms:created xsi:type="dcterms:W3CDTF">2018-07-07T03:18:00Z</dcterms:created>
  <dcterms:modified xsi:type="dcterms:W3CDTF">2018-12-27T07:37:00Z</dcterms:modified>
</cp:coreProperties>
</file>