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11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70"/>
        <w:gridCol w:w="2452"/>
        <w:gridCol w:w="282"/>
        <w:gridCol w:w="1700"/>
        <w:gridCol w:w="6094"/>
      </w:tblGrid>
      <w:tr>
        <w:tblPrEx>
          <w:shd w:val="clear" w:color="auto" w:fill="d0ddef"/>
        </w:tblPrEx>
        <w:trPr>
          <w:trHeight w:val="227" w:hRule="atLeast"/>
        </w:trPr>
        <w:tc>
          <w:tcPr>
            <w:tcW w:type="dxa" w:w="3122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drawing>
                <wp:inline distT="0" distB="0" distL="0" distR="0">
                  <wp:extent cx="1443907" cy="1083335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SubstandardFullSizeRender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07" cy="108333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spacing w:before="120"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spacing w:before="120"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>
            <w:pPr>
              <w:pStyle w:val="Body"/>
              <w:bidi w:val="0"/>
              <w:spacing w:before="120"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NGUYEN THI THUY LUYEN</w:t>
            </w:r>
          </w:p>
          <w:p>
            <w:pPr>
              <w:pStyle w:val="Body"/>
              <w:bidi w:val="0"/>
              <w:spacing w:before="120"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z w:val="24"/>
                <w:szCs w:val="24"/>
                <w:rtl w:val="0"/>
                <w:lang w:val="en-US"/>
              </w:rPr>
              <w:t>Pharmacist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i w:val="1"/>
                <w:iCs w:val="1"/>
                <w:sz w:val="24"/>
                <w:szCs w:val="24"/>
              </w:rPr>
            </w:r>
          </w:p>
        </w:tc>
        <w:tc>
          <w:tcPr>
            <w:tcW w:type="dxa" w:w="2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94"/>
            <w:gridSpan w:val="2"/>
            <w:tcBorders>
              <w:top w:val="nil"/>
              <w:left w:val="nil"/>
              <w:bottom w:val="single" w:color="0070c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0" w:line="240" w:lineRule="auto"/>
              <w:jc w:val="both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WORK EXPERIENCE</w:t>
            </w:r>
          </w:p>
        </w:tc>
      </w:tr>
      <w:tr>
        <w:tblPrEx>
          <w:shd w:val="clear" w:color="auto" w:fill="d0ddef"/>
        </w:tblPrEx>
        <w:trPr>
          <w:trHeight w:val="217" w:hRule="atLeast"/>
        </w:trPr>
        <w:tc>
          <w:tcPr>
            <w:tcW w:type="dxa" w:w="3122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/>
        </w:tc>
        <w:tc>
          <w:tcPr>
            <w:tcW w:type="dxa" w:w="2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94"/>
            <w:gridSpan w:val="2"/>
            <w:vMerge w:val="restart"/>
            <w:tcBorders>
              <w:top w:val="single" w:color="0070c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Regulatory Affairs Assistant 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Roche Diagnostics Vietnam</w:t>
            </w:r>
          </w:p>
          <w:p>
            <w:pPr>
              <w:pStyle w:val="Body"/>
              <w:bidi w:val="0"/>
              <w:spacing w:before="120"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0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/20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08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to present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12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Prepare registration dossiers of the in-vitro diagnostics medical for submission according to the Circular No.36 of Vietnam Ministry of Health.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12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Source for documentary from manufacturers and ask them to rearrange the dossier in proper manner to get complete registration dossiers.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12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Translate the Instruction for use into Vietnamese.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12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After submitting, keep track of the dossier status until regulatory clearance is obtained.</w:t>
            </w:r>
          </w:p>
          <w:p>
            <w:pPr>
              <w:pStyle w:val="List Paragraph"/>
              <w:bidi w:val="0"/>
              <w:spacing w:before="120"/>
              <w:ind w:left="0" w:right="0" w:firstLine="0"/>
              <w:jc w:val="both"/>
              <w:rPr>
                <w:sz w:val="20"/>
                <w:szCs w:val="20"/>
                <w:u w:val="single"/>
                <w:rtl w:val="0"/>
              </w:rPr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Achievement</w:t>
            </w:r>
            <w:r>
              <w:rPr>
                <w:sz w:val="20"/>
                <w:szCs w:val="20"/>
                <w:u w:val="none"/>
                <w:rtl w:val="0"/>
                <w:lang w:val="en-US"/>
              </w:rPr>
              <w:t xml:space="preserve">: Fluent in RA policies and working structure of Regulatory. Responsible to full preparation of 10 IVD test kit dossier submisions and got 6 licenses for systems. </w:t>
            </w:r>
          </w:p>
          <w:p>
            <w:pPr>
              <w:pStyle w:val="Body"/>
              <w:bidi w:val="0"/>
              <w:spacing w:before="120"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Claim Officer - Pacific Cross Vietnam</w:t>
            </w:r>
          </w:p>
          <w:p>
            <w:pPr>
              <w:pStyle w:val="Body"/>
              <w:bidi w:val="0"/>
              <w:spacing w:before="120"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12/2014 to 06/2017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12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Investigate and monitor the process of health insurance claims, ensuring fair settlement of claims.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12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Handle customer complaints associated with claim results.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12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Contact trades with hospitals or clinics from our direct billing network to collect accurate information and document.</w:t>
            </w:r>
          </w:p>
          <w:p>
            <w:pPr>
              <w:pStyle w:val="Body"/>
              <w:bidi w:val="0"/>
              <w:spacing w:before="120"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  <w:rtl w:val="0"/>
                <w:lang w:val="en-US"/>
              </w:rPr>
              <w:t>Achievement: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Superb data entry skills with high accurateness and skill at negotiation.</w:t>
            </w:r>
          </w:p>
          <w:p>
            <w:pPr>
              <w:pStyle w:val="Body"/>
              <w:bidi w:val="0"/>
              <w:spacing w:before="120"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Technologist Assistant - Vietnam Brewery Limited (Heineken)</w:t>
            </w:r>
          </w:p>
          <w:p>
            <w:pPr>
              <w:pStyle w:val="Body"/>
              <w:bidi w:val="0"/>
              <w:spacing w:before="120"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07/2011 to 04/2013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12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Follow up process, responsible to support Brewing Department in adjusting parameters in beer, especially woking on GC instrument.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12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Collect data  in system and analyze for supporting  to control the quality of  beer product through beer fermentation process.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before="12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Being proficient in physical chemical analysis through spectrographic techniques.</w:t>
            </w:r>
          </w:p>
          <w:p>
            <w:pPr>
              <w:pStyle w:val="List Paragraph"/>
              <w:bidi w:val="0"/>
              <w:spacing w:before="12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u w:val="single"/>
                <w:rtl w:val="0"/>
                <w:lang w:val="en-US"/>
              </w:rPr>
              <w:t>Achievement</w:t>
            </w:r>
            <w:r>
              <w:rPr>
                <w:sz w:val="20"/>
                <w:szCs w:val="20"/>
                <w:rtl w:val="0"/>
                <w:lang w:val="en-US"/>
              </w:rPr>
              <w:t>: Be fluent of laboratory equiqment and manufacturing process</w:t>
            </w:r>
          </w:p>
        </w:tc>
      </w:tr>
      <w:tr>
        <w:tblPrEx>
          <w:shd w:val="clear" w:color="auto" w:fill="d0ddef"/>
        </w:tblPrEx>
        <w:trPr>
          <w:trHeight w:val="212" w:hRule="atLeast"/>
        </w:trPr>
        <w:tc>
          <w:tcPr>
            <w:tcW w:type="dxa" w:w="3122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/>
        </w:tc>
        <w:tc>
          <w:tcPr>
            <w:tcW w:type="dxa" w:w="2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94"/>
            <w:gridSpan w:val="2"/>
            <w:vMerge w:val="continue"/>
            <w:tcBorders>
              <w:top w:val="single" w:color="0070c0" w:sz="4" w:space="0" w:shadow="0" w:frame="0"/>
              <w:left w:val="nil"/>
              <w:bottom w:val="nil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362" w:hRule="atLeast"/>
        </w:trPr>
        <w:tc>
          <w:tcPr>
            <w:tcW w:type="dxa" w:w="3122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/>
        </w:tc>
        <w:tc>
          <w:tcPr>
            <w:tcW w:type="dxa" w:w="28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94"/>
            <w:gridSpan w:val="2"/>
            <w:vMerge w:val="continue"/>
            <w:tcBorders>
              <w:top w:val="single" w:color="0070c0" w:sz="4" w:space="0" w:shadow="0" w:frame="0"/>
              <w:left w:val="nil"/>
              <w:bottom w:val="nil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5000" w:hRule="atLeast"/>
        </w:trPr>
        <w:tc>
          <w:tcPr>
            <w:tcW w:type="dxa" w:w="3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0" w:line="240" w:lineRule="auto"/>
              <w:jc w:val="both"/>
              <w:rPr>
                <w:rFonts w:ascii="Times New Roman" w:cs="Times New Roman" w:hAnsi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OBJECTIVE</w:t>
            </w:r>
          </w:p>
          <w:p>
            <w:pPr>
              <w:pStyle w:val="Body"/>
              <w:bidi w:val="0"/>
              <w:spacing w:before="120"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To obtain a fulfilling position as a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Pharmacy job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in a reputatble company where I can utilize my medical knowledge and strengths to devote myself to the company success.</w:t>
            </w:r>
          </w:p>
        </w:tc>
        <w:tc>
          <w:tcPr>
            <w:tcW w:type="dxa" w:w="28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794"/>
            <w:gridSpan w:val="2"/>
            <w:vMerge w:val="continue"/>
            <w:tcBorders>
              <w:top w:val="single" w:color="0070c0" w:sz="4" w:space="0" w:shadow="0" w:frame="0"/>
              <w:left w:val="nil"/>
              <w:bottom w:val="nil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32" w:hRule="atLeast"/>
        </w:trPr>
        <w:tc>
          <w:tcPr>
            <w:tcW w:type="dxa" w:w="3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94"/>
            <w:gridSpan w:val="2"/>
            <w:tcBorders>
              <w:top w:val="nil"/>
              <w:left w:val="nil"/>
              <w:bottom w:val="single" w:color="0070c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0" w:line="240" w:lineRule="auto"/>
              <w:jc w:val="both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EDUCATION</w:t>
            </w:r>
          </w:p>
        </w:tc>
      </w:tr>
      <w:tr>
        <w:tblPrEx>
          <w:shd w:val="clear" w:color="auto" w:fill="d0ddef"/>
        </w:tblPrEx>
        <w:trPr>
          <w:trHeight w:val="572" w:hRule="atLeast"/>
        </w:trPr>
        <w:tc>
          <w:tcPr>
            <w:tcW w:type="dxa" w:w="3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9"/>
            <w:tcBorders>
              <w:top w:val="single" w:color="0070c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052"/>
              </w:tabs>
              <w:spacing w:before="120"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11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/2017:</w:t>
            </w:r>
          </w:p>
        </w:tc>
        <w:tc>
          <w:tcPr>
            <w:tcW w:type="dxa" w:w="6094"/>
            <w:tcBorders>
              <w:top w:val="single" w:color="0070c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052"/>
              </w:tabs>
              <w:spacing w:before="120"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HCMC University of Medicine and Pharmacy</w:t>
            </w:r>
          </w:p>
          <w:p>
            <w:pPr>
              <w:pStyle w:val="Body"/>
              <w:tabs>
                <w:tab w:val="left" w:pos="2862"/>
              </w:tabs>
              <w:bidi w:val="0"/>
              <w:spacing w:before="120"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Faculty of Pharmacy</w:t>
            </w:r>
          </w:p>
        </w:tc>
      </w:tr>
      <w:tr>
        <w:tblPrEx>
          <w:shd w:val="clear" w:color="auto" w:fill="d0ddef"/>
        </w:tblPrEx>
        <w:trPr>
          <w:trHeight w:val="572" w:hRule="atLeast"/>
        </w:trPr>
        <w:tc>
          <w:tcPr>
            <w:tcW w:type="dxa" w:w="3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052"/>
              </w:tabs>
              <w:spacing w:before="120"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11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/ 201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60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2052"/>
              </w:tabs>
              <w:spacing w:before="120"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HCMC University of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Science</w:t>
            </w:r>
          </w:p>
          <w:p>
            <w:pPr>
              <w:pStyle w:val="Body"/>
              <w:tabs>
                <w:tab w:val="left" w:pos="2862"/>
              </w:tabs>
              <w:bidi w:val="0"/>
              <w:spacing w:before="120"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Faculty of  Chemi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stry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3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94"/>
            <w:gridSpan w:val="2"/>
            <w:tcBorders>
              <w:top w:val="nil"/>
              <w:left w:val="nil"/>
              <w:bottom w:val="single" w:color="0070c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before="120"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PERSONAL SKILLS</w:t>
            </w:r>
          </w:p>
        </w:tc>
      </w:tr>
      <w:tr>
        <w:tblPrEx>
          <w:shd w:val="clear" w:color="auto" w:fill="d0ddef"/>
        </w:tblPrEx>
        <w:trPr>
          <w:trHeight w:val="232" w:hRule="atLeast"/>
        </w:trPr>
        <w:tc>
          <w:tcPr>
            <w:tcW w:type="dxa" w:w="312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35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94"/>
            <w:gridSpan w:val="2"/>
            <w:vMerge w:val="restart"/>
            <w:tcBorders>
              <w:top w:val="single" w:color="0070c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spacing w:before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Fluently in English (equalevant TOIEC 750)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before="6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Good at PC skill (Word, Excel, Acrobat, PowerPoint)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before="6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Quick learning ability and good decision making skill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before="6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Communication skills and deal with people often in difficult circumstance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before="6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Able to work under pressure and to strict deadlines</w:t>
            </w:r>
          </w:p>
        </w:tc>
      </w:tr>
      <w:tr>
        <w:tblPrEx>
          <w:shd w:val="clear" w:color="auto" w:fill="d0ddef"/>
        </w:tblPrEx>
        <w:trPr>
          <w:trHeight w:val="960" w:hRule="atLeast"/>
        </w:trPr>
        <w:tc>
          <w:tcPr>
            <w:tcW w:type="dxa" w:w="670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52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before="120"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22/26/21/22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Nguyen Duy Trinh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Street,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Phu Huu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W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ard,  District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9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HCMC</w:t>
            </w:r>
          </w:p>
        </w:tc>
        <w:tc>
          <w:tcPr>
            <w:tcW w:type="dxa" w:w="2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35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94"/>
            <w:gridSpan w:val="2"/>
            <w:vMerge w:val="continue"/>
            <w:tcBorders>
              <w:top w:val="single" w:color="0070c0" w:sz="4" w:space="0" w:shadow="0" w:frame="0"/>
              <w:left w:val="nil"/>
              <w:bottom w:val="nil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70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52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0" w:line="240" w:lineRule="auto"/>
            </w:pPr>
            <w:r>
              <w:rPr>
                <w:rStyle w:val="Hyperlink.0"/>
                <w:rFonts w:ascii="Times New Roman" w:cs="Times New Roman" w:hAnsi="Times New Roman" w:eastAsia="Times New Roman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0"/>
                <w:szCs w:val="20"/>
              </w:rPr>
              <w:instrText xml:space="preserve"> HYPERLINK "mailto:nttluyen@hcmus.edu.vn"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0"/>
                <w:szCs w:val="20"/>
                <w:rtl w:val="0"/>
                <w:lang w:val="en-US"/>
              </w:rPr>
              <w:t>nttluyen@hcmus.edu.vn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2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35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94"/>
            <w:gridSpan w:val="2"/>
            <w:tcBorders>
              <w:top w:val="nil"/>
              <w:left w:val="nil"/>
              <w:bottom w:val="single" w:color="0070c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tabs>
                <w:tab w:val="left" w:pos="357"/>
                <w:tab w:val="left" w:pos="641"/>
              </w:tabs>
              <w:spacing w:before="120"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HOBIES AND INTERESTES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670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52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35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94"/>
            <w:gridSpan w:val="2"/>
            <w:vMerge w:val="restart"/>
            <w:tcBorders>
              <w:top w:val="single" w:color="0070c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spacing w:before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Reading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before="60"/>
              <w:ind w:right="0"/>
              <w:jc w:val="both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</w:rPr>
              <w:t>Cooking</w:t>
            </w:r>
          </w:p>
        </w:tc>
      </w:tr>
      <w:tr>
        <w:tblPrEx>
          <w:shd w:val="clear" w:color="auto" w:fill="d0ddef"/>
        </w:tblPrEx>
        <w:trPr>
          <w:trHeight w:val="539" w:hRule="atLeast"/>
        </w:trPr>
        <w:tc>
          <w:tcPr>
            <w:tcW w:type="dxa" w:w="670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52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35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94"/>
            <w:gridSpan w:val="2"/>
            <w:vMerge w:val="continue"/>
            <w:tcBorders>
              <w:top w:val="single" w:color="0070c0" w:sz="4" w:space="0" w:shadow="0" w:frame="0"/>
              <w:left w:val="nil"/>
              <w:bottom w:val="nil"/>
              <w:right w:val="nil"/>
            </w:tcBorders>
            <w:shd w:val="clear" w:color="auto" w:fill="auto"/>
          </w:tcPr>
          <w:p/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5"/>
      <w:footerReference w:type="default" r:id="rId6"/>
      <w:pgSz w:w="12240" w:h="15840" w:orient="portrait"/>
      <w:pgMar w:top="284" w:right="616" w:bottom="284" w:left="42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587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0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47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07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584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0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2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44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6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8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04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2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4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584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0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2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44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6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8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04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2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4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