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3366"/>
          <w:sz w:val="48"/>
        </w:rPr>
        <w:t>EXPEDIENTE TÉCNICO DEFINITIVO DE OBRA</w:t>
      </w:r>
    </w:p>
    <w:p>
      <w:r>
        <w:br/>
      </w:r>
    </w:p>
    <w:p>
      <w:pPr>
        <w:jc w:val="center"/>
      </w:pPr>
      <w:r>
        <w:rPr>
          <w:b/>
          <w:color w:val="003366"/>
          <w:sz w:val="48"/>
        </w:rPr>
        <w:t>"CREACIÓN DEL SERVICIO DE TRANSITABILIDAD TURÍSTICA NO MOTORIZADA: CICLOVÍA DEL MAÍZ EN EL VALLE SAGRADO DE LOS INCAS"</w:t>
      </w:r>
    </w:p>
    <w:p>
      <w:r>
        <w:br/>
      </w:r>
    </w:p>
    <w:p>
      <w:pPr>
        <w:jc w:val="center"/>
      </w:pPr>
      <w:r>
        <w:rPr>
          <w:b/>
          <w:sz w:val="28"/>
        </w:rPr>
        <w:br/>
        <w:br/>
        <w:br/>
        <w:t>FASE: EJECUCIÓN (INVIERTE.PE)</w:t>
        <w:br/>
        <w:t>CÓDIGO ÚNICO DE INVERSIÓN (CUI): 2459871</w:t>
        <w:br/>
        <w:t>UBICACIÓN: CUSCO - CALCA / URUBAMBA</w:t>
        <w:br/>
        <w:t>ENTE RECTOR: MINCETUR / GERCETUR CUSCO</w:t>
        <w:br/>
        <w:br/>
        <w:t>VOLUMEN I: INGENIERÍA Y ESPECIFICACIONES TÉCNICAS</w:t>
      </w:r>
    </w:p>
    <w:p>
      <w:r>
        <w:br w:type="page"/>
      </w:r>
    </w:p>
    <w:p>
      <w:pPr>
        <w:pStyle w:val="Heading1"/>
      </w:pPr>
      <w:r>
        <w:rPr>
          <w:color w:val="003366"/>
          <w:sz w:val="36"/>
        </w:rPr>
        <w:t>CAPÍTULO I: MEMORIA DESCRIPTIVA GENERAL</w:t>
      </w:r>
    </w:p>
    <w:p>
      <w:pPr>
        <w:pStyle w:val="Heading2"/>
      </w:pPr>
      <w:r>
        <w:rPr>
          <w:color w:val="006699"/>
          <w:sz w:val="28"/>
        </w:rPr>
        <w:t>1.1. Introducción y Antecedentes</w:t>
      </w:r>
    </w:p>
    <w:p>
      <w:pPr>
        <w:jc w:val="both"/>
      </w:pPr>
      <w:r>
        <w:rPr>
          <w:rFonts w:ascii="Arial" w:hAnsi="Arial"/>
          <w:sz w:val="22"/>
        </w:rPr>
        <w:t>El presente Expediente Técnico Definitivo corresponde al proyecto de Inversión Pública formulado en el marco del Sistema Nacional de Programación Multianual y Gestión de Inversiones (Invierte.pe). Responde a la necesidad urgente de dotar al Valle Sagrado de los Incas de una infraestructura de movilidad no motorizada que ordene el flujo agroturístico, reduzca la accidentabilidad en la vía asfaltada actual y ponga en valor los paisajes agrícolas tradicionales, en estricto cumplimiento de la Ley General de Turismo N° 32392 y los lineamientos del PENTUR.</w:t>
      </w:r>
    </w:p>
    <w:p>
      <w:pPr>
        <w:pStyle w:val="Heading2"/>
      </w:pPr>
      <w:r>
        <w:rPr>
          <w:color w:val="006699"/>
          <w:sz w:val="28"/>
        </w:rPr>
        <w:t>1.2. Ubicación del Proyecto</w:t>
      </w:r>
    </w:p>
    <w:p>
      <w:pPr>
        <w:jc w:val="both"/>
      </w:pPr>
      <w:r>
        <w:rPr>
          <w:rFonts w:ascii="Arial" w:hAnsi="Arial"/>
          <w:sz w:val="22"/>
        </w:rPr>
        <w:t>Región: Cusco.</w:t>
        <w:br/>
        <w:t>Provincias: Calca y Urubamba.</w:t>
        <w:br/>
        <w:t>Distritos: Taray, Pisac, Calca, Yucay, Urubamba.</w:t>
        <w:br/>
        <w:t>Coordenadas de Inicio: UTM WGS84 Zona 19S (E: 814500, N: 8512300).</w:t>
        <w:br/>
        <w:t>Coordenadas de Fin: UTM WGS84 Zona 19S (E: 798400, N: 8521000).</w:t>
      </w:r>
    </w:p>
    <w:p>
      <w:pPr>
        <w:pStyle w:val="Heading2"/>
      </w:pPr>
      <w:r>
        <w:rPr>
          <w:color w:val="006699"/>
          <w:sz w:val="28"/>
        </w:rPr>
        <w:t>1.3. Objetivos</w:t>
      </w:r>
    </w:p>
    <w:p>
      <w:pPr>
        <w:jc w:val="both"/>
      </w:pPr>
      <w:r>
        <w:rPr>
          <w:rFonts w:ascii="Arial" w:hAnsi="Arial"/>
          <w:sz w:val="22"/>
        </w:rPr>
        <w:t xml:space="preserve">Objetivo Central: Adecuada transitabilidad turística y recreativa no motorizada en el corredor del Valle Sagrado. </w:t>
        <w:br/>
        <w:t>Objetivos Específicos: a) Construir 18.5 km de ciclovía con afirmado estabilizado. b) Implementar mobiliario turístico (miradores, descansos). c) Garantizar la mitigación de impactos ambientales en la faja marginal del Río Vilcanota. d) Integrar económicamente a las comunidades campesinas aledañas.</w:t>
      </w:r>
    </w:p>
    <w:p>
      <w:pPr>
        <w:pStyle w:val="Heading2"/>
      </w:pPr>
      <w:r>
        <w:rPr>
          <w:color w:val="006699"/>
          <w:sz w:val="28"/>
        </w:rPr>
        <w:t>1.4. Descripción Técnica del Proyecto</w:t>
      </w:r>
    </w:p>
    <w:p>
      <w:pPr>
        <w:jc w:val="both"/>
      </w:pPr>
      <w:r>
        <w:rPr>
          <w:rFonts w:ascii="Arial" w:hAnsi="Arial"/>
          <w:sz w:val="22"/>
        </w:rPr>
        <w:t>El trazo de la Ciclovía del Maíz se desarrolla paralelo a la margen derecha del Río Vilcanota, evitando cruces vehiculares a nivel. La sección transversal típica consta de un ancho de rodadura de 2.50 m, bermas laterales de 0.50 m, y cunetas triangulares de drenaje pluvial. La estructura del pavimento está conformada por una subrasante compactada al 95% de su Máxima Densidad Seca (MDS) según el ensayo Proctor Modificado, sobre la cual se colocará una capa de afirmado estabilizado con polímeros ecológicos de 0.20 m de espesor, garantizando la integración paisajística y evitando la contaminación por asfalto tradicional.</w:t>
      </w:r>
    </w:p>
    <w:p>
      <w:pPr>
        <w:pStyle w:val="Heading2"/>
      </w:pPr>
      <w:r>
        <w:rPr>
          <w:color w:val="006699"/>
          <w:sz w:val="28"/>
        </w:rPr>
        <w:t>1.5. Plazo y Presupuesto de Ejecución</w:t>
      </w:r>
    </w:p>
    <w:p>
      <w:pPr>
        <w:jc w:val="both"/>
      </w:pPr>
      <w:r>
        <w:rPr>
          <w:rFonts w:ascii="Arial" w:hAnsi="Arial"/>
          <w:sz w:val="22"/>
        </w:rPr>
        <w:t>Plazo de Ejecución: 240 días calendario (8 meses).</w:t>
        <w:br/>
        <w:t>Modalidad de Ejecución: Administración Indirecta (Por Contrata).</w:t>
        <w:br/>
        <w:t>Presupuesto Base: S/ 16,924,622.00 (Incluye IGV). Costo a Precios de Mercado con fecha base de formulación Julio 2026.</w:t>
      </w:r>
    </w:p>
    <w:p>
      <w:r>
        <w:br w:type="page"/>
      </w:r>
    </w:p>
    <w:p>
      <w:pPr>
        <w:pStyle w:val="Heading1"/>
      </w:pPr>
      <w:r>
        <w:rPr>
          <w:color w:val="003366"/>
          <w:sz w:val="36"/>
        </w:rPr>
        <w:t>CAPÍTULO II: ESPECIFICACIONES TÉCNICAS EXHAUSTIVAS</w:t>
      </w:r>
    </w:p>
    <w:p>
      <w:pPr>
        <w:jc w:val="both"/>
      </w:pPr>
      <w:r>
        <w:rPr>
          <w:rFonts w:ascii="Arial" w:hAnsi="Arial"/>
          <w:sz w:val="22"/>
        </w:rPr>
        <w:t>Las presentes Especificaciones Técnicas contienen las condiciones bajo las cuales el Contratista deberá ejecutar la obra. Son complementarias a los Planos y a la Memoria Descriptiva. Cualquier omisión será resuelta de acuerdo a los Reglamentos Nacionales vigentes (RNE, Manuales MTC, Normas Técnicas Peruanas NTP).</w:t>
      </w:r>
    </w:p>
    <w:p>
      <w:pPr>
        <w:pStyle w:val="Heading2"/>
      </w:pPr>
      <w:r>
        <w:rPr>
          <w:color w:val="006699"/>
          <w:sz w:val="28"/>
        </w:rPr>
        <w:t>PARTIDA 01: 01. OBRAS PROVISIONALES Y TRABAJOS PRELIMINARES</w:t>
      </w:r>
    </w:p>
    <w:p>
      <w:pPr>
        <w:jc w:val="both"/>
      </w:pPr>
      <w:r>
        <w:rPr>
          <w:rFonts w:ascii="Arial" w:hAnsi="Arial"/>
          <w:sz w:val="22"/>
        </w:rPr>
        <w:t>Descripción general de la partida: Campamento, Movilización de equipos, trazo y replanteo topográfico.</w:t>
      </w:r>
    </w:p>
    <w:p>
      <w:pPr>
        <w:pStyle w:val="Heading3"/>
      </w:pPr>
      <w:r>
        <w:rPr>
          <w:color w:val="006699"/>
          <w:sz w:val="24"/>
        </w:rPr>
        <w:t>01.01. ESPECIFICACIÓN DETALLADA COMPONENTE 1</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01.02. ESPECIFICACIÓN DETALLADA COMPONENTE 2</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01.03. ESPECIFICACIÓN DETALLADA COMPONENTE 3</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01.04. ESPECIFICACIÓN DETALLADA COMPONENTE 4</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01.05. ESPECIFICACIÓN DETALLADA COMPONENTE 5</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01.06. ESPECIFICACIÓN DETALLADA COMPONENTE 6</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01.07. ESPECIFICACIÓN DETALLADA COMPONENTE 7</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01.08. ESPECIFICACIÓN DETALLADA COMPONENTE 8</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01.09. ESPECIFICACIÓN DETALLADA COMPONENTE 9</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01.10. ESPECIFICACIÓN DETALLADA COMPONENTE 10</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2"/>
      </w:pPr>
      <w:r>
        <w:rPr>
          <w:color w:val="006699"/>
          <w:sz w:val="28"/>
        </w:rPr>
        <w:t>PARTIDA 02: 02. SEGURIDAD Y SALUD EN EL TRABAJO</w:t>
      </w:r>
    </w:p>
    <w:p>
      <w:pPr>
        <w:jc w:val="both"/>
      </w:pPr>
      <w:r>
        <w:rPr>
          <w:rFonts w:ascii="Arial" w:hAnsi="Arial"/>
          <w:sz w:val="22"/>
        </w:rPr>
        <w:t>Descripción general de la partida: Implementación del Plan de Seguridad y Salud, Equipos de Protección Personal (EPP), Señalización temporal de obra según Norma G.050.</w:t>
      </w:r>
    </w:p>
    <w:p>
      <w:pPr>
        <w:pStyle w:val="Heading3"/>
      </w:pPr>
      <w:r>
        <w:rPr>
          <w:color w:val="006699"/>
          <w:sz w:val="24"/>
        </w:rPr>
        <w:t>02.01. ESPECIFICACIÓN DETALLADA COMPONENTE 1</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02.02. ESPECIFICACIÓN DETALLADA COMPONENTE 2</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02.03. ESPECIFICACIÓN DETALLADA COMPONENTE 3</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02.04. ESPECIFICACIÓN DETALLADA COMPONENTE 4</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02.05. ESPECIFICACIÓN DETALLADA COMPONENTE 5</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02.06. ESPECIFICACIÓN DETALLADA COMPONENTE 6</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02.07. ESPECIFICACIÓN DETALLADA COMPONENTE 7</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02.08. ESPECIFICACIÓN DETALLADA COMPONENTE 8</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02.09. ESPECIFICACIÓN DETALLADA COMPONENTE 9</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02.10. ESPECIFICACIÓN DETALLADA COMPONENTE 10</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2"/>
      </w:pPr>
      <w:r>
        <w:rPr>
          <w:color w:val="006699"/>
          <w:sz w:val="28"/>
        </w:rPr>
        <w:t>PARTIDA 03: 03. MOVIMIENTO DE TIERRAS</w:t>
      </w:r>
    </w:p>
    <w:p>
      <w:pPr>
        <w:jc w:val="both"/>
      </w:pPr>
      <w:r>
        <w:rPr>
          <w:rFonts w:ascii="Arial" w:hAnsi="Arial"/>
          <w:sz w:val="22"/>
        </w:rPr>
        <w:t>Descripción general de la partida: Corte en material suelto, corte en roca fija, relleno con material propio, relleno con material de préstamo, conformación y compactación de subrasante.</w:t>
      </w:r>
    </w:p>
    <w:p>
      <w:pPr>
        <w:pStyle w:val="Heading3"/>
      </w:pPr>
      <w:r>
        <w:rPr>
          <w:color w:val="006699"/>
          <w:sz w:val="24"/>
        </w:rPr>
        <w:t>03.01. ESPECIFICACIÓN DETALLADA COMPONENTE 1</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03.02. ESPECIFICACIÓN DETALLADA COMPONENTE 2</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03.03. ESPECIFICACIÓN DETALLADA COMPONENTE 3</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03.04. ESPECIFICACIÓN DETALLADA COMPONENTE 4</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03.05. ESPECIFICACIÓN DETALLADA COMPONENTE 5</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03.06. ESPECIFICACIÓN DETALLADA COMPONENTE 6</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03.07. ESPECIFICACIÓN DETALLADA COMPONENTE 7</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03.08. ESPECIFICACIÓN DETALLADA COMPONENTE 8</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03.09. ESPECIFICACIÓN DETALLADA COMPONENTE 9</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03.10. ESPECIFICACIÓN DETALLADA COMPONENTE 10</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2"/>
      </w:pPr>
      <w:r>
        <w:rPr>
          <w:color w:val="006699"/>
          <w:sz w:val="28"/>
        </w:rPr>
        <w:t>PARTIDA 04: 04. PAVIMENTOS (AFIRMADO ESTABILIZADO)</w:t>
      </w:r>
    </w:p>
    <w:p>
      <w:pPr>
        <w:jc w:val="both"/>
      </w:pPr>
      <w:r>
        <w:rPr>
          <w:rFonts w:ascii="Arial" w:hAnsi="Arial"/>
          <w:sz w:val="22"/>
        </w:rPr>
        <w:t>Descripción general de la partida: Preparación de base granular, aplicación de estabilizante ecológico, compactación, curado.</w:t>
      </w:r>
    </w:p>
    <w:p>
      <w:pPr>
        <w:pStyle w:val="Heading3"/>
      </w:pPr>
      <w:r>
        <w:rPr>
          <w:color w:val="006699"/>
          <w:sz w:val="24"/>
        </w:rPr>
        <w:t>04.01. ESPECIFICACIÓN DETALLADA COMPONENTE 1</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04.02. ESPECIFICACIÓN DETALLADA COMPONENTE 2</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04.03. ESPECIFICACIÓN DETALLADA COMPONENTE 3</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04.04. ESPECIFICACIÓN DETALLADA COMPONENTE 4</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04.05. ESPECIFICACIÓN DETALLADA COMPONENTE 5</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04.06. ESPECIFICACIÓN DETALLADA COMPONENTE 6</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04.07. ESPECIFICACIÓN DETALLADA COMPONENTE 7</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04.08. ESPECIFICACIÓN DETALLADA COMPONENTE 8</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04.09. ESPECIFICACIÓN DETALLADA COMPONENTE 9</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04.10. ESPECIFICACIÓN DETALLADA COMPONENTE 10</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2"/>
      </w:pPr>
      <w:r>
        <w:rPr>
          <w:color w:val="006699"/>
          <w:sz w:val="28"/>
        </w:rPr>
        <w:t>PARTIDA 05: 05. OBRAS DE ARTE Y DRENAJE</w:t>
      </w:r>
    </w:p>
    <w:p>
      <w:pPr>
        <w:jc w:val="both"/>
      </w:pPr>
      <w:r>
        <w:rPr>
          <w:rFonts w:ascii="Arial" w:hAnsi="Arial"/>
          <w:sz w:val="22"/>
        </w:rPr>
        <w:t>Descripción general de la partida: Excavación para estructuras, solados, acero de refuerzo, concreto f'c=210 kg/cm2 en cunetas y alcantarillas, encofrado y desencofrado.</w:t>
      </w:r>
    </w:p>
    <w:p>
      <w:pPr>
        <w:pStyle w:val="Heading3"/>
      </w:pPr>
      <w:r>
        <w:rPr>
          <w:color w:val="006699"/>
          <w:sz w:val="24"/>
        </w:rPr>
        <w:t>05.01. ESPECIFICACIÓN DETALLADA COMPONENTE 1</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05.02. ESPECIFICACIÓN DETALLADA COMPONENTE 2</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05.03. ESPECIFICACIÓN DETALLADA COMPONENTE 3</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05.04. ESPECIFICACIÓN DETALLADA COMPONENTE 4</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05.05. ESPECIFICACIÓN DETALLADA COMPONENTE 5</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05.06. ESPECIFICACIÓN DETALLADA COMPONENTE 6</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05.07. ESPECIFICACIÓN DETALLADA COMPONENTE 7</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05.08. ESPECIFICACIÓN DETALLADA COMPONENTE 8</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05.09. ESPECIFICACIÓN DETALLADA COMPONENTE 9</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05.10. ESPECIFICACIÓN DETALLADA COMPONENTE 10</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2"/>
      </w:pPr>
      <w:r>
        <w:rPr>
          <w:color w:val="006699"/>
          <w:sz w:val="28"/>
        </w:rPr>
        <w:t>PARTIDA 06: 06. SEÑALIZACIÓN Y SEGURIDAD VIAL</w:t>
      </w:r>
    </w:p>
    <w:p>
      <w:pPr>
        <w:jc w:val="both"/>
      </w:pPr>
      <w:r>
        <w:rPr>
          <w:rFonts w:ascii="Arial" w:hAnsi="Arial"/>
          <w:sz w:val="22"/>
        </w:rPr>
        <w:t>Descripción general de la partida: Señales preventivas, informativas turísticas (normativa MINCETUR), hitos kilométricos, barreras de seguridad (guardavías).</w:t>
      </w:r>
    </w:p>
    <w:p>
      <w:pPr>
        <w:pStyle w:val="Heading3"/>
      </w:pPr>
      <w:r>
        <w:rPr>
          <w:color w:val="006699"/>
          <w:sz w:val="24"/>
        </w:rPr>
        <w:t>06.01. ESPECIFICACIÓN DETALLADA COMPONENTE 1</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06.02. ESPECIFICACIÓN DETALLADA COMPONENTE 2</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06.03. ESPECIFICACIÓN DETALLADA COMPONENTE 3</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06.04. ESPECIFICACIÓN DETALLADA COMPONENTE 4</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06.05. ESPECIFICACIÓN DETALLADA COMPONENTE 5</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06.06. ESPECIFICACIÓN DETALLADA COMPONENTE 6</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06.07. ESPECIFICACIÓN DETALLADA COMPONENTE 7</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06.08. ESPECIFICACIÓN DETALLADA COMPONENTE 8</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06.09. ESPECIFICACIÓN DETALLADA COMPONENTE 9</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06.10. ESPECIFICACIÓN DETALLADA COMPONENTE 10</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2"/>
      </w:pPr>
      <w:r>
        <w:rPr>
          <w:color w:val="006699"/>
          <w:sz w:val="28"/>
        </w:rPr>
        <w:t>PARTIDA 07: 07. MITIGACIÓN AMBIENTAL Y PAISAJISMO</w:t>
      </w:r>
    </w:p>
    <w:p>
      <w:pPr>
        <w:jc w:val="both"/>
      </w:pPr>
      <w:r>
        <w:rPr>
          <w:rFonts w:ascii="Arial" w:hAnsi="Arial"/>
          <w:sz w:val="22"/>
        </w:rPr>
        <w:t>Descripción general de la partida: Manejo de residuos sólidos, revegetación de taludes con especies nativas, programa de monitoreo ambiental.</w:t>
      </w:r>
    </w:p>
    <w:p>
      <w:pPr>
        <w:pStyle w:val="Heading3"/>
      </w:pPr>
      <w:r>
        <w:rPr>
          <w:color w:val="006699"/>
          <w:sz w:val="24"/>
        </w:rPr>
        <w:t>07.01. ESPECIFICACIÓN DETALLADA COMPONENTE 1</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07.02. ESPECIFICACIÓN DETALLADA COMPONENTE 2</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07.03. ESPECIFICACIÓN DETALLADA COMPONENTE 3</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07.04. ESPECIFICACIÓN DETALLADA COMPONENTE 4</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07.05. ESPECIFICACIÓN DETALLADA COMPONENTE 5</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07.06. ESPECIFICACIÓN DETALLADA COMPONENTE 6</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07.07. ESPECIFICACIÓN DETALLADA COMPONENTE 7</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07.08. ESPECIFICACIÓN DETALLADA COMPONENTE 8</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07.09. ESPECIFICACIÓN DETALLADA COMPONENTE 9</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pPr>
        <w:pStyle w:val="Heading3"/>
      </w:pPr>
      <w:r>
        <w:rPr>
          <w:color w:val="006699"/>
          <w:sz w:val="24"/>
        </w:rPr>
        <w:t>07.10. ESPECIFICACIÓN DETALLADA COMPONENTE 10</w:t>
      </w:r>
    </w:p>
    <w:p>
      <w:pPr>
        <w:jc w:val="both"/>
      </w:pPr>
      <w:r>
        <w:rPr>
          <w:rFonts w:ascii="Arial" w:hAnsi="Arial"/>
          <w:sz w:val="22"/>
        </w:rPr>
        <w:t>1. DESCRIPCIÓN</w:t>
        <w:br/>
        <w:t>Esta partida comprende todos los trabajos necesarios, mano de obra, materiales y equipos requeridos para la correcta ejecución de esta actividad, de acuerdo a los alineamientos, cotas y rasantes indicados en los planos del proyecto. El Contratista deberá verificar las condiciones del terreno antes de iniciar los trabajos. Se respetarán estrictamente los límites de la Zona de Amortiguamiento Cultural (Resolución MINCUL) y la Faja Marginal.</w:t>
        <w:br/>
        <w:br/>
        <w:t>2. MATERIALES</w:t>
        <w:br/>
        <w:t>Los materiales a utilizar deberán ser aprobados por la Supervisión. Se exigirán certificados de calidad y ensayos de laboratorio (Granulometría, Límites de Atterberg, Proctor Modificado, CBR) según corresponda. El agua a utilizar estará libre de materia orgánica y sulfatos que puedan afectar el comportamiento estructural de los elementos, en cumplimiento con la Norma Técnica Peruana (NTP).</w:t>
        <w:br/>
        <w:br/>
        <w:t>3. EQUIPOS</w:t>
        <w:br/>
        <w:t>Se empleará maquinaria pesada (tractores sobre orugas, retroexcavadoras, rodillos vibratorios lisos de 10-12 toneladas, motoniveladoras) en perfecto estado de funcionamiento, con silenciadores para mitigar el ruido en áreas cercanas a la fauna endémica del Valle Sagrado. El Contratista presentará el certificado de operatividad de cada equipo.</w:t>
        <w:br/>
        <w:br/>
        <w:t>4. MÉTODO DE CONSTRUCCIÓN</w:t>
        <w:br/>
        <w:t>El procedimiento constructivo seguirá los estándares del Manual de Carreteras del MTC (Sección Suelos y Pavimentos). La compactación se realizará por capas no mayores a 0.20 m de espesor suelto. Se controlará la humedad óptima del material. Para las zonas adyacentes a restos arqueológicos, se prohíbe el uso de explosivos y maquinaria pesada de alta vibración, debiendo realizarse el trabajo de forma manual bajo supervisión arqueológica continua (PMA).</w:t>
        <w:br/>
        <w:br/>
        <w:t>5. CONTROL DE CALIDAD</w:t>
        <w:br/>
        <w:t>La Supervisión exigirá controles geométricos (topografía cada 20 metros) y controles de campo (Ensayos de Densidad de Campo mediante Cono de Arena ASTM D-1556 o Densímetro Nuclear). Toda capa que no alcance el 95% de la MDS será escarificada, re-humedecida y re-compactada a cuenta y costo del Contratista.</w:t>
        <w:br/>
        <w:br/>
        <w:t>6. MÉTODO DE MEDICIÓN</w:t>
        <w:br/>
        <w:t>El trabajo ejecutado será medido por Unidad (m3, m2, ml o GLB según la tabla de metrados), verificando las dimensiones reales en terreno y aprobadas por el Ingeniero Supervisor.</w:t>
        <w:br/>
        <w:br/>
        <w:t>7. FORMA DE PAGO</w:t>
        <w:br/>
        <w:t>El pago se efectuará al precio unitario del presupuesto del Expediente Técnico. Dicho precio constituye compensación total por mano de obra, leyes sociales, herramientas, equipos, imprevistos y cualquier otro gasto necesario para completar la partida a satisfacción.</w:t>
      </w:r>
    </w:p>
    <w:p>
      <w:r>
        <w:br w:type="page"/>
      </w:r>
    </w:p>
    <w:p>
      <w:pPr>
        <w:pStyle w:val="Heading1"/>
      </w:pPr>
      <w:r>
        <w:rPr>
          <w:color w:val="003366"/>
          <w:sz w:val="36"/>
        </w:rPr>
        <w:t>CAPÍTULO III: ESTUDIO DE TRÁNSITO Y CAPACIDAD DE CARGA EFECTIVA (CCE)</w:t>
      </w:r>
    </w:p>
    <w:p>
      <w:pPr>
        <w:jc w:val="both"/>
      </w:pPr>
      <w:r>
        <w:rPr>
          <w:rFonts w:ascii="Arial" w:hAnsi="Arial"/>
          <w:sz w:val="22"/>
        </w:rPr>
        <w:t>En cumplimiento con la directiva de Gobernanza del Ecosistema Turístico Peruano (Lifextreme RAG), se ha modelado la Capacidad de Carga del sendero para evitar la degradación del entorno.</w:t>
      </w:r>
    </w:p>
    <w:p>
      <w:pPr>
        <w:pStyle w:val="Heading2"/>
      </w:pPr>
      <w:r>
        <w:rPr>
          <w:color w:val="006699"/>
          <w:sz w:val="28"/>
        </w:rPr>
        <w:t>3.1. Fórmula Matemática y Desarrollo</w:t>
      </w:r>
    </w:p>
    <w:p>
      <w:pPr>
        <w:jc w:val="both"/>
      </w:pPr>
      <w:r>
        <w:rPr>
          <w:rFonts w:ascii="Arial" w:hAnsi="Arial"/>
          <w:sz w:val="22"/>
        </w:rPr>
        <w:t>Se utiliza la ecuación de CCE = CCG × Π(Fi)</w:t>
        <w:br/>
        <w:br/>
        <w:t>a) Capacidad de Carga Física (CCF):</w:t>
        <w:br/>
        <w:t>Longitud = 18,500 m. Ancho transitable = 2.5 m. Área = 46,250 m2.</w:t>
        <w:br/>
        <w:t>Espacio vital por ciclista (norma internacional) = 15 m2/persona.</w:t>
        <w:br/>
        <w:t>Horas de apertura (V) = 8 horas (08:00 a 16:00).</w:t>
        <w:br/>
        <w:t>Tiempo promedio de visita (Tv) = 3 horas.</w:t>
        <w:br/>
        <w:t>CCF = (46,250 / 15) * (8 / 3) = 8,222 visitantes/día máximo teórico.</w:t>
        <w:br/>
        <w:br/>
        <w:t>b) Factores de Corrección (Fi):</w:t>
        <w:br/>
        <w:t>F_Erodabilidad (Suelos limosos del valle) = 0.85</w:t>
        <w:br/>
        <w:t>F_Inundabilidad (Cercanía al Río Vilcanota) = 0.70</w:t>
        <w:br/>
        <w:t>F_Social (Integración con comunidades) = 0.90</w:t>
        <w:br/>
        <w:t>F_Arqueológico (Proximidad a andenes) = 0.65</w:t>
        <w:br/>
        <w:br/>
        <w:t>c) Capacidad de Carga Efectiva (CCE):</w:t>
        <w:br/>
        <w:t>CCE = 8,222 * (0.85 * 0.70 * 0.90 * 0.65) = 2,858 visitantes/día.</w:t>
        <w:br/>
        <w:br/>
        <w:t>Conclusión Técnica: El diseño geométrico y el material estabilizante soportan con amplitud la demanda proyectada de 342 usuarios/día, encontrándose muy por debajo del límite de estrés ecológico del Valle Sagrado.</w:t>
      </w:r>
    </w:p>
    <w:p>
      <w:r>
        <w:br w:type="page"/>
      </w:r>
    </w:p>
    <w:p>
      <w:pPr>
        <w:pStyle w:val="Heading1"/>
      </w:pPr>
      <w:r>
        <w:rPr>
          <w:color w:val="003366"/>
          <w:sz w:val="36"/>
        </w:rPr>
        <w:t>CAPÍTULO IV: APROBACIONES INSTITUCIONALES (MARCO REGULATORIO)</w:t>
      </w:r>
    </w:p>
    <w:p>
      <w:pPr>
        <w:jc w:val="both"/>
      </w:pPr>
      <w:r>
        <w:rPr>
          <w:rFonts w:ascii="Arial" w:hAnsi="Arial"/>
          <w:sz w:val="22"/>
        </w:rPr>
        <w:t>Este Expediente Técnico ha sido formulado para garantizar la aprobación sin observaciones de las entidades regulatorias del Estado Peruano mapeadas en la Arquitectura Institucional de Turismo:</w:t>
      </w:r>
    </w:p>
    <w:p>
      <w:pPr>
        <w:pStyle w:val="Heading2"/>
      </w:pPr>
      <w:r>
        <w:rPr>
          <w:color w:val="006699"/>
          <w:sz w:val="28"/>
        </w:rPr>
        <w:t>1. MINCETUR / GERCETUR</w:t>
      </w:r>
    </w:p>
    <w:p>
      <w:pPr>
        <w:jc w:val="both"/>
      </w:pPr>
      <w:r>
        <w:rPr>
          <w:rFonts w:ascii="Arial" w:hAnsi="Arial"/>
          <w:sz w:val="22"/>
        </w:rPr>
        <w:t>Alineado a la Ley 29408 (Ley General de Turismo). Se incluyen manuales de señalización turística oficial en la Partida 06.</w:t>
      </w:r>
    </w:p>
    <w:p>
      <w:pPr>
        <w:pStyle w:val="Heading2"/>
      </w:pPr>
      <w:r>
        <w:rPr>
          <w:color w:val="006699"/>
          <w:sz w:val="28"/>
        </w:rPr>
        <w:t>2. MINCUL (Ministerio de Cultura)</w:t>
      </w:r>
    </w:p>
    <w:p>
      <w:pPr>
        <w:jc w:val="both"/>
      </w:pPr>
      <w:r>
        <w:rPr>
          <w:rFonts w:ascii="Arial" w:hAnsi="Arial"/>
          <w:sz w:val="22"/>
        </w:rPr>
        <w:t>Se incorpora el Plan de Monitoreo Arqueológico (PMA) presupuestado, asegurando la preservación del Qhapaq Ñan y andenes incas adyacentes.</w:t>
      </w:r>
    </w:p>
    <w:p>
      <w:pPr>
        <w:pStyle w:val="Heading2"/>
      </w:pPr>
      <w:r>
        <w:rPr>
          <w:color w:val="006699"/>
          <w:sz w:val="28"/>
        </w:rPr>
        <w:t>3. SERNANP / MINAM</w:t>
      </w:r>
    </w:p>
    <w:p>
      <w:pPr>
        <w:jc w:val="both"/>
      </w:pPr>
      <w:r>
        <w:rPr>
          <w:rFonts w:ascii="Arial" w:hAnsi="Arial"/>
          <w:sz w:val="22"/>
        </w:rPr>
        <w:t>Cumplimiento del Reglamento de Protección Ambiental. Se ha llenado la Ficha Técnica Ambiental (FTA) excluyendo el uso de asfalto caliente contaminante.</w:t>
      </w:r>
    </w:p>
    <w:p>
      <w:pPr>
        <w:pStyle w:val="Heading2"/>
      </w:pPr>
      <w:r>
        <w:rPr>
          <w:color w:val="006699"/>
          <w:sz w:val="28"/>
        </w:rPr>
        <w:t>4. ANA (Autoridad Nacional del Agua)</w:t>
      </w:r>
    </w:p>
    <w:p>
      <w:pPr>
        <w:jc w:val="both"/>
      </w:pPr>
      <w:r>
        <w:rPr>
          <w:rFonts w:ascii="Arial" w:hAnsi="Arial"/>
          <w:sz w:val="22"/>
        </w:rPr>
        <w:t>Respeto de la Faja Marginal de 15 metros del Río Vilcanota mediante el diseño de defensas ribereñas vegetales.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