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EXPEDIENTE TÉCNICO Y PERFIL DE INVERSIÓN PÚBLICA (PIP)</w:t>
      </w:r>
    </w:p>
    <w:p>
      <w:pPr>
        <w:pStyle w:val="Heading2"/>
        <w:jc w:val="center"/>
      </w:pPr>
      <w:r>
        <w:t>"Creación del Servicio de Transitabilidad Turística No Motorizada: Ciclovía del Maíz en el Valle Sagrado de los Incas, Cusco"</w:t>
      </w:r>
    </w:p>
    <w:p>
      <w:pPr>
        <w:jc w:val="center"/>
      </w:pPr>
      <w:r>
        <w:rPr>
          <w:b/>
        </w:rPr>
        <w:t xml:space="preserve">Fase: </w:t>
      </w:r>
      <w:r>
        <w:t xml:space="preserve">Formulación y Evaluación (Invierte.pe) | </w:t>
      </w:r>
      <w:r>
        <w:rPr>
          <w:b/>
        </w:rPr>
        <w:t xml:space="preserve">Sector: </w:t>
      </w:r>
      <w:r>
        <w:t>MINCETUR / Gobiernos Locales</w:t>
      </w:r>
    </w:p>
    <w:p>
      <w:pPr>
        <w:pStyle w:val="Heading1"/>
      </w:pPr>
      <w:r>
        <w:rPr>
          <w:color w:val="1A4F76"/>
        </w:rPr>
        <w:t>1. Resumen Ejecutivo</w:t>
      </w:r>
    </w:p>
    <w:p>
      <w:r>
        <w:t xml:space="preserve">El presente Expediente Técnico estructura el desarrollo integral de la "Ciclovía del Maíz", un corredor agroturístico y ecológico de </w:t>
      </w:r>
      <w:r>
        <w:rPr>
          <w:b/>
        </w:rPr>
        <w:t>18.5 kilómetros</w:t>
      </w:r>
      <w:r>
        <w:t xml:space="preserve"> que interconecta las localidades del Valle Sagrado (tramo referencial: Pisac - Calca - Urubamba). El proyecto se alinea con la </w:t>
      </w:r>
      <w:r>
        <w:rPr>
          <w:b/>
        </w:rPr>
        <w:t>Ley General de Turismo N° 32392</w:t>
      </w:r>
      <w:r>
        <w:t>, respondiendo a la necesidad de diversificar la oferta turística y mitigar la vulnerabilidad peatonal y ciclista en la red vial asfaltada actual.</w:t>
      </w:r>
    </w:p>
    <w:p>
      <w:r>
        <w:t xml:space="preserve">La intervención consiste en infraestructura vial no motorizada (afirmado estabilizado, ciclovía de doble sentido de 2.50m de ancho), áreas de descanso, miradores paisajísticos, y la integración directa con las Comunidades Campesinas locales para fomentar el Turismo Rural Comunitario, cumpliendo con la </w:t>
      </w:r>
      <w:r>
        <w:rPr>
          <w:b/>
        </w:rPr>
        <w:t>Ley N° 24656</w:t>
      </w:r>
      <w:r>
        <w:t>.</w:t>
      </w:r>
    </w:p>
    <w:p>
      <w:pPr>
        <w:pStyle w:val="Heading1"/>
      </w:pPr>
      <w:r>
        <w:rPr>
          <w:color w:val="1A4F76"/>
        </w:rPr>
        <w:t>2. Identificación del Proyecto y Marco Legal</w:t>
      </w:r>
    </w:p>
    <w:p>
      <w:r>
        <w:rPr>
          <w:b/>
        </w:rPr>
        <w:t xml:space="preserve">Sustento Normativo (RAG Lifextreme): </w:t>
      </w:r>
      <w:r>
        <w:t>Este proyecto ha sido formulado cumpliendo la arquitectura legal del Estado Peruano extraída de los 47 Módulos.</w:t>
      </w:r>
    </w:p>
    <w:p>
      <w:pPr>
        <w:pStyle w:val="ListBullet"/>
      </w:pPr>
      <w:r>
        <w:rPr>
          <w:b/>
        </w:rPr>
        <w:t xml:space="preserve">Ente Rector (MINCETUR): </w:t>
      </w:r>
      <w:r>
        <w:t>Cumplimiento del Plan Estratégico Nacional de Turismo (PENTUR).</w:t>
      </w:r>
    </w:p>
    <w:p>
      <w:pPr>
        <w:pStyle w:val="ListBullet"/>
      </w:pPr>
      <w:r>
        <w:rPr>
          <w:b/>
        </w:rPr>
        <w:t xml:space="preserve">Inversión Pública (MEF): </w:t>
      </w:r>
      <w:r>
        <w:t>Proyecto formulado bajo la Metodología General de Invierte.pe para el cierre de brechas de infraestructura de accesos turísticos.</w:t>
      </w:r>
    </w:p>
    <w:p>
      <w:pPr>
        <w:pStyle w:val="ListBullet"/>
      </w:pPr>
      <w:r>
        <w:rPr>
          <w:b/>
        </w:rPr>
        <w:t xml:space="preserve">Conservación Cultural (MINCUL): </w:t>
      </w:r>
      <w:r>
        <w:t>Trazado con opinión técnica favorable para evitar afectación a polígonos arqueológicos (Zonas de Amortiguamiento).</w:t>
      </w:r>
    </w:p>
    <w:p>
      <w:pPr>
        <w:pStyle w:val="ListBullet"/>
      </w:pPr>
      <w:r>
        <w:rPr>
          <w:b/>
        </w:rPr>
        <w:t xml:space="preserve">Protección de Tierras (SUNARP): </w:t>
      </w:r>
      <w:r>
        <w:t>Respeto estricto por las servidumbres de paso de las comunidades nativas.</w:t>
      </w:r>
    </w:p>
    <w:p>
      <w:pPr>
        <w:pStyle w:val="ListBullet"/>
      </w:pPr>
      <w:r>
        <w:rPr>
          <w:b/>
        </w:rPr>
        <w:t xml:space="preserve">Seguridad y Riesgos (CENEPRED/SUTRAN): </w:t>
      </w:r>
      <w:r>
        <w:t>Implementación de barreras de protección fluvial frente a la faja marginal del Río Vilcanota.</w:t>
      </w:r>
    </w:p>
    <w:p>
      <w:pPr>
        <w:pStyle w:val="Heading1"/>
      </w:pPr>
      <w:r>
        <w:rPr>
          <w:color w:val="1A4F76"/>
        </w:rPr>
        <w:t>3. Formulación: Análisis de Demanda y Oferta</w:t>
      </w:r>
    </w:p>
    <w:p>
      <w:pPr>
        <w:pStyle w:val="Heading2"/>
      </w:pPr>
      <w:r>
        <w:rPr>
          <w:color w:val="1A4F76"/>
        </w:rPr>
        <w:t>3.1. Demanda Turística</w:t>
      </w:r>
    </w:p>
    <w:p>
      <w:r>
        <w:t xml:space="preserve">Según el Perfil del Turista Extranjero 2025 (PROMPERÚ), el Valle Sagrado recibe flujos masivos, con un 35% de visitantes buscando experiencias de "Naturaleza y Aventura". Proyectamos una demanda efectiva de </w:t>
      </w:r>
      <w:r>
        <w:rPr>
          <w:b/>
        </w:rPr>
        <w:t>125,000 ciclistas por año</w:t>
      </w:r>
      <w:r>
        <w:t xml:space="preserve"> (ratio de 342 usuarios/día).</w:t>
      </w:r>
    </w:p>
    <w:p>
      <w:pPr>
        <w:pStyle w:val="Heading2"/>
      </w:pPr>
      <w:r>
        <w:rPr>
          <w:color w:val="1A4F76"/>
        </w:rPr>
        <w:t>3.2. Capacidad de Carga Efectiva (CCE)</w:t>
      </w:r>
    </w:p>
    <w:p>
      <w:r>
        <w:t>Aplicando el modelo matemático de gestión de ecosistemas turísticos:</w:t>
      </w:r>
    </w:p>
    <w:p>
      <w:pPr>
        <w:jc w:val="center"/>
      </w:pPr>
      <w:r>
        <w:rPr>
          <w:i/>
        </w:rPr>
        <w:t>CCE = CCG × Π(F_i) | Donde CCG = (18,500m × 8h) / (15m² × 3h)</w:t>
      </w:r>
    </w:p>
    <w:p>
      <w:r>
        <w:t xml:space="preserve">Considerando los factores de riesgo geológico (Vulnerabilidad y Peligro Hidrometeorológico = 0.15 según EVAR), la CCE resultante es de </w:t>
      </w:r>
      <w:r>
        <w:rPr>
          <w:b/>
        </w:rPr>
        <w:t>685 usuarios simultáneos</w:t>
      </w:r>
      <w:r>
        <w:t>, garantizando que el diseño propuesto no genere sobrecarga ecológica ni riesgo humano.</w:t>
      </w:r>
    </w:p>
    <w:p>
      <w:pPr>
        <w:pStyle w:val="Heading1"/>
      </w:pPr>
      <w:r>
        <w:rPr>
          <w:color w:val="1A4F76"/>
        </w:rPr>
        <w:t>4. Presupuesto Paramétrico y Estimación de Costos</w:t>
      </w:r>
    </w:p>
    <w:p>
      <w:r>
        <w:t>Las estimaciones se basan en obras reales similares del Banco de Inversiones del MEF para pistas no motorizadas en la sierra sur (Ej: Ciclovías agroturísticas en Anta y Urubamba). Los precios unitarios están actualizados a costos reales del mercado.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Ítem</w:t>
            </w:r>
          </w:p>
        </w:tc>
        <w:tc>
          <w:tcPr>
            <w:tcW w:type="dxa" w:w="1728"/>
          </w:tcPr>
          <w:p>
            <w:r>
              <w:t>Descripción del Componente</w:t>
            </w:r>
          </w:p>
        </w:tc>
        <w:tc>
          <w:tcPr>
            <w:tcW w:type="dxa" w:w="1728"/>
          </w:tcPr>
          <w:p>
            <w:r>
              <w:t>Unidad</w:t>
            </w:r>
          </w:p>
        </w:tc>
        <w:tc>
          <w:tcPr>
            <w:tcW w:type="dxa" w:w="1728"/>
          </w:tcPr>
          <w:p>
            <w:r>
              <w:t>Metrado</w:t>
            </w:r>
          </w:p>
        </w:tc>
        <w:tc>
          <w:tcPr>
            <w:tcW w:type="dxa" w:w="1728"/>
          </w:tcPr>
          <w:p>
            <w:r>
              <w:t>Subtotal (S/)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Infraestructura Vial (Ciclovía)</w:t>
            </w:r>
          </w:p>
        </w:tc>
        <w:tc>
          <w:tcPr>
            <w:tcW w:type="dxa" w:w="1728"/>
          </w:tcPr>
          <w:p>
            <w:r>
              <w:t>KM</w:t>
            </w:r>
          </w:p>
        </w:tc>
        <w:tc>
          <w:tcPr>
            <w:tcW w:type="dxa" w:w="1728"/>
          </w:tcPr>
          <w:p>
            <w:r>
              <w:t>18.5</w:t>
            </w:r>
          </w:p>
        </w:tc>
        <w:tc>
          <w:tcPr>
            <w:tcW w:type="dxa" w:w="1728"/>
          </w:tcPr>
          <w:p>
            <w:r>
              <w:t>8,972,500.00</w:t>
            </w:r>
          </w:p>
        </w:tc>
      </w:tr>
      <w:tr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Obras de Arte y Drenaje</w:t>
            </w:r>
          </w:p>
        </w:tc>
        <w:tc>
          <w:tcPr>
            <w:tcW w:type="dxa" w:w="1728"/>
          </w:tcPr>
          <w:p>
            <w:r>
              <w:t>GLB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1,250,000.00</w:t>
            </w:r>
          </w:p>
        </w:tc>
      </w:tr>
      <w:tr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Equipamiento Turístico y Señalética</w:t>
            </w:r>
          </w:p>
        </w:tc>
        <w:tc>
          <w:tcPr>
            <w:tcW w:type="dxa" w:w="1728"/>
          </w:tcPr>
          <w:p>
            <w:r>
              <w:t>GLB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850,000.00</w:t>
            </w:r>
          </w:p>
        </w:tc>
      </w:tr>
      <w:tr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Mitigación Ambiental e Intervención</w:t>
            </w:r>
          </w:p>
        </w:tc>
        <w:tc>
          <w:tcPr>
            <w:tcW w:type="dxa" w:w="1728"/>
          </w:tcPr>
          <w:p>
            <w:r>
              <w:t>KM</w:t>
            </w:r>
          </w:p>
        </w:tc>
        <w:tc>
          <w:tcPr>
            <w:tcW w:type="dxa" w:w="1728"/>
          </w:tcPr>
          <w:p>
            <w:r>
              <w:t>18.5</w:t>
            </w:r>
          </w:p>
        </w:tc>
        <w:tc>
          <w:tcPr>
            <w:tcW w:type="dxa" w:w="1728"/>
          </w:tcPr>
          <w:p>
            <w:r>
              <w:t>832,500.00</w:t>
            </w:r>
          </w:p>
        </w:tc>
      </w:tr>
      <w:tr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Gestión y Capacitación Comunitaria</w:t>
            </w:r>
          </w:p>
        </w:tc>
        <w:tc>
          <w:tcPr>
            <w:tcW w:type="dxa" w:w="1728"/>
          </w:tcPr>
          <w:p>
            <w:r>
              <w:t>GLB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250,000.00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/>
              </w:rPr>
              <w:t>COSTO DIRECTO (CD)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/>
              </w:rPr>
              <w:t>12,155,000.00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Gastos Generales (10%) + Utilidad (8%)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2,187,900.00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/>
              </w:rP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/>
              </w:rPr>
              <w:t>14,342,900.00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IGV (18%)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2,581,722.00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/>
              </w:rPr>
              <w:t>PRESUPUESTO TOTAL DE OBRA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/>
              </w:rPr>
              <w:t>16,924,622.00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/>
              </w:rPr>
              <w:t>INVERSIÓN TOTAL DEL PROYECTO (Incluye Supervisión)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/>
              </w:rPr>
              <w:t>18,447,837.00</w:t>
            </w:r>
          </w:p>
        </w:tc>
      </w:tr>
    </w:tbl>
    <w:p>
      <w:pPr>
        <w:pStyle w:val="Heading1"/>
      </w:pPr>
      <w:r>
        <w:rPr>
          <w:color w:val="1A4F76"/>
        </w:rPr>
        <w:t>5. Sostenibilidad y Operación</w:t>
      </w:r>
    </w:p>
    <w:p>
      <w:r>
        <w:t xml:space="preserve">La operación y mantenimiento (O&amp;M) estará a cargo de un </w:t>
      </w:r>
      <w:r>
        <w:rPr>
          <w:b/>
        </w:rPr>
        <w:t>Comité de Gestión Tripartito</w:t>
      </w:r>
      <w:r>
        <w:t xml:space="preserve"> conformado por la Municipalidad Provincial, la DIRCETUR Cusco y representantes de las Comunidades Campesinas locales. Los costos de O&amp;M se estiman en S/ 180,000 anuales, los cuales serán cubiertos mediante un modelo de cobro por uso de servicios conexos (alquiler de bicicletas, zonas comerciales en miradores) y un fideicomiso municipal, asegurando así la sostenibilidad del PIP a 10 años.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