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wvs-critical-window-variable-selection"/>
      <w:bookmarkEnd w:id="21"/>
      <w:r>
        <w:t xml:space="preserve">CWVS: Critical Window Variable Selection</w:t>
      </w:r>
    </w:p>
    <w:p>
      <w:pPr>
        <w:pStyle w:val="Heading2"/>
      </w:pPr>
      <w:bookmarkStart w:id="22" w:name="cwvs_example"/>
      <w:bookmarkEnd w:id="22"/>
      <w:r>
        <w:t xml:space="preserve">CWVS_Example</w:t>
      </w:r>
    </w:p>
    <w:p>
      <w:pPr>
        <w:pStyle w:val="FirstParagraph"/>
      </w:pPr>
      <w:r>
        <w:t xml:space="preserve">[1] Simulate data for analysis: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4679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(CWVS)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 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gamma_true&lt;-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alpha_true&lt;-gamma_true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alpha_true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GPCW to 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CWVS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metrop_var_A11_trans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phi1 Acceptance: 37%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17%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phi1 Acceptance: 36%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21%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(alpha_true,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(gamma_true,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314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a5aa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2018-10-21T23:38:24Z</dcterms:created>
  <dcterms:modified xsi:type="dcterms:W3CDTF">2018-10-21T23:38:24Z</dcterms:modified>
</cp:coreProperties>
</file>