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Standard Protocol Harmonization Ceramides</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rPr>
      </w:pPr>
      <w:r>
        <w:rPr>
          <w:rFonts w:cs="Times New Roman" w:ascii="Times New Roman" w:hAnsi="Times New Roman"/>
          <w:b/>
          <w:u w:val="single"/>
        </w:rPr>
        <w:t>Summary:</w:t>
      </w:r>
      <w:r>
        <w:rPr>
          <w:rFonts w:cs="Times New Roman" w:ascii="Times New Roman" w:hAnsi="Times New Roman"/>
        </w:rPr>
        <w:t xml:space="preserve"> This protocol describes the extraction and LC-MRM procedure for absolute quantification of Cer d18:1/16:0, Cer d18:1/18:0, Cer d18:1/24:0 and Cer d18:1/24:1 in human plasma according to Kauhanen et al, Anal Bioanal Chem (2016) 408:3475–3483.</w:t>
      </w:r>
    </w:p>
    <w:p>
      <w:pPr>
        <w:pStyle w:val="Normal"/>
        <w:jc w:val="both"/>
        <w:rPr>
          <w:rFonts w:ascii="Times New Roman" w:hAnsi="Times New Roman" w:eastAsia="Avenir Next Medium" w:cs="Times New Roman"/>
        </w:rPr>
      </w:pPr>
      <w:r>
        <w:rPr>
          <w:rFonts w:eastAsia="Avenir Next Medium" w:cs="Times New Roman" w:ascii="Times New Roman" w:hAnsi="Times New Roman"/>
        </w:rPr>
        <w:t>A calibration curve is built by injecting several dilutions of the non-labelled standards mixed with a fixed concentration of labelled standards. Each calibration point is prepared and analysed in triplicates (n=3).</w:t>
      </w:r>
    </w:p>
    <w:p>
      <w:pPr>
        <w:pStyle w:val="Normal"/>
        <w:jc w:val="both"/>
        <w:rPr>
          <w:rFonts w:ascii="Times New Roman" w:hAnsi="Times New Roman" w:eastAsia="Avenir Next Medium" w:cs="Times New Roman"/>
        </w:rPr>
      </w:pPr>
      <w:r>
        <w:rPr>
          <w:rFonts w:eastAsia="Avenir Next Medium" w:cs="Times New Roman" w:ascii="Times New Roman" w:hAnsi="Times New Roman"/>
        </w:rPr>
        <w:t xml:space="preserve">To establish the endogenous concentration of the four selected ceramides in the study samples (NIST SRM1950, NIST high TAG, NIST T1D, and NIST young AA) each sample is extracted and analyzed in six replicates (n =6). </w:t>
      </w:r>
    </w:p>
    <w:p>
      <w:pPr>
        <w:pStyle w:val="Normal"/>
        <w:jc w:val="both"/>
        <w:rPr>
          <w:rFonts w:ascii="Times New Roman" w:hAnsi="Times New Roman" w:eastAsia="Avenir Next Medium" w:cs="Times New Roman"/>
        </w:rPr>
      </w:pPr>
      <w:r>
        <w:rPr>
          <w:rFonts w:eastAsia="Avenir Next Medium" w:cs="Times New Roman" w:ascii="Times New Roman" w:hAnsi="Times New Roman"/>
        </w:rPr>
        <w:t xml:space="preserve">Prepare the pooled plasma quality control sample (pooled plasma QC) by mixing 100 </w:t>
      </w:r>
      <w:r>
        <w:rPr>
          <w:rFonts w:eastAsia="Symbol" w:cs="Symbol" w:ascii="Symbol" w:hAnsi="Symbol"/>
        </w:rPr>
        <w:t></w:t>
      </w:r>
      <w:r>
        <w:rPr>
          <w:rFonts w:eastAsia="Avenir Next Medium" w:cs="Times New Roman" w:ascii="Times New Roman" w:hAnsi="Times New Roman"/>
        </w:rPr>
        <w:t xml:space="preserve">L each of NIST SRM1950, NIST high TAG, NIST T1D, and NIST young AA (to obtain in total 400 </w:t>
      </w:r>
      <w:r>
        <w:rPr>
          <w:rFonts w:eastAsia="Symbol" w:cs="Symbol" w:ascii="Symbol" w:hAnsi="Symbol"/>
        </w:rPr>
        <w:t></w:t>
      </w:r>
      <w:r>
        <w:rPr>
          <w:rFonts w:eastAsia="Avenir Next Medium" w:cs="Times New Roman" w:ascii="Times New Roman" w:hAnsi="Times New Roman"/>
        </w:rPr>
        <w:t>L of pooled plasma).</w:t>
      </w:r>
    </w:p>
    <w:p>
      <w:pPr>
        <w:pStyle w:val="Normal"/>
        <w:jc w:val="both"/>
        <w:rPr>
          <w:rFonts w:ascii="Times New Roman" w:hAnsi="Times New Roman" w:cs="Times New Roman"/>
        </w:rPr>
      </w:pPr>
      <w:r>
        <w:rPr>
          <w:rFonts w:cs="Times New Roman" w:ascii="Times New Roman" w:hAnsi="Times New Roman"/>
        </w:rPr>
        <w:t>We suggest proceeding first to measure the ceramides concentration in the four study samples and then continue with the intra-assay validation to avoid wasting material.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Cs w:val="28"/>
          <w:u w:val="single"/>
        </w:rPr>
      </w:pPr>
      <w:r>
        <w:rPr>
          <w:rFonts w:cs="Times New Roman" w:ascii="Times New Roman" w:hAnsi="Times New Roman"/>
          <w:b/>
          <w:szCs w:val="28"/>
          <w:u w:val="single"/>
        </w:rPr>
        <w:t>Extraction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1.</w:t>
      </w:r>
    </w:p>
    <w:tbl>
      <w:tblPr>
        <w:tblStyle w:val="TableGrid"/>
        <w:tblW w:w="468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81"/>
      </w:tblGrid>
      <w:tr>
        <w:trPr>
          <w:trHeight w:val="362" w:hRule="atLeast"/>
        </w:trPr>
        <w:tc>
          <w:tcPr>
            <w:tcW w:w="4681" w:type="dxa"/>
            <w:tcBorders/>
            <w:vAlign w:val="center"/>
          </w:tcPr>
          <w:p>
            <w:pPr>
              <w:pStyle w:val="Normal"/>
              <w:widowControl/>
              <w:spacing w:before="0" w:after="0"/>
              <w:jc w:val="center"/>
              <w:rPr>
                <w:rFonts w:ascii="Times New Roman" w:hAnsi="Times New Roman" w:cs="Times New Roman"/>
                <w:sz w:val="22"/>
              </w:rPr>
            </w:pPr>
            <w:r>
              <w:rPr>
                <w:rFonts w:eastAsia="Calibri" w:cs="Times New Roman" w:ascii="Times New Roman" w:hAnsi="Times New Roman"/>
                <w:kern w:val="0"/>
                <w:sz w:val="22"/>
                <w:szCs w:val="24"/>
                <w:lang w:eastAsia="en-US" w:bidi="ar-SA"/>
              </w:rPr>
              <w:t>Chemicals, solvents and materials</w:t>
            </w:r>
          </w:p>
        </w:tc>
      </w:tr>
      <w:tr>
        <w:trPr/>
        <w:tc>
          <w:tcPr>
            <w:tcW w:w="468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Ethyl acetate (EtAc)</w:t>
            </w:r>
          </w:p>
        </w:tc>
      </w:tr>
      <w:tr>
        <w:trPr/>
        <w:tc>
          <w:tcPr>
            <w:tcW w:w="468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2-propanol (IPA)</w:t>
            </w:r>
          </w:p>
        </w:tc>
      </w:tr>
      <w:tr>
        <w:trPr/>
        <w:tc>
          <w:tcPr>
            <w:tcW w:w="468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5% Bovine Serum Albumin (BSA)</w:t>
            </w:r>
          </w:p>
        </w:tc>
      </w:tr>
      <w:tr>
        <w:trPr>
          <w:trHeight w:val="236" w:hRule="atLeast"/>
        </w:trPr>
        <w:tc>
          <w:tcPr>
            <w:tcW w:w="468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96-well plates/tubes</w:t>
            </w:r>
          </w:p>
        </w:tc>
      </w:tr>
      <w:tr>
        <w:trPr>
          <w:trHeight w:val="250" w:hRule="atLeast"/>
        </w:trPr>
        <w:tc>
          <w:tcPr>
            <w:tcW w:w="468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Sealing foil</w:t>
            </w:r>
          </w:p>
        </w:tc>
      </w:tr>
      <w:tr>
        <w:trPr>
          <w:trHeight w:val="250" w:hRule="atLeast"/>
        </w:trPr>
        <w:tc>
          <w:tcPr>
            <w:tcW w:w="468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2 mL deep well plates/tubes/LC vials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2.</w:t>
      </w:r>
    </w:p>
    <w:tbl>
      <w:tblPr>
        <w:tblStyle w:val="TableGrid"/>
        <w:tblW w:w="9067"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121"/>
        <w:gridCol w:w="2552"/>
        <w:gridCol w:w="1984"/>
        <w:gridCol w:w="2409"/>
      </w:tblGrid>
      <w:tr>
        <w:trPr/>
        <w:tc>
          <w:tcPr>
            <w:tcW w:w="2121" w:type="dxa"/>
            <w:tcBorders/>
            <w:vAlign w:val="center"/>
          </w:tcPr>
          <w:p>
            <w:pPr>
              <w:pStyle w:val="Normal"/>
              <w:widowControl/>
              <w:spacing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eastAsia="en-US" w:bidi="ar-SA"/>
              </w:rPr>
              <w:t>Sample type</w:t>
            </w:r>
          </w:p>
        </w:tc>
        <w:tc>
          <w:tcPr>
            <w:tcW w:w="2552" w:type="dxa"/>
            <w:tcBorders/>
            <w:vAlign w:val="center"/>
          </w:tcPr>
          <w:p>
            <w:pPr>
              <w:pStyle w:val="Normal"/>
              <w:widowControl/>
              <w:spacing w:before="0" w:after="0"/>
              <w:jc w:val="center"/>
              <w:rPr>
                <w:rFonts w:ascii="Times New Roman" w:hAnsi="Times New Roman" w:cs="Times New Roman"/>
                <w:sz w:val="22"/>
                <w:szCs w:val="22"/>
              </w:rPr>
            </w:pPr>
            <w:r>
              <w:rPr>
                <w:rFonts w:eastAsia="Calibri" w:cs="Times New Roman" w:ascii="Times New Roman" w:hAnsi="Times New Roman"/>
                <w:kern w:val="0"/>
                <w:sz w:val="22"/>
                <w:szCs w:val="22"/>
                <w:lang w:eastAsia="en-US" w:bidi="ar-SA"/>
              </w:rPr>
            </w:r>
          </w:p>
        </w:tc>
        <w:tc>
          <w:tcPr>
            <w:tcW w:w="1984" w:type="dxa"/>
            <w:tcBorders/>
            <w:vAlign w:val="center"/>
          </w:tcPr>
          <w:p>
            <w:pPr>
              <w:pStyle w:val="Normal"/>
              <w:widowControl/>
              <w:spacing w:before="0" w:after="0"/>
              <w:jc w:val="center"/>
              <w:rPr>
                <w:rFonts w:ascii="Times New Roman" w:hAnsi="Times New Roman" w:cs="Times New Roman"/>
                <w:sz w:val="22"/>
                <w:szCs w:val="22"/>
              </w:rPr>
            </w:pPr>
            <w:r>
              <w:rPr>
                <w:rFonts w:eastAsia="Calibri" w:cs="Times New Roman" w:ascii="Times New Roman" w:hAnsi="Times New Roman"/>
                <w:kern w:val="0"/>
                <w:sz w:val="22"/>
                <w:szCs w:val="22"/>
                <w:lang w:eastAsia="en-US" w:bidi="ar-SA"/>
              </w:rPr>
            </w:r>
          </w:p>
        </w:tc>
        <w:tc>
          <w:tcPr>
            <w:tcW w:w="2409" w:type="dxa"/>
            <w:tcBorders/>
            <w:vAlign w:val="center"/>
          </w:tcPr>
          <w:p>
            <w:pPr>
              <w:pStyle w:val="Normal"/>
              <w:widowControl/>
              <w:spacing w:before="0" w:after="0"/>
              <w:jc w:val="center"/>
              <w:rPr>
                <w:rFonts w:ascii="Times New Roman" w:hAnsi="Times New Roman" w:cs="Times New Roman"/>
                <w:sz w:val="22"/>
                <w:szCs w:val="22"/>
              </w:rPr>
            </w:pPr>
            <w:r>
              <w:rPr>
                <w:rFonts w:eastAsia="Calibri" w:cs="Times New Roman" w:ascii="Times New Roman" w:hAnsi="Times New Roman"/>
                <w:kern w:val="0"/>
                <w:sz w:val="22"/>
                <w:szCs w:val="22"/>
                <w:lang w:eastAsia="en-US" w:bidi="ar-SA"/>
              </w:rPr>
            </w:r>
          </w:p>
        </w:tc>
      </w:tr>
      <w:tr>
        <w:trPr/>
        <w:tc>
          <w:tcPr>
            <w:tcW w:w="21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Pooled Quality Control (QC) samples </w:t>
            </w:r>
          </w:p>
        </w:tc>
        <w:tc>
          <w:tcPr>
            <w:tcW w:w="2552"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10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 pooled plasma QC</w:t>
            </w:r>
          </w:p>
        </w:tc>
        <w:tc>
          <w:tcPr>
            <w:tcW w:w="1984"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20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Labelled IS</w:t>
            </w:r>
          </w:p>
        </w:tc>
        <w:tc>
          <w:tcPr>
            <w:tcW w:w="2409" w:type="dxa"/>
            <w:tcBorders/>
            <w:vAlign w:val="center"/>
          </w:tcPr>
          <w:p>
            <w:pPr>
              <w:pStyle w:val="Normal"/>
              <w:widowControl/>
              <w:spacing w:before="0" w:after="0"/>
              <w:jc w:val="center"/>
              <w:rPr>
                <w:rFonts w:ascii="Times New Roman" w:hAnsi="Times New Roman" w:cs="Times New Roman"/>
                <w:sz w:val="20"/>
                <w:szCs w:val="20"/>
                <w:lang w:val="de-CH"/>
              </w:rPr>
            </w:pPr>
            <w:r>
              <w:rPr>
                <w:rFonts w:eastAsia="Calibri" w:cs="Times New Roman" w:ascii="Times New Roman" w:hAnsi="Times New Roman"/>
                <w:kern w:val="0"/>
                <w:sz w:val="20"/>
                <w:szCs w:val="20"/>
                <w:lang w:val="de-CH" w:eastAsia="en-US" w:bidi="ar-SA"/>
              </w:rPr>
              <w:t xml:space="preserve">570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val="de-CH" w:eastAsia="en-US" w:bidi="ar-SA"/>
              </w:rPr>
              <w:t>L</w:t>
            </w:r>
            <w:r>
              <w:rPr>
                <w:rFonts w:eastAsia="Calibri"/>
                <w:kern w:val="0"/>
                <w:lang w:val="de-CH" w:eastAsia="en-US" w:bidi="ar-SA"/>
              </w:rPr>
              <w:t xml:space="preserve"> </w:t>
            </w:r>
            <w:r>
              <w:rPr>
                <w:rFonts w:eastAsia="Calibri" w:cs="Times New Roman" w:ascii="Times New Roman" w:hAnsi="Times New Roman"/>
                <w:kern w:val="0"/>
                <w:sz w:val="20"/>
                <w:szCs w:val="20"/>
                <w:lang w:val="de-CH" w:eastAsia="en-US" w:bidi="ar-SA"/>
              </w:rPr>
              <w:t>EtAc:IPA 2:8 (v/v)</w:t>
            </w:r>
          </w:p>
        </w:tc>
      </w:tr>
      <w:tr>
        <w:trPr/>
        <w:tc>
          <w:tcPr>
            <w:tcW w:w="21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Matrix Blank (MB)</w:t>
            </w:r>
          </w:p>
        </w:tc>
        <w:tc>
          <w:tcPr>
            <w:tcW w:w="2552"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10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 Matrix (pooled plasma QC) only</w:t>
            </w:r>
          </w:p>
        </w:tc>
        <w:tc>
          <w:tcPr>
            <w:tcW w:w="1984"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w:t>
            </w:r>
          </w:p>
        </w:tc>
        <w:tc>
          <w:tcPr>
            <w:tcW w:w="2409"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590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EtAc:IPA 2:8</w:t>
            </w:r>
          </w:p>
        </w:tc>
      </w:tr>
      <w:tr>
        <w:trPr/>
        <w:tc>
          <w:tcPr>
            <w:tcW w:w="21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Study Samples (S)</w:t>
            </w:r>
          </w:p>
        </w:tc>
        <w:tc>
          <w:tcPr>
            <w:tcW w:w="2552" w:type="dxa"/>
            <w:tcBorders/>
            <w:vAlign w:val="center"/>
          </w:tcPr>
          <w:p>
            <w:pPr>
              <w:pStyle w:val="Normal"/>
              <w:widowControl/>
              <w:spacing w:before="0" w:after="0"/>
              <w:jc w:val="center"/>
              <w:rPr>
                <w:sz w:val="20"/>
                <w:szCs w:val="20"/>
              </w:rPr>
            </w:pPr>
            <w:r>
              <w:rPr>
                <w:rFonts w:eastAsia="Calibri" w:cs="Times New Roman" w:ascii="Times New Roman" w:hAnsi="Times New Roman"/>
                <w:kern w:val="0"/>
                <w:sz w:val="20"/>
                <w:szCs w:val="20"/>
                <w:lang w:eastAsia="en-US" w:bidi="ar-SA"/>
              </w:rPr>
              <w:t xml:space="preserve">10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 Human plasma (NIST SRM1950, high TAG, T1D, young AA)</w:t>
            </w:r>
          </w:p>
        </w:tc>
        <w:tc>
          <w:tcPr>
            <w:tcW w:w="1984"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20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Labelled IS</w:t>
            </w:r>
          </w:p>
        </w:tc>
        <w:tc>
          <w:tcPr>
            <w:tcW w:w="2409"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570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EtAc:IPA 2:8</w:t>
            </w:r>
          </w:p>
        </w:tc>
      </w:tr>
      <w:tr>
        <w:trPr/>
        <w:tc>
          <w:tcPr>
            <w:tcW w:w="21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Total Blank (TB) </w:t>
            </w:r>
          </w:p>
        </w:tc>
        <w:tc>
          <w:tcPr>
            <w:tcW w:w="2552"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10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 5% BSA</w:t>
            </w:r>
          </w:p>
        </w:tc>
        <w:tc>
          <w:tcPr>
            <w:tcW w:w="1984"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w:t>
            </w:r>
          </w:p>
        </w:tc>
        <w:tc>
          <w:tcPr>
            <w:tcW w:w="2409"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590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EtAc:IPA 2:8</w:t>
            </w:r>
          </w:p>
        </w:tc>
      </w:tr>
      <w:tr>
        <w:trPr/>
        <w:tc>
          <w:tcPr>
            <w:tcW w:w="21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Calibration line standards (STD)</w:t>
            </w:r>
          </w:p>
        </w:tc>
        <w:tc>
          <w:tcPr>
            <w:tcW w:w="2552"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10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 xml:space="preserve">L 5% BSA + 20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 non-labelled STDx mixture (Table 5)</w:t>
            </w:r>
          </w:p>
        </w:tc>
        <w:tc>
          <w:tcPr>
            <w:tcW w:w="1984"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20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Labelled IS</w:t>
            </w:r>
          </w:p>
        </w:tc>
        <w:tc>
          <w:tcPr>
            <w:tcW w:w="2409"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 xml:space="preserve">550 </w:t>
            </w:r>
            <w:r>
              <w:rPr>
                <w:rFonts w:eastAsia="Symbol" w:cs="Symbol" w:ascii="Symbol" w:hAnsi="Symbol"/>
                <w:kern w:val="0"/>
                <w:sz w:val="20"/>
                <w:szCs w:val="20"/>
                <w:lang w:eastAsia="en-US" w:bidi="ar-SA"/>
              </w:rPr>
              <w:t></w:t>
            </w:r>
            <w:r>
              <w:rPr>
                <w:rFonts w:eastAsia="Calibri" w:cs="Times New Roman" w:ascii="Times New Roman" w:hAnsi="Times New Roman"/>
                <w:kern w:val="0"/>
                <w:sz w:val="20"/>
                <w:szCs w:val="20"/>
                <w:lang w:eastAsia="en-US" w:bidi="ar-SA"/>
              </w:rPr>
              <w:t>L</w:t>
            </w:r>
            <w:r>
              <w:rPr>
                <w:rFonts w:eastAsia="Calibri"/>
                <w:kern w:val="0"/>
                <w:lang w:eastAsia="en-US" w:bidi="ar-SA"/>
              </w:rPr>
              <w:t xml:space="preserve"> </w:t>
            </w:r>
            <w:r>
              <w:rPr>
                <w:rFonts w:eastAsia="Calibri" w:cs="Times New Roman" w:ascii="Times New Roman" w:hAnsi="Times New Roman"/>
                <w:kern w:val="0"/>
                <w:sz w:val="20"/>
                <w:szCs w:val="20"/>
                <w:lang w:eastAsia="en-US" w:bidi="ar-SA"/>
              </w:rPr>
              <w:t>EtAc:IPA 2:8</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Table 3. </w:t>
      </w:r>
      <w:r>
        <w:rPr>
          <w:rFonts w:cs="Times New Roman" w:ascii="Times New Roman" w:hAnsi="Times New Roman"/>
          <w:b/>
          <w:bCs/>
        </w:rPr>
        <w:t>Labelled internal standard</w:t>
      </w:r>
      <w:r>
        <w:rPr>
          <w:rFonts w:cs="Times New Roman" w:ascii="Times New Roman" w:hAnsi="Times New Roman"/>
        </w:rPr>
        <w:t xml:space="preserve"> mixture solution (provided). Keep at -20° C. Equilibrate at RT and sonicate 10 min before use.</w:t>
      </w:r>
    </w:p>
    <w:tbl>
      <w:tblPr>
        <w:tblStyle w:val="TableGrid"/>
        <w:tblW w:w="3850" w:type="pct"/>
        <w:jc w:val="left"/>
        <w:tblInd w:w="0" w:type="dxa"/>
        <w:tblLayout w:type="fixed"/>
        <w:tblCellMar>
          <w:top w:w="0" w:type="dxa"/>
          <w:left w:w="108" w:type="dxa"/>
          <w:bottom w:w="0" w:type="dxa"/>
          <w:right w:w="108" w:type="dxa"/>
        </w:tblCellMar>
        <w:tblLook w:noVBand="1" w:val="04a0" w:noHBand="0" w:lastColumn="0" w:firstColumn="1" w:lastRow="0" w:firstRow="1"/>
      </w:tblPr>
      <w:tblGrid>
        <w:gridCol w:w="2921"/>
        <w:gridCol w:w="2031"/>
        <w:gridCol w:w="2033"/>
      </w:tblGrid>
      <w:tr>
        <w:trPr>
          <w:trHeight w:val="362" w:hRule="atLeast"/>
        </w:trPr>
        <w:tc>
          <w:tcPr>
            <w:tcW w:w="2921" w:type="dxa"/>
            <w:tcBorders/>
            <w:vAlign w:val="center"/>
          </w:tcPr>
          <w:p>
            <w:pPr>
              <w:pStyle w:val="Normal"/>
              <w:widowControl/>
              <w:spacing w:before="0" w:after="0"/>
              <w:jc w:val="center"/>
              <w:rPr>
                <w:rFonts w:ascii="Times New Roman" w:hAnsi="Times New Roman" w:cs="Times New Roman"/>
                <w:sz w:val="22"/>
                <w:szCs w:val="20"/>
                <w:lang w:val="sv-FI"/>
              </w:rPr>
            </w:pPr>
            <w:r>
              <w:rPr>
                <w:rFonts w:eastAsia="Calibri" w:cs="Times New Roman" w:ascii="Times New Roman" w:hAnsi="Times New Roman"/>
                <w:kern w:val="0"/>
                <w:sz w:val="22"/>
                <w:szCs w:val="20"/>
                <w:lang w:val="sv-FI" w:eastAsia="en-US" w:bidi="ar-SA"/>
              </w:rPr>
              <w:t>Labelled internal standard mixture in EtAc:IPA 2:8 (v/v)</w:t>
            </w:r>
          </w:p>
        </w:tc>
        <w:tc>
          <w:tcPr>
            <w:tcW w:w="2031" w:type="dxa"/>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Concentration, pmol/</w:t>
            </w:r>
            <w:r>
              <w:rPr>
                <w:rFonts w:eastAsia="Symbol" w:cs="Symbol" w:ascii="Symbol" w:hAnsi="Symbol"/>
                <w:kern w:val="0"/>
                <w:sz w:val="22"/>
                <w:szCs w:val="20"/>
                <w:lang w:eastAsia="en-US" w:bidi="ar-SA"/>
              </w:rPr>
              <w:t></w:t>
            </w:r>
            <w:r>
              <w:rPr>
                <w:rFonts w:eastAsia="Calibri" w:cs="Times New Roman" w:ascii="Times New Roman" w:hAnsi="Times New Roman"/>
                <w:kern w:val="0"/>
                <w:sz w:val="22"/>
                <w:szCs w:val="20"/>
                <w:lang w:eastAsia="en-US" w:bidi="ar-SA"/>
              </w:rPr>
              <w:t>L [</w:t>
            </w:r>
            <w:r>
              <w:rPr>
                <w:rFonts w:eastAsia="Symbol" w:cs="Symbol" w:ascii="Symbol" w:hAnsi="Symbol"/>
                <w:kern w:val="0"/>
                <w:sz w:val="22"/>
                <w:szCs w:val="20"/>
                <w:lang w:eastAsia="en-US" w:bidi="ar-SA"/>
              </w:rPr>
              <w:t></w:t>
            </w:r>
            <w:r>
              <w:rPr>
                <w:rFonts w:eastAsia="Calibri" w:cs="Times New Roman" w:ascii="Times New Roman" w:hAnsi="Times New Roman"/>
                <w:kern w:val="0"/>
                <w:sz w:val="22"/>
                <w:szCs w:val="20"/>
                <w:lang w:eastAsia="en-US" w:bidi="ar-SA"/>
              </w:rPr>
              <w:t>M]</w:t>
            </w:r>
          </w:p>
        </w:tc>
        <w:tc>
          <w:tcPr>
            <w:tcW w:w="2033" w:type="dxa"/>
            <w:tcBorders/>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Vendor</w:t>
            </w:r>
          </w:p>
        </w:tc>
      </w:tr>
      <w:tr>
        <w:trPr/>
        <w:tc>
          <w:tcPr>
            <w:tcW w:w="29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D7-Cer d18:1/16:0</w:t>
            </w:r>
          </w:p>
        </w:tc>
        <w:tc>
          <w:tcPr>
            <w:tcW w:w="2031"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0.125</w:t>
            </w:r>
          </w:p>
        </w:tc>
        <w:tc>
          <w:tcPr>
            <w:tcW w:w="2033"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Avanti Polar Lipids</w:t>
            </w:r>
          </w:p>
        </w:tc>
      </w:tr>
      <w:tr>
        <w:trPr/>
        <w:tc>
          <w:tcPr>
            <w:tcW w:w="29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D7-Cer d18:1/18:0</w:t>
            </w:r>
          </w:p>
        </w:tc>
        <w:tc>
          <w:tcPr>
            <w:tcW w:w="203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0.050</w:t>
            </w:r>
          </w:p>
        </w:tc>
        <w:tc>
          <w:tcPr>
            <w:tcW w:w="2033"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Avanti Polar Lipids</w:t>
            </w:r>
          </w:p>
        </w:tc>
      </w:tr>
      <w:tr>
        <w:trPr/>
        <w:tc>
          <w:tcPr>
            <w:tcW w:w="29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D7-Cer d18:1/24:0</w:t>
            </w:r>
          </w:p>
        </w:tc>
        <w:tc>
          <w:tcPr>
            <w:tcW w:w="203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1.500</w:t>
            </w:r>
          </w:p>
        </w:tc>
        <w:tc>
          <w:tcPr>
            <w:tcW w:w="2033"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Avanti Polar Lipids</w:t>
            </w:r>
          </w:p>
        </w:tc>
      </w:tr>
      <w:tr>
        <w:trPr>
          <w:trHeight w:val="306" w:hRule="atLeast"/>
        </w:trPr>
        <w:tc>
          <w:tcPr>
            <w:tcW w:w="2921"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D7-Cer d18:1/24:1</w:t>
            </w:r>
          </w:p>
        </w:tc>
        <w:tc>
          <w:tcPr>
            <w:tcW w:w="203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0.500</w:t>
            </w:r>
          </w:p>
        </w:tc>
        <w:tc>
          <w:tcPr>
            <w:tcW w:w="2033" w:type="dxa"/>
            <w:tcBorders/>
            <w:vAlign w:val="center"/>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Avanti Polar Lipids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lang w:val="en-SG"/>
        </w:rPr>
      </w:pPr>
      <w:r>
        <w:rPr>
          <w:rFonts w:eastAsia="Times New Roman" w:cs="Times New Roman" w:ascii="Times New Roman" w:hAnsi="Times New Roman"/>
        </w:rPr>
        <w:t xml:space="preserve">Table 4. </w:t>
      </w:r>
      <w:r>
        <w:rPr>
          <w:rFonts w:eastAsia="Times New Roman" w:cs="Times New Roman" w:ascii="Times New Roman" w:hAnsi="Times New Roman"/>
          <w:b/>
        </w:rPr>
        <w:t>STD1</w:t>
      </w:r>
      <w:r>
        <w:rPr>
          <w:rFonts w:eastAsia="Times New Roman" w:cs="Times New Roman" w:ascii="Times New Roman" w:hAnsi="Times New Roman"/>
        </w:rPr>
        <w:t xml:space="preserve"> mixture solution (provided)</w:t>
      </w:r>
    </w:p>
    <w:tbl>
      <w:tblPr>
        <w:tblStyle w:val="Tabellrutnt1"/>
        <w:tblW w:w="845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776"/>
        <w:gridCol w:w="1441"/>
        <w:gridCol w:w="2439"/>
        <w:gridCol w:w="1794"/>
      </w:tblGrid>
      <w:tr>
        <w:trPr>
          <w:trHeight w:val="362" w:hRule="atLeast"/>
        </w:trPr>
        <w:tc>
          <w:tcPr>
            <w:tcW w:w="4217" w:type="dxa"/>
            <w:gridSpan w:val="2"/>
            <w:tcBorders/>
            <w:vAlign w:val="center"/>
          </w:tcPr>
          <w:p>
            <w:pPr>
              <w:pStyle w:val="Normal"/>
              <w:widowControl/>
              <w:spacing w:beforeAutospacing="1" w:after="0"/>
              <w:jc w:val="center"/>
              <w:rPr>
                <w:rFonts w:eastAsia="Times New Roman"/>
                <w:kern w:val="0"/>
                <w:lang w:eastAsia="en-US" w:bidi="ar-SA"/>
              </w:rPr>
            </w:pPr>
            <w:r>
              <w:rPr>
                <w:rFonts w:eastAsia="Times New Roman" w:cs="Times New Roman" w:ascii="Times New Roman" w:hAnsi="Times New Roman"/>
                <w:kern w:val="0"/>
                <w:sz w:val="22"/>
                <w:szCs w:val="20"/>
                <w:lang w:eastAsia="en-US" w:bidi="ar-SA"/>
              </w:rPr>
              <w:t>Non-labelled standards </w:t>
            </w:r>
            <w:r>
              <w:rPr>
                <w:rFonts w:eastAsia="Times New Roman" w:cs="Times New Roman" w:ascii="Times New Roman" w:hAnsi="Times New Roman"/>
                <w:kern w:val="0"/>
                <w:sz w:val="22"/>
                <w:szCs w:val="22"/>
                <w:lang w:eastAsia="en-US" w:bidi="ar-SA"/>
              </w:rPr>
              <w:t>in EtAc:IPA 2:8 (v/v)</w:t>
            </w:r>
          </w:p>
        </w:tc>
        <w:tc>
          <w:tcPr>
            <w:tcW w:w="2439" w:type="dxa"/>
            <w:tcBorders/>
            <w:vAlign w:val="center"/>
          </w:tcPr>
          <w:p>
            <w:pPr>
              <w:pStyle w:val="Normal"/>
              <w:widowControl/>
              <w:spacing w:beforeAutospacing="1" w:after="0"/>
              <w:jc w:val="center"/>
              <w:rPr>
                <w:kern w:val="0"/>
                <w:lang w:eastAsia="en-US" w:bidi="ar-SA"/>
              </w:rPr>
            </w:pPr>
            <w:r>
              <w:rPr>
                <w:rFonts w:eastAsia="Times New Roman" w:cs="Times New Roman" w:ascii="Times New Roman" w:hAnsi="Times New Roman"/>
                <w:kern w:val="0"/>
                <w:sz w:val="22"/>
                <w:szCs w:val="22"/>
                <w:lang w:eastAsia="en-US" w:bidi="ar-SA"/>
              </w:rPr>
              <w:t>Concentration [pmol/</w:t>
            </w:r>
            <w:r>
              <w:rPr>
                <w:rFonts w:eastAsia="Symbol" w:cs="Symbol" w:ascii="Symbol" w:hAnsi="Symbol"/>
                <w:kern w:val="0"/>
                <w:sz w:val="22"/>
                <w:szCs w:val="20"/>
                <w:lang w:eastAsia="en-US" w:bidi="ar-SA"/>
              </w:rPr>
              <w:t></w:t>
            </w:r>
            <w:r>
              <w:rPr>
                <w:rFonts w:eastAsia="Times New Roman" w:cs="Times New Roman" w:ascii="Times New Roman" w:hAnsi="Times New Roman"/>
                <w:kern w:val="0"/>
                <w:sz w:val="22"/>
                <w:szCs w:val="20"/>
                <w:lang w:eastAsia="en-US" w:bidi="ar-SA"/>
              </w:rPr>
              <w:t>L]</w:t>
            </w:r>
          </w:p>
        </w:tc>
        <w:tc>
          <w:tcPr>
            <w:tcW w:w="1794" w:type="dxa"/>
            <w:tcBorders/>
          </w:tcPr>
          <w:p>
            <w:pPr>
              <w:pStyle w:val="Normal"/>
              <w:widowControl/>
              <w:spacing w:beforeAutospacing="1" w:after="0"/>
              <w:jc w:val="center"/>
              <w:rPr>
                <w:rFonts w:ascii="Times New Roman" w:hAnsi="Times New Roman" w:cs="Times New Roman"/>
                <w:sz w:val="22"/>
                <w:szCs w:val="22"/>
              </w:rPr>
            </w:pPr>
            <w:r>
              <w:rPr>
                <w:rFonts w:eastAsia="Times New Roman" w:cs="Times New Roman" w:ascii="Times New Roman" w:hAnsi="Times New Roman"/>
                <w:kern w:val="0"/>
                <w:sz w:val="22"/>
                <w:szCs w:val="22"/>
                <w:lang w:eastAsia="en-US" w:bidi="ar-SA"/>
              </w:rPr>
              <w:t>Vendor</w:t>
            </w:r>
          </w:p>
        </w:tc>
      </w:tr>
      <w:tr>
        <w:trPr/>
        <w:tc>
          <w:tcPr>
            <w:tcW w:w="2776" w:type="dxa"/>
            <w:vMerge w:val="restart"/>
            <w:tcBorders/>
            <w:vAlign w:val="center"/>
          </w:tcPr>
          <w:p>
            <w:pPr>
              <w:pStyle w:val="Normal"/>
              <w:widowControl/>
              <w:spacing w:beforeAutospacing="1" w:after="0"/>
              <w:jc w:val="left"/>
              <w:rPr>
                <w:rFonts w:eastAsia="Times New Roman"/>
                <w:kern w:val="0"/>
                <w:lang w:eastAsia="en-US" w:bidi="ar-SA"/>
              </w:rPr>
            </w:pPr>
            <w:r>
              <w:rPr>
                <w:rFonts w:eastAsia="Times New Roman" w:cs="Times New Roman" w:ascii="Times New Roman" w:hAnsi="Times New Roman"/>
                <w:kern w:val="0"/>
                <w:sz w:val="20"/>
                <w:szCs w:val="20"/>
                <w:lang w:eastAsia="en-US" w:bidi="ar-SA"/>
              </w:rPr>
              <w:t>Non-labelled standards mixture</w:t>
            </w:r>
          </w:p>
        </w:tc>
        <w:tc>
          <w:tcPr>
            <w:tcW w:w="1441" w:type="dxa"/>
            <w:tcBorders/>
            <w:vAlign w:val="center"/>
          </w:tcPr>
          <w:p>
            <w:pPr>
              <w:pStyle w:val="Normal"/>
              <w:widowControl/>
              <w:spacing w:beforeAutospacing="1" w:after="0"/>
              <w:jc w:val="left"/>
              <w:rPr>
                <w:rFonts w:eastAsia="Times New Roman"/>
                <w:kern w:val="0"/>
                <w:lang w:eastAsia="en-US" w:bidi="ar-SA"/>
              </w:rPr>
            </w:pPr>
            <w:r>
              <w:rPr>
                <w:rFonts w:eastAsia="Times New Roman" w:cs="Times New Roman" w:ascii="Times New Roman" w:hAnsi="Times New Roman"/>
                <w:kern w:val="0"/>
                <w:sz w:val="20"/>
                <w:szCs w:val="20"/>
                <w:lang w:eastAsia="en-US" w:bidi="ar-SA"/>
              </w:rPr>
              <w:t>Cer d18:1/16:0</w:t>
            </w:r>
          </w:p>
        </w:tc>
        <w:tc>
          <w:tcPr>
            <w:tcW w:w="2439" w:type="dxa"/>
            <w:tcBorders/>
            <w:vAlign w:val="center"/>
          </w:tcPr>
          <w:p>
            <w:pPr>
              <w:pStyle w:val="Normal"/>
              <w:widowControl/>
              <w:spacing w:beforeAutospacing="1" w:after="0"/>
              <w:jc w:val="center"/>
              <w:rPr>
                <w:rFonts w:eastAsia="Times New Roman"/>
                <w:kern w:val="0"/>
                <w:lang w:eastAsia="en-US" w:bidi="ar-SA"/>
              </w:rPr>
            </w:pPr>
            <w:r>
              <w:rPr>
                <w:rFonts w:eastAsia="Times New Roman" w:cs="Times New Roman" w:ascii="Times New Roman" w:hAnsi="Times New Roman"/>
                <w:kern w:val="0"/>
                <w:sz w:val="20"/>
                <w:szCs w:val="20"/>
                <w:lang w:eastAsia="en-US" w:bidi="ar-SA"/>
              </w:rPr>
              <w:t>2</w:t>
            </w:r>
          </w:p>
        </w:tc>
        <w:tc>
          <w:tcPr>
            <w:tcW w:w="1794" w:type="dxa"/>
            <w:tcBorders/>
          </w:tcPr>
          <w:p>
            <w:pPr>
              <w:pStyle w:val="Normal"/>
              <w:widowControl/>
              <w:spacing w:beforeAutospacing="1" w:after="0"/>
              <w:jc w:val="center"/>
              <w:rPr>
                <w:rFonts w:ascii="Times New Roman" w:hAnsi="Times New Roman" w:cs="Times New Roman"/>
                <w:sz w:val="20"/>
                <w:szCs w:val="20"/>
              </w:rPr>
            </w:pPr>
            <w:r>
              <w:rPr>
                <w:rFonts w:eastAsia="Times New Roman" w:cs="Times New Roman" w:ascii="Times New Roman" w:hAnsi="Times New Roman"/>
                <w:kern w:val="0"/>
                <w:sz w:val="20"/>
                <w:szCs w:val="20"/>
                <w:lang w:eastAsia="en-US" w:bidi="ar-SA"/>
              </w:rPr>
              <w:t>Avanti Polar Lipids</w:t>
            </w:r>
          </w:p>
        </w:tc>
      </w:tr>
      <w:tr>
        <w:trPr/>
        <w:tc>
          <w:tcPr>
            <w:tcW w:w="2776" w:type="dxa"/>
            <w:vMerge w:val="continue"/>
            <w:tcBorders/>
            <w:vAlign w:val="center"/>
          </w:tcPr>
          <w:p>
            <w:pPr>
              <w:pStyle w:val="Normal"/>
              <w:widowControl/>
              <w:spacing w:before="0" w:after="0"/>
              <w:jc w:val="left"/>
              <w:rPr>
                <w:lang w:val="sv-SE"/>
              </w:rPr>
            </w:pPr>
            <w:r>
              <w:rPr>
                <w:rFonts w:eastAsia="Times New Roman" w:cs=""/>
                <w:kern w:val="0"/>
                <w:sz w:val="24"/>
                <w:szCs w:val="24"/>
                <w:lang w:val="sv-SE" w:eastAsia="en-US" w:bidi="ar-SA"/>
              </w:rPr>
            </w:r>
          </w:p>
        </w:tc>
        <w:tc>
          <w:tcPr>
            <w:tcW w:w="1441" w:type="dxa"/>
            <w:tcBorders/>
            <w:vAlign w:val="center"/>
          </w:tcPr>
          <w:p>
            <w:pPr>
              <w:pStyle w:val="Normal"/>
              <w:widowControl/>
              <w:spacing w:beforeAutospacing="1" w:after="0"/>
              <w:jc w:val="left"/>
              <w:rPr>
                <w:rFonts w:eastAsia="Times New Roman"/>
                <w:kern w:val="0"/>
                <w:lang w:eastAsia="en-US" w:bidi="ar-SA"/>
              </w:rPr>
            </w:pPr>
            <w:r>
              <w:rPr>
                <w:rFonts w:eastAsia="Times New Roman" w:cs="Times New Roman" w:ascii="Times New Roman" w:hAnsi="Times New Roman"/>
                <w:kern w:val="0"/>
                <w:sz w:val="20"/>
                <w:szCs w:val="20"/>
                <w:lang w:eastAsia="en-US" w:bidi="ar-SA"/>
              </w:rPr>
              <w:t>Cer d18:1/18:0</w:t>
            </w:r>
          </w:p>
        </w:tc>
        <w:tc>
          <w:tcPr>
            <w:tcW w:w="2439" w:type="dxa"/>
            <w:tcBorders/>
            <w:vAlign w:val="center"/>
          </w:tcPr>
          <w:p>
            <w:pPr>
              <w:pStyle w:val="Normal"/>
              <w:widowControl/>
              <w:spacing w:beforeAutospacing="1" w:after="0"/>
              <w:jc w:val="center"/>
              <w:rPr>
                <w:rFonts w:eastAsia="Times New Roman"/>
                <w:kern w:val="0"/>
                <w:lang w:eastAsia="en-US" w:bidi="ar-SA"/>
              </w:rPr>
            </w:pPr>
            <w:r>
              <w:rPr>
                <w:rFonts w:eastAsia="Times New Roman" w:cs="Times New Roman" w:ascii="Times New Roman" w:hAnsi="Times New Roman"/>
                <w:kern w:val="0"/>
                <w:sz w:val="20"/>
                <w:szCs w:val="20"/>
                <w:lang w:eastAsia="en-US" w:bidi="ar-SA"/>
              </w:rPr>
              <w:t>2</w:t>
            </w:r>
          </w:p>
        </w:tc>
        <w:tc>
          <w:tcPr>
            <w:tcW w:w="1794" w:type="dxa"/>
            <w:tcBorders/>
          </w:tcPr>
          <w:p>
            <w:pPr>
              <w:pStyle w:val="Normal"/>
              <w:widowControl/>
              <w:spacing w:beforeAutospacing="1" w:after="0"/>
              <w:jc w:val="center"/>
              <w:rPr>
                <w:rFonts w:ascii="Times New Roman" w:hAnsi="Times New Roman" w:cs="Times New Roman"/>
                <w:sz w:val="20"/>
                <w:szCs w:val="20"/>
              </w:rPr>
            </w:pPr>
            <w:r>
              <w:rPr>
                <w:rFonts w:eastAsia="Times New Roman" w:cs="Times New Roman" w:ascii="Times New Roman" w:hAnsi="Times New Roman"/>
                <w:kern w:val="0"/>
                <w:sz w:val="20"/>
                <w:szCs w:val="20"/>
                <w:lang w:eastAsia="en-US" w:bidi="ar-SA"/>
              </w:rPr>
              <w:t>Avanti Polar Lipids</w:t>
            </w:r>
          </w:p>
        </w:tc>
      </w:tr>
      <w:tr>
        <w:trPr/>
        <w:tc>
          <w:tcPr>
            <w:tcW w:w="2776" w:type="dxa"/>
            <w:vMerge w:val="continue"/>
            <w:tcBorders/>
            <w:vAlign w:val="center"/>
          </w:tcPr>
          <w:p>
            <w:pPr>
              <w:pStyle w:val="Normal"/>
              <w:widowControl/>
              <w:spacing w:before="0" w:after="0"/>
              <w:jc w:val="left"/>
              <w:rPr>
                <w:lang w:val="sv-SE"/>
              </w:rPr>
            </w:pPr>
            <w:r>
              <w:rPr>
                <w:rFonts w:eastAsia="Times New Roman" w:cs=""/>
                <w:kern w:val="0"/>
                <w:sz w:val="24"/>
                <w:szCs w:val="24"/>
                <w:lang w:val="sv-SE" w:eastAsia="en-US" w:bidi="ar-SA"/>
              </w:rPr>
            </w:r>
          </w:p>
        </w:tc>
        <w:tc>
          <w:tcPr>
            <w:tcW w:w="1441" w:type="dxa"/>
            <w:tcBorders/>
            <w:vAlign w:val="center"/>
          </w:tcPr>
          <w:p>
            <w:pPr>
              <w:pStyle w:val="Normal"/>
              <w:widowControl/>
              <w:spacing w:beforeAutospacing="1" w:after="0"/>
              <w:jc w:val="left"/>
              <w:rPr>
                <w:rFonts w:eastAsia="Times New Roman"/>
                <w:kern w:val="0"/>
                <w:lang w:eastAsia="en-US" w:bidi="ar-SA"/>
              </w:rPr>
            </w:pPr>
            <w:r>
              <w:rPr>
                <w:rFonts w:eastAsia="Times New Roman" w:cs="Times New Roman" w:ascii="Times New Roman" w:hAnsi="Times New Roman"/>
                <w:kern w:val="0"/>
                <w:sz w:val="20"/>
                <w:szCs w:val="20"/>
                <w:lang w:eastAsia="en-US" w:bidi="ar-SA"/>
              </w:rPr>
              <w:t>Cer d18:1/24:0</w:t>
            </w:r>
          </w:p>
        </w:tc>
        <w:tc>
          <w:tcPr>
            <w:tcW w:w="2439" w:type="dxa"/>
            <w:tcBorders/>
            <w:vAlign w:val="center"/>
          </w:tcPr>
          <w:p>
            <w:pPr>
              <w:pStyle w:val="Normal"/>
              <w:widowControl/>
              <w:spacing w:beforeAutospacing="1" w:after="0"/>
              <w:jc w:val="center"/>
              <w:rPr>
                <w:rFonts w:eastAsia="Times New Roman"/>
                <w:kern w:val="0"/>
                <w:lang w:eastAsia="en-US" w:bidi="ar-SA"/>
              </w:rPr>
            </w:pPr>
            <w:r>
              <w:rPr>
                <w:rFonts w:eastAsia="Times New Roman" w:cs="Times New Roman" w:ascii="Times New Roman" w:hAnsi="Times New Roman"/>
                <w:kern w:val="0"/>
                <w:sz w:val="20"/>
                <w:szCs w:val="20"/>
                <w:lang w:eastAsia="en-US" w:bidi="ar-SA"/>
              </w:rPr>
              <w:t>20</w:t>
            </w:r>
          </w:p>
        </w:tc>
        <w:tc>
          <w:tcPr>
            <w:tcW w:w="1794" w:type="dxa"/>
            <w:tcBorders/>
          </w:tcPr>
          <w:p>
            <w:pPr>
              <w:pStyle w:val="Normal"/>
              <w:widowControl/>
              <w:spacing w:beforeAutospacing="1" w:after="0"/>
              <w:jc w:val="center"/>
              <w:rPr>
                <w:rFonts w:ascii="Times New Roman" w:hAnsi="Times New Roman" w:cs="Times New Roman"/>
                <w:sz w:val="20"/>
                <w:szCs w:val="20"/>
              </w:rPr>
            </w:pPr>
            <w:r>
              <w:rPr>
                <w:rFonts w:eastAsia="Times New Roman" w:cs="Times New Roman" w:ascii="Times New Roman" w:hAnsi="Times New Roman"/>
                <w:kern w:val="0"/>
                <w:sz w:val="20"/>
                <w:szCs w:val="20"/>
                <w:lang w:eastAsia="en-US" w:bidi="ar-SA"/>
              </w:rPr>
              <w:t>Avanti Polar Lipids</w:t>
            </w:r>
          </w:p>
        </w:tc>
      </w:tr>
      <w:tr>
        <w:trPr/>
        <w:tc>
          <w:tcPr>
            <w:tcW w:w="2776" w:type="dxa"/>
            <w:vMerge w:val="continue"/>
            <w:tcBorders/>
            <w:vAlign w:val="center"/>
          </w:tcPr>
          <w:p>
            <w:pPr>
              <w:pStyle w:val="Normal"/>
              <w:widowControl/>
              <w:spacing w:before="0" w:after="0"/>
              <w:jc w:val="left"/>
              <w:rPr>
                <w:lang w:val="sv-SE"/>
              </w:rPr>
            </w:pPr>
            <w:r>
              <w:rPr>
                <w:rFonts w:eastAsia="Times New Roman" w:cs=""/>
                <w:kern w:val="0"/>
                <w:sz w:val="24"/>
                <w:szCs w:val="24"/>
                <w:lang w:val="sv-SE" w:eastAsia="en-US" w:bidi="ar-SA"/>
              </w:rPr>
            </w:r>
          </w:p>
        </w:tc>
        <w:tc>
          <w:tcPr>
            <w:tcW w:w="1441" w:type="dxa"/>
            <w:tcBorders/>
            <w:vAlign w:val="center"/>
          </w:tcPr>
          <w:p>
            <w:pPr>
              <w:pStyle w:val="Normal"/>
              <w:widowControl/>
              <w:spacing w:beforeAutospacing="1" w:after="0"/>
              <w:jc w:val="left"/>
              <w:rPr>
                <w:rFonts w:eastAsia="Times New Roman"/>
                <w:kern w:val="0"/>
                <w:lang w:eastAsia="en-US" w:bidi="ar-SA"/>
              </w:rPr>
            </w:pPr>
            <w:r>
              <w:rPr>
                <w:rFonts w:eastAsia="Times New Roman" w:cs="Times New Roman" w:ascii="Times New Roman" w:hAnsi="Times New Roman"/>
                <w:kern w:val="0"/>
                <w:sz w:val="20"/>
                <w:szCs w:val="20"/>
                <w:lang w:eastAsia="en-US" w:bidi="ar-SA"/>
              </w:rPr>
              <w:t>Cer d18:1/24:1</w:t>
            </w:r>
          </w:p>
        </w:tc>
        <w:tc>
          <w:tcPr>
            <w:tcW w:w="2439" w:type="dxa"/>
            <w:tcBorders/>
            <w:vAlign w:val="center"/>
          </w:tcPr>
          <w:p>
            <w:pPr>
              <w:pStyle w:val="Normal"/>
              <w:widowControl/>
              <w:spacing w:beforeAutospacing="1" w:after="0"/>
              <w:jc w:val="center"/>
              <w:rPr>
                <w:rFonts w:eastAsia="Times New Roman"/>
                <w:kern w:val="0"/>
                <w:lang w:eastAsia="en-US" w:bidi="ar-SA"/>
              </w:rPr>
            </w:pPr>
            <w:r>
              <w:rPr>
                <w:rFonts w:eastAsia="Times New Roman" w:cs="Times New Roman" w:ascii="Times New Roman" w:hAnsi="Times New Roman"/>
                <w:kern w:val="0"/>
                <w:sz w:val="20"/>
                <w:szCs w:val="20"/>
                <w:lang w:eastAsia="en-US" w:bidi="ar-SA"/>
              </w:rPr>
              <w:t>20</w:t>
            </w:r>
          </w:p>
        </w:tc>
        <w:tc>
          <w:tcPr>
            <w:tcW w:w="1794" w:type="dxa"/>
            <w:tcBorders/>
          </w:tcPr>
          <w:p>
            <w:pPr>
              <w:pStyle w:val="Normal"/>
              <w:widowControl/>
              <w:spacing w:beforeAutospacing="1" w:after="0"/>
              <w:jc w:val="center"/>
              <w:rPr>
                <w:rFonts w:ascii="Times New Roman" w:hAnsi="Times New Roman" w:cs="Times New Roman"/>
                <w:sz w:val="20"/>
                <w:szCs w:val="20"/>
              </w:rPr>
            </w:pPr>
            <w:r>
              <w:rPr>
                <w:rFonts w:eastAsia="Times New Roman" w:cs="Times New Roman" w:ascii="Times New Roman" w:hAnsi="Times New Roman"/>
                <w:kern w:val="0"/>
                <w:sz w:val="20"/>
                <w:szCs w:val="20"/>
                <w:lang w:eastAsia="en-US" w:bidi="ar-SA"/>
              </w:rPr>
              <w:t>Avanti Polar Lipids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5.</w:t>
      </w:r>
      <w:r>
        <w:rPr>
          <w:rFonts w:cs="Times New Roman" w:ascii="Times New Roman" w:hAnsi="Times New Roman"/>
          <w:sz w:val="22"/>
          <w:szCs w:val="20"/>
        </w:rPr>
        <w:t xml:space="preserve"> Serial dilutions of STD1 non-labelled standards</w:t>
      </w:r>
      <w:r>
        <w:rPr>
          <w:rFonts w:cs="Times New Roman" w:ascii="Times New Roman" w:hAnsi="Times New Roman"/>
          <w:b/>
          <w:sz w:val="22"/>
          <w:szCs w:val="20"/>
        </w:rPr>
        <w:t xml:space="preserve"> for calibration line</w:t>
      </w:r>
      <w:r>
        <w:rPr>
          <w:rFonts w:cs="Times New Roman" w:ascii="Times New Roman" w:hAnsi="Times New Roman"/>
          <w:sz w:val="22"/>
          <w:szCs w:val="20"/>
        </w:rPr>
        <w:t>.</w:t>
      </w:r>
    </w:p>
    <w:tbl>
      <w:tblPr>
        <w:tblStyle w:val="TableGrid"/>
        <w:tblW w:w="869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360"/>
        <w:gridCol w:w="1422"/>
        <w:gridCol w:w="754"/>
        <w:gridCol w:w="742"/>
        <w:gridCol w:w="743"/>
        <w:gridCol w:w="741"/>
        <w:gridCol w:w="742"/>
        <w:gridCol w:w="743"/>
        <w:gridCol w:w="448"/>
      </w:tblGrid>
      <w:tr>
        <w:trPr>
          <w:trHeight w:val="362" w:hRule="atLeast"/>
        </w:trPr>
        <w:tc>
          <w:tcPr>
            <w:tcW w:w="3782" w:type="dxa"/>
            <w:gridSpan w:val="2"/>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 xml:space="preserve">Add 20 </w:t>
            </w:r>
            <w:r>
              <w:rPr>
                <w:rFonts w:eastAsia="Symbol" w:cs="Symbol" w:ascii="Symbol" w:hAnsi="Symbol"/>
                <w:kern w:val="0"/>
                <w:sz w:val="22"/>
                <w:szCs w:val="20"/>
                <w:lang w:eastAsia="en-US" w:bidi="ar-SA"/>
              </w:rPr>
              <w:t></w:t>
            </w:r>
            <w:r>
              <w:rPr>
                <w:rFonts w:eastAsia="Calibri" w:cs="Times New Roman" w:ascii="Times New Roman" w:hAnsi="Times New Roman"/>
                <w:kern w:val="0"/>
                <w:sz w:val="22"/>
                <w:szCs w:val="20"/>
                <w:lang w:eastAsia="en-US" w:bidi="ar-SA"/>
              </w:rPr>
              <w:t>L of</w:t>
            </w:r>
          </w:p>
        </w:tc>
        <w:tc>
          <w:tcPr>
            <w:tcW w:w="754" w:type="dxa"/>
            <w:tcBorders/>
            <w:vAlign w:val="center"/>
          </w:tcPr>
          <w:p>
            <w:pPr>
              <w:pStyle w:val="Normal"/>
              <w:widowControl/>
              <w:spacing w:before="0" w:after="0"/>
              <w:jc w:val="center"/>
              <w:rPr>
                <w:rFonts w:ascii="Times New Roman" w:hAnsi="Times New Roman" w:cs="Times New Roman"/>
                <w:b/>
                <w:b/>
                <w:bCs/>
                <w:sz w:val="22"/>
                <w:szCs w:val="20"/>
              </w:rPr>
            </w:pPr>
            <w:r>
              <w:rPr>
                <w:rFonts w:eastAsia="Calibri" w:cs="Times New Roman" w:ascii="Times New Roman" w:hAnsi="Times New Roman"/>
                <w:b/>
                <w:bCs/>
                <w:kern w:val="0"/>
                <w:sz w:val="22"/>
                <w:szCs w:val="20"/>
                <w:lang w:eastAsia="en-US" w:bidi="ar-SA"/>
              </w:rPr>
              <w:t>STD1</w:t>
            </w:r>
          </w:p>
        </w:tc>
        <w:tc>
          <w:tcPr>
            <w:tcW w:w="742" w:type="dxa"/>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STD2</w:t>
            </w:r>
          </w:p>
        </w:tc>
        <w:tc>
          <w:tcPr>
            <w:tcW w:w="743" w:type="dxa"/>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STD3</w:t>
            </w:r>
          </w:p>
        </w:tc>
        <w:tc>
          <w:tcPr>
            <w:tcW w:w="741" w:type="dxa"/>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STD4</w:t>
            </w:r>
          </w:p>
        </w:tc>
        <w:tc>
          <w:tcPr>
            <w:tcW w:w="742" w:type="dxa"/>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STD5</w:t>
            </w:r>
          </w:p>
        </w:tc>
        <w:tc>
          <w:tcPr>
            <w:tcW w:w="743" w:type="dxa"/>
            <w:tcBorders/>
            <w:vAlign w:val="center"/>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t>STD6</w:t>
            </w:r>
          </w:p>
        </w:tc>
        <w:tc>
          <w:tcPr>
            <w:tcW w:w="448" w:type="dxa"/>
            <w:tcBorders/>
          </w:tcPr>
          <w:p>
            <w:pPr>
              <w:pStyle w:val="Normal"/>
              <w:widowControl/>
              <w:spacing w:before="0" w:after="0"/>
              <w:jc w:val="center"/>
              <w:rPr>
                <w:rFonts w:ascii="Times New Roman" w:hAnsi="Times New Roman" w:cs="Times New Roman"/>
                <w:sz w:val="22"/>
                <w:szCs w:val="20"/>
              </w:rPr>
            </w:pPr>
            <w:r>
              <w:rPr>
                <w:rFonts w:eastAsia="Calibri" w:cs="Times New Roman" w:ascii="Times New Roman" w:hAnsi="Times New Roman"/>
                <w:kern w:val="0"/>
                <w:sz w:val="22"/>
                <w:szCs w:val="20"/>
                <w:lang w:eastAsia="en-US" w:bidi="ar-SA"/>
              </w:rPr>
            </w:r>
          </w:p>
        </w:tc>
      </w:tr>
      <w:tr>
        <w:trPr/>
        <w:tc>
          <w:tcPr>
            <w:tcW w:w="2360" w:type="dxa"/>
            <w:vMerge w:val="restart"/>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Non-labelled STD mixture</w:t>
            </w:r>
          </w:p>
        </w:tc>
        <w:tc>
          <w:tcPr>
            <w:tcW w:w="1422"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Cer d18:1/16:0</w:t>
            </w:r>
          </w:p>
        </w:tc>
        <w:tc>
          <w:tcPr>
            <w:tcW w:w="754" w:type="dxa"/>
            <w:tcBorders/>
            <w:vAlign w:val="center"/>
          </w:tcPr>
          <w:p>
            <w:pPr>
              <w:pStyle w:val="Normal"/>
              <w:widowControl/>
              <w:spacing w:before="0" w:after="0"/>
              <w:jc w:val="center"/>
              <w:rPr>
                <w:rFonts w:ascii="Times New Roman" w:hAnsi="Times New Roman" w:cs="Times New Roman"/>
                <w:b/>
                <w:b/>
                <w:bCs/>
                <w:sz w:val="20"/>
                <w:szCs w:val="20"/>
              </w:rPr>
            </w:pPr>
            <w:r>
              <w:rPr>
                <w:rFonts w:eastAsia="Calibri" w:cs="Times New Roman" w:ascii="Times New Roman" w:hAnsi="Times New Roman"/>
                <w:b/>
                <w:bCs/>
                <w:kern w:val="0"/>
                <w:sz w:val="20"/>
                <w:szCs w:val="20"/>
                <w:lang w:eastAsia="en-US" w:bidi="ar-SA"/>
              </w:rPr>
              <w:t>2.00</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1.00</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0.10</w:t>
            </w:r>
          </w:p>
        </w:tc>
        <w:tc>
          <w:tcPr>
            <w:tcW w:w="74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0.02</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0.01</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0.008</w:t>
            </w:r>
          </w:p>
        </w:tc>
        <w:tc>
          <w:tcPr>
            <w:tcW w:w="448" w:type="dxa"/>
            <w:vMerge w:val="restart"/>
            <w:tcBorders/>
            <w:textDirection w:val="tbRl"/>
            <w:vAlign w:val="center"/>
          </w:tcPr>
          <w:p>
            <w:pPr>
              <w:pStyle w:val="Normal"/>
              <w:widowControl/>
              <w:spacing w:before="0" w:after="0"/>
              <w:ind w:left="113" w:right="113" w:hanging="0"/>
              <w:jc w:val="center"/>
              <w:rPr>
                <w:rFonts w:ascii="Times New Roman" w:hAnsi="Times New Roman" w:cs="Times New Roman"/>
                <w:sz w:val="18"/>
                <w:szCs w:val="18"/>
              </w:rPr>
            </w:pPr>
            <w:r>
              <w:rPr>
                <w:rFonts w:eastAsia="Calibri" w:cs="Times New Roman" w:ascii="Times New Roman" w:hAnsi="Times New Roman"/>
                <w:kern w:val="0"/>
                <w:sz w:val="18"/>
                <w:szCs w:val="18"/>
                <w:lang w:eastAsia="en-US" w:bidi="ar-SA"/>
              </w:rPr>
              <w:t>pmol/</w:t>
            </w:r>
            <w:r>
              <w:rPr>
                <w:rFonts w:eastAsia="Symbol" w:cs="Symbol" w:ascii="Symbol" w:hAnsi="Symbol"/>
                <w:kern w:val="0"/>
                <w:sz w:val="18"/>
                <w:szCs w:val="18"/>
                <w:lang w:eastAsia="en-US" w:bidi="ar-SA"/>
              </w:rPr>
              <w:t></w:t>
            </w:r>
            <w:r>
              <w:rPr>
                <w:rFonts w:eastAsia="Calibri" w:cs="Times New Roman" w:ascii="Times New Roman" w:hAnsi="Times New Roman"/>
                <w:kern w:val="0"/>
                <w:sz w:val="18"/>
                <w:szCs w:val="18"/>
                <w:lang w:eastAsia="en-US" w:bidi="ar-SA"/>
              </w:rPr>
              <w:t>L</w:t>
            </w:r>
          </w:p>
        </w:tc>
      </w:tr>
      <w:tr>
        <w:trPr/>
        <w:tc>
          <w:tcPr>
            <w:tcW w:w="2360" w:type="dxa"/>
            <w:vMerge w:val="continue"/>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r>
          </w:p>
        </w:tc>
        <w:tc>
          <w:tcPr>
            <w:tcW w:w="1422"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Cer d18:1/18:0</w:t>
            </w:r>
          </w:p>
        </w:tc>
        <w:tc>
          <w:tcPr>
            <w:tcW w:w="754" w:type="dxa"/>
            <w:tcBorders/>
            <w:vAlign w:val="center"/>
          </w:tcPr>
          <w:p>
            <w:pPr>
              <w:pStyle w:val="Normal"/>
              <w:widowControl/>
              <w:spacing w:before="0" w:after="0"/>
              <w:jc w:val="center"/>
              <w:rPr>
                <w:rFonts w:ascii="Times New Roman" w:hAnsi="Times New Roman" w:cs="Times New Roman"/>
                <w:b/>
                <w:b/>
                <w:bCs/>
                <w:sz w:val="20"/>
                <w:szCs w:val="20"/>
              </w:rPr>
            </w:pPr>
            <w:r>
              <w:rPr>
                <w:rFonts w:eastAsia="Calibri" w:cs="Times New Roman" w:ascii="Times New Roman" w:hAnsi="Times New Roman"/>
                <w:b/>
                <w:bCs/>
                <w:kern w:val="0"/>
                <w:sz w:val="20"/>
                <w:szCs w:val="20"/>
                <w:lang w:eastAsia="en-US" w:bidi="ar-SA"/>
              </w:rPr>
              <w:t>2.00</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1.00</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0.10</w:t>
            </w:r>
          </w:p>
        </w:tc>
        <w:tc>
          <w:tcPr>
            <w:tcW w:w="74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0.02</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0.01</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0.008</w:t>
            </w:r>
          </w:p>
        </w:tc>
        <w:tc>
          <w:tcPr>
            <w:tcW w:w="448" w:type="dxa"/>
            <w:vMerge w:val="continue"/>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r>
          </w:p>
        </w:tc>
      </w:tr>
      <w:tr>
        <w:trPr/>
        <w:tc>
          <w:tcPr>
            <w:tcW w:w="2360" w:type="dxa"/>
            <w:vMerge w:val="continue"/>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r>
          </w:p>
        </w:tc>
        <w:tc>
          <w:tcPr>
            <w:tcW w:w="1422"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Cer d18:1/24:0</w:t>
            </w:r>
          </w:p>
        </w:tc>
        <w:tc>
          <w:tcPr>
            <w:tcW w:w="754" w:type="dxa"/>
            <w:tcBorders/>
            <w:vAlign w:val="center"/>
          </w:tcPr>
          <w:p>
            <w:pPr>
              <w:pStyle w:val="Normal"/>
              <w:widowControl/>
              <w:spacing w:before="0" w:after="0"/>
              <w:jc w:val="center"/>
              <w:rPr>
                <w:rFonts w:ascii="Times New Roman" w:hAnsi="Times New Roman" w:cs="Times New Roman"/>
                <w:b/>
                <w:b/>
                <w:bCs/>
                <w:sz w:val="20"/>
                <w:szCs w:val="20"/>
              </w:rPr>
            </w:pPr>
            <w:r>
              <w:rPr>
                <w:rFonts w:eastAsia="Calibri" w:cs="Times New Roman" w:ascii="Times New Roman" w:hAnsi="Times New Roman"/>
                <w:b/>
                <w:bCs/>
                <w:kern w:val="0"/>
                <w:sz w:val="20"/>
                <w:szCs w:val="20"/>
                <w:lang w:eastAsia="en-US" w:bidi="ar-SA"/>
              </w:rPr>
              <w:t>20.00</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10.00</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w:t>
            </w:r>
          </w:p>
        </w:tc>
        <w:tc>
          <w:tcPr>
            <w:tcW w:w="74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0.20</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0.1</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0.08</w:t>
            </w:r>
          </w:p>
        </w:tc>
        <w:tc>
          <w:tcPr>
            <w:tcW w:w="448" w:type="dxa"/>
            <w:vMerge w:val="continue"/>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r>
          </w:p>
        </w:tc>
      </w:tr>
      <w:tr>
        <w:trPr/>
        <w:tc>
          <w:tcPr>
            <w:tcW w:w="2360" w:type="dxa"/>
            <w:vMerge w:val="continue"/>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r>
          </w:p>
        </w:tc>
        <w:tc>
          <w:tcPr>
            <w:tcW w:w="1422" w:type="dxa"/>
            <w:tcBorders/>
            <w:vAlign w:val="center"/>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Cer d18:1/24:1</w:t>
            </w:r>
          </w:p>
        </w:tc>
        <w:tc>
          <w:tcPr>
            <w:tcW w:w="754" w:type="dxa"/>
            <w:tcBorders/>
            <w:vAlign w:val="center"/>
          </w:tcPr>
          <w:p>
            <w:pPr>
              <w:pStyle w:val="Normal"/>
              <w:widowControl/>
              <w:spacing w:before="0" w:after="0"/>
              <w:jc w:val="center"/>
              <w:rPr>
                <w:rFonts w:ascii="Times New Roman" w:hAnsi="Times New Roman" w:cs="Times New Roman"/>
                <w:b/>
                <w:b/>
                <w:bCs/>
                <w:sz w:val="20"/>
                <w:szCs w:val="20"/>
              </w:rPr>
            </w:pPr>
            <w:r>
              <w:rPr>
                <w:rFonts w:eastAsia="Calibri" w:cs="Times New Roman" w:ascii="Times New Roman" w:hAnsi="Times New Roman"/>
                <w:b/>
                <w:bCs/>
                <w:kern w:val="0"/>
                <w:sz w:val="20"/>
                <w:szCs w:val="20"/>
                <w:lang w:eastAsia="en-US" w:bidi="ar-SA"/>
              </w:rPr>
              <w:t>20.00</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10.00</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1</w:t>
            </w:r>
          </w:p>
        </w:tc>
        <w:tc>
          <w:tcPr>
            <w:tcW w:w="741"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0.20</w:t>
            </w:r>
          </w:p>
        </w:tc>
        <w:tc>
          <w:tcPr>
            <w:tcW w:w="742"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0.1</w:t>
            </w:r>
          </w:p>
        </w:tc>
        <w:tc>
          <w:tcPr>
            <w:tcW w:w="743" w:type="dxa"/>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0.08</w:t>
            </w:r>
          </w:p>
        </w:tc>
        <w:tc>
          <w:tcPr>
            <w:tcW w:w="448" w:type="dxa"/>
            <w:vMerge w:val="continue"/>
            <w:tcBorders/>
          </w:tcPr>
          <w:p>
            <w:pPr>
              <w:pStyle w:val="Normal"/>
              <w:widowControl/>
              <w:spacing w:before="0" w:after="0"/>
              <w:jc w:val="center"/>
              <w:rPr>
                <w:rFonts w:ascii="Times New Roman" w:hAnsi="Times New Roman" w:cs="Times New Roman"/>
                <w:sz w:val="20"/>
                <w:szCs w:val="20"/>
              </w:rPr>
            </w:pPr>
            <w:r>
              <w:rPr>
                <w:rFonts w:eastAsia="Calibri" w:cs="Times New Roman" w:ascii="Times New Roman" w:hAnsi="Times New Roman"/>
                <w:kern w:val="0"/>
                <w:sz w:val="20"/>
                <w:szCs w:val="20"/>
                <w:lang w:eastAsia="en-US" w:bidi="ar-SA"/>
              </w:rPr>
            </w:r>
          </w:p>
        </w:tc>
      </w:tr>
    </w:tbl>
    <w:p>
      <w:pPr>
        <w:pStyle w:val="Normal"/>
        <w:jc w:val="both"/>
        <w:rPr>
          <w:rFonts w:ascii="Times New Roman" w:hAnsi="Times New Roman" w:cs="Times New Roman"/>
        </w:rPr>
      </w:pPr>
      <w:r>
        <w:rPr>
          <w:rFonts w:cs="Times New Roman" w:ascii="Times New Roman" w:hAnsi="Times New Roman"/>
        </w:rPr>
        <w:t>Extraction procedure:</w:t>
      </w:r>
    </w:p>
    <w:p>
      <w:pPr>
        <w:pStyle w:val="ListParagraph"/>
        <w:numPr>
          <w:ilvl w:val="0"/>
          <w:numId w:val="1"/>
        </w:numPr>
        <w:jc w:val="both"/>
        <w:rPr>
          <w:rFonts w:ascii="Times New Roman" w:hAnsi="Times New Roman" w:cs="Times New Roman"/>
        </w:rPr>
      </w:pPr>
      <w:r>
        <w:rPr>
          <w:rFonts w:cs="Times New Roman" w:ascii="Times New Roman" w:hAnsi="Times New Roman"/>
        </w:rPr>
        <w:t>Prepare different dilutions of STD1 by diluting the provided mixture (table 4) with EtAc:IPA 2:8 as suggested in Table 5.</w:t>
      </w:r>
    </w:p>
    <w:p>
      <w:pPr>
        <w:pStyle w:val="ListParagraph"/>
        <w:numPr>
          <w:ilvl w:val="0"/>
          <w:numId w:val="1"/>
        </w:numPr>
        <w:jc w:val="both"/>
        <w:rPr>
          <w:rFonts w:ascii="Times New Roman" w:hAnsi="Times New Roman" w:cs="Times New Roman"/>
        </w:rPr>
      </w:pPr>
      <w:r>
        <w:rPr>
          <w:rFonts w:cs="Times New Roman" w:ascii="Times New Roman" w:hAnsi="Times New Roman"/>
        </w:rPr>
        <w:t>Thaw plasma samples on ice (+4</w:t>
      </w:r>
      <w:r>
        <w:rPr>
          <w:rFonts w:eastAsia="Symbol" w:cs="Symbol" w:ascii="Symbol" w:hAnsi="Symbol"/>
        </w:rPr>
        <w:t></w:t>
      </w:r>
      <w:r>
        <w:rPr>
          <w:rFonts w:cs="Times New Roman" w:ascii="Times New Roman" w:hAnsi="Times New Roman"/>
        </w:rPr>
        <w:t>C) and bring them to room temperature prior to extraction. Mix by pipetting up and down several times before use.</w:t>
      </w:r>
    </w:p>
    <w:p>
      <w:pPr>
        <w:pStyle w:val="ListParagraph"/>
        <w:numPr>
          <w:ilvl w:val="0"/>
          <w:numId w:val="1"/>
        </w:numPr>
        <w:jc w:val="both"/>
        <w:rPr>
          <w:rFonts w:ascii="Times New Roman" w:hAnsi="Times New Roman" w:cs="Times New Roman"/>
        </w:rPr>
      </w:pPr>
      <w:r>
        <w:rPr>
          <w:rFonts w:cs="Times New Roman" w:ascii="Times New Roman" w:hAnsi="Times New Roman"/>
        </w:rPr>
        <w:t>Prepare samples in plates/tubes manually or with a robotic liquid handler, according to specifications in Column 2 of Table 2.</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Add 20 </w:t>
      </w:r>
      <w:r>
        <w:rPr>
          <w:rFonts w:eastAsia="Symbol" w:cs="Symbol" w:ascii="Symbol" w:hAnsi="Symbol"/>
        </w:rPr>
        <w:t></w:t>
      </w:r>
      <w:r>
        <w:rPr>
          <w:rFonts w:cs="Times New Roman" w:ascii="Times New Roman" w:hAnsi="Times New Roman"/>
        </w:rPr>
        <w:t>L of labelled internal standard mixture to samples (Column 3 Table 2).</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For the calibration line, add </w:t>
      </w:r>
      <w:bookmarkStart w:id="0" w:name="_Hlk26858166"/>
      <w:r>
        <w:rPr>
          <w:rFonts w:cs="Times New Roman" w:ascii="Times New Roman" w:hAnsi="Times New Roman"/>
        </w:rPr>
        <w:t xml:space="preserve">20 </w:t>
      </w:r>
      <w:r>
        <w:rPr>
          <w:rFonts w:eastAsia="Symbol" w:cs="Symbol" w:ascii="Symbol" w:hAnsi="Symbol"/>
        </w:rPr>
        <w:t></w:t>
      </w:r>
      <w:r>
        <w:rPr>
          <w:rFonts w:cs="Times New Roman" w:ascii="Times New Roman" w:hAnsi="Times New Roman"/>
        </w:rPr>
        <w:t>L</w:t>
      </w:r>
      <w:r>
        <w:rPr>
          <w:rFonts w:cs="Times New Roman" w:ascii="Times New Roman" w:hAnsi="Times New Roman"/>
          <w:sz w:val="22"/>
          <w:szCs w:val="20"/>
        </w:rPr>
        <w:t xml:space="preserve"> </w:t>
      </w:r>
      <w:bookmarkEnd w:id="0"/>
      <w:r>
        <w:rPr>
          <w:rFonts w:cs="Times New Roman" w:ascii="Times New Roman" w:hAnsi="Times New Roman"/>
        </w:rPr>
        <w:t>of different dilutions of the non-labelled mixture (STD1-6).</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Add 590 </w:t>
      </w:r>
      <w:r>
        <w:rPr>
          <w:rFonts w:eastAsia="Symbol" w:cs="Symbol" w:ascii="Symbol" w:hAnsi="Symbol"/>
        </w:rPr>
        <w:t></w:t>
      </w:r>
      <w:r>
        <w:rPr>
          <w:rFonts w:cs="Times New Roman" w:ascii="Times New Roman" w:hAnsi="Times New Roman"/>
        </w:rPr>
        <w:t xml:space="preserve">L of ethyl acetate:isopropanol (2:8, vol/vol) to Total Blank and Matrix Blank; 550 </w:t>
      </w:r>
      <w:r>
        <w:rPr>
          <w:rFonts w:eastAsia="Symbol" w:cs="Symbol" w:ascii="Symbol" w:hAnsi="Symbol"/>
        </w:rPr>
        <w:t></w:t>
      </w:r>
      <w:r>
        <w:rPr>
          <w:rFonts w:cs="Times New Roman" w:ascii="Times New Roman" w:hAnsi="Times New Roman"/>
        </w:rPr>
        <w:t xml:space="preserve">L to calibration line (STD); 570 </w:t>
      </w:r>
      <w:r>
        <w:rPr>
          <w:rFonts w:eastAsia="Symbol" w:cs="Symbol" w:ascii="Symbol" w:hAnsi="Symbol"/>
        </w:rPr>
        <w:t></w:t>
      </w:r>
      <w:r>
        <w:rPr>
          <w:rFonts w:cs="Times New Roman" w:ascii="Times New Roman" w:hAnsi="Times New Roman"/>
        </w:rPr>
        <w:t>L to study samples and QCs (Column 4 Table 2)</w:t>
      </w:r>
    </w:p>
    <w:p>
      <w:pPr>
        <w:pStyle w:val="ListParagraph"/>
        <w:numPr>
          <w:ilvl w:val="0"/>
          <w:numId w:val="1"/>
        </w:numPr>
        <w:jc w:val="both"/>
        <w:rPr>
          <w:rFonts w:ascii="Times New Roman" w:hAnsi="Times New Roman" w:cs="Times New Roman"/>
        </w:rPr>
      </w:pPr>
      <w:r>
        <w:rPr>
          <w:rFonts w:cs="Times New Roman" w:ascii="Times New Roman" w:hAnsi="Times New Roman"/>
        </w:rPr>
        <w:t>Mix samples 10 min by automated pipetting or vortexing</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Centrifuge samples for 10 min at 3000 x </w:t>
      </w:r>
      <w:r>
        <w:rPr>
          <w:rFonts w:cs="Times New Roman" w:ascii="Times New Roman" w:hAnsi="Times New Roman"/>
          <w:i/>
        </w:rPr>
        <w:t xml:space="preserve">g </w:t>
      </w:r>
      <w:r>
        <w:rPr>
          <w:rFonts w:cs="Times New Roman" w:ascii="Times New Roman" w:hAnsi="Times New Roman"/>
        </w:rPr>
        <w:t>at room temperature</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Transfer 50 </w:t>
      </w:r>
      <w:r>
        <w:rPr>
          <w:rFonts w:eastAsia="Symbol" w:cs="Symbol" w:ascii="Symbol" w:hAnsi="Symbol"/>
        </w:rPr>
        <w:t></w:t>
      </w:r>
      <w:r>
        <w:rPr>
          <w:rFonts w:cs="Times New Roman" w:ascii="Times New Roman" w:hAnsi="Times New Roman"/>
        </w:rPr>
        <w:t>L of the clear supernatant to MS vials or MS plates, close/seal, store samples at -20</w:t>
      </w:r>
      <w:r>
        <w:rPr>
          <w:rFonts w:eastAsia="Symbol" w:cs="Symbol" w:ascii="Symbol" w:hAnsi="Symbol"/>
        </w:rPr>
        <w:t></w:t>
      </w:r>
      <w:r>
        <w:rPr>
          <w:rFonts w:cs="Times New Roman" w:ascii="Times New Roman" w:hAnsi="Times New Roman"/>
        </w:rPr>
        <w:t>C prior to LC-MRM analysis.</w:t>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u w:val="single"/>
        </w:rPr>
      </w:pPr>
      <w:r>
        <w:rPr>
          <w:rFonts w:cs="Times New Roman" w:ascii="Times New Roman" w:hAnsi="Times New Roman"/>
          <w:b/>
          <w:u w:val="single"/>
        </w:rPr>
        <w:t>LC-MRM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6.</w:t>
      </w:r>
    </w:p>
    <w:tbl>
      <w:tblPr>
        <w:tblStyle w:val="TableGrid"/>
        <w:tblW w:w="4681"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4681"/>
      </w:tblGrid>
      <w:tr>
        <w:trPr>
          <w:trHeight w:val="362" w:hRule="atLeast"/>
        </w:trPr>
        <w:tc>
          <w:tcPr>
            <w:tcW w:w="4681" w:type="dxa"/>
            <w:tcBorders/>
            <w:vAlign w:val="center"/>
          </w:tcPr>
          <w:p>
            <w:pPr>
              <w:pStyle w:val="Normal"/>
              <w:widowControl/>
              <w:spacing w:before="0" w:after="0"/>
              <w:jc w:val="left"/>
              <w:rPr>
                <w:rFonts w:ascii="Times New Roman" w:hAnsi="Times New Roman" w:cs="Times New Roman"/>
                <w:sz w:val="22"/>
              </w:rPr>
            </w:pPr>
            <w:r>
              <w:rPr>
                <w:rFonts w:eastAsia="Calibri" w:cs="Times New Roman" w:ascii="Times New Roman" w:hAnsi="Times New Roman"/>
                <w:kern w:val="0"/>
                <w:sz w:val="22"/>
                <w:szCs w:val="24"/>
                <w:lang w:eastAsia="en-US" w:bidi="ar-SA"/>
              </w:rPr>
              <w:t>Chemicals and solvents</w:t>
            </w:r>
          </w:p>
        </w:tc>
      </w:tr>
      <w:tr>
        <w:trPr/>
        <w:tc>
          <w:tcPr>
            <w:tcW w:w="468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Ammonium formate</w:t>
            </w:r>
          </w:p>
        </w:tc>
      </w:tr>
      <w:tr>
        <w:trPr/>
        <w:tc>
          <w:tcPr>
            <w:tcW w:w="468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Formic acid</w:t>
            </w:r>
          </w:p>
        </w:tc>
      </w:tr>
      <w:tr>
        <w:trPr/>
        <w:tc>
          <w:tcPr>
            <w:tcW w:w="468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Ultra-pure water</w:t>
            </w:r>
          </w:p>
        </w:tc>
      </w:tr>
      <w:tr>
        <w:trPr/>
        <w:tc>
          <w:tcPr>
            <w:tcW w:w="468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Acetonitrile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7.</w:t>
      </w:r>
    </w:p>
    <w:tbl>
      <w:tblPr>
        <w:tblStyle w:val="TableGrid"/>
        <w:tblW w:w="897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172"/>
        <w:gridCol w:w="6803"/>
      </w:tblGrid>
      <w:tr>
        <w:trPr>
          <w:trHeight w:val="362" w:hRule="atLeast"/>
        </w:trPr>
        <w:tc>
          <w:tcPr>
            <w:tcW w:w="2172" w:type="dxa"/>
            <w:tcBorders/>
            <w:vAlign w:val="center"/>
          </w:tcPr>
          <w:p>
            <w:pPr>
              <w:pStyle w:val="Normal"/>
              <w:widowControl/>
              <w:spacing w:before="0" w:after="0"/>
              <w:jc w:val="left"/>
              <w:rPr>
                <w:rFonts w:ascii="Times New Roman" w:hAnsi="Times New Roman" w:cs="Times New Roman"/>
                <w:sz w:val="22"/>
              </w:rPr>
            </w:pPr>
            <w:r>
              <w:rPr>
                <w:rFonts w:eastAsia="Calibri" w:cs="Times New Roman" w:ascii="Times New Roman" w:hAnsi="Times New Roman"/>
                <w:kern w:val="0"/>
                <w:sz w:val="22"/>
                <w:szCs w:val="24"/>
                <w:lang w:eastAsia="en-US" w:bidi="ar-SA"/>
              </w:rPr>
              <w:t>LC-MS details</w:t>
            </w:r>
          </w:p>
        </w:tc>
        <w:tc>
          <w:tcPr>
            <w:tcW w:w="6803" w:type="dxa"/>
            <w:tcBorders/>
            <w:vAlign w:val="center"/>
          </w:tcPr>
          <w:p>
            <w:pPr>
              <w:pStyle w:val="Normal"/>
              <w:widowControl/>
              <w:spacing w:before="0" w:after="0"/>
              <w:jc w:val="left"/>
              <w:rPr>
                <w:rFonts w:ascii="Times New Roman" w:hAnsi="Times New Roman" w:cs="Times New Roman"/>
                <w:sz w:val="22"/>
              </w:rPr>
            </w:pPr>
            <w:r>
              <w:rPr>
                <w:rFonts w:eastAsia="Calibri" w:cs="Times New Roman" w:ascii="Times New Roman" w:hAnsi="Times New Roman"/>
                <w:kern w:val="0"/>
                <w:sz w:val="22"/>
                <w:szCs w:val="24"/>
                <w:lang w:eastAsia="en-US" w:bidi="ar-SA"/>
              </w:rPr>
              <w:t>Specifications</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Mass spectrometry</w:t>
            </w:r>
          </w:p>
        </w:tc>
        <w:tc>
          <w:tcPr>
            <w:tcW w:w="6803"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QQQ</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LC</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UPLC</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Injection volume (indicative)</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 xml:space="preserve">5 </w:t>
            </w:r>
            <w:r>
              <w:rPr>
                <w:rFonts w:eastAsia="Symbol" w:cs="Symbol" w:ascii="Symbol" w:hAnsi="Symbol"/>
                <w:kern w:val="0"/>
                <w:sz w:val="21"/>
                <w:szCs w:val="24"/>
                <w:lang w:eastAsia="en-US" w:bidi="ar-SA"/>
              </w:rPr>
              <w:t></w:t>
            </w:r>
            <w:r>
              <w:rPr>
                <w:rFonts w:eastAsia="Calibri" w:cs="Times New Roman" w:ascii="Times New Roman" w:hAnsi="Times New Roman"/>
                <w:kern w:val="0"/>
                <w:sz w:val="21"/>
                <w:szCs w:val="24"/>
                <w:lang w:eastAsia="en-US" w:bidi="ar-SA"/>
              </w:rPr>
              <w:t>L</w:t>
            </w:r>
          </w:p>
        </w:tc>
      </w:tr>
      <w:tr>
        <w:trPr>
          <w:trHeight w:val="306" w:hRule="atLeast"/>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Weak wash</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Water</w:t>
            </w:r>
          </w:p>
        </w:tc>
      </w:tr>
      <w:tr>
        <w:trPr>
          <w:trHeight w:val="306" w:hRule="atLeast"/>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Strong wash</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Acetonitrile</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Pre-column</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Waters Acquity BEH C18, 1.7 µm VanGuard Pre-Column</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Column</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Waters Acquity BEH C18, 2.1 × 50 mm id. 1.7 µm</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Column temperature</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 xml:space="preserve">60 </w:t>
            </w:r>
            <w:r>
              <w:rPr>
                <w:rFonts w:eastAsia="Symbol" w:cs="Symbol" w:ascii="Symbol" w:hAnsi="Symbol"/>
                <w:kern w:val="0"/>
                <w:sz w:val="21"/>
                <w:szCs w:val="24"/>
                <w:lang w:eastAsia="en-US" w:bidi="ar-SA"/>
              </w:rPr>
              <w:t></w:t>
            </w:r>
            <w:r>
              <w:rPr>
                <w:rFonts w:eastAsia="Calibri" w:cs="Times New Roman" w:ascii="Times New Roman" w:hAnsi="Times New Roman"/>
                <w:kern w:val="0"/>
                <w:sz w:val="21"/>
                <w:szCs w:val="24"/>
                <w:lang w:eastAsia="en-US" w:bidi="ar-SA"/>
              </w:rPr>
              <w:t>C</w:t>
            </w:r>
          </w:p>
        </w:tc>
      </w:tr>
      <w:tr>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Mobile phase A</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10 mM ammonium acetate in water with 0.1% formic acid</w:t>
            </w:r>
          </w:p>
        </w:tc>
      </w:tr>
      <w:tr>
        <w:trPr>
          <w:trHeight w:val="236" w:hRule="atLeast"/>
        </w:trPr>
        <w:tc>
          <w:tcPr>
            <w:tcW w:w="2172" w:type="dxa"/>
            <w:tcBorders/>
            <w:vAlign w:val="center"/>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Mobile phase B</w:t>
            </w:r>
          </w:p>
        </w:tc>
        <w:tc>
          <w:tcPr>
            <w:tcW w:w="6803" w:type="dxa"/>
            <w:tcBorders/>
          </w:tcPr>
          <w:p>
            <w:pPr>
              <w:pStyle w:val="Normal"/>
              <w:widowControl/>
              <w:spacing w:before="0" w:after="0"/>
              <w:jc w:val="left"/>
              <w:rPr>
                <w:rFonts w:ascii="Times New Roman" w:hAnsi="Times New Roman" w:cs="Times New Roman"/>
                <w:sz w:val="21"/>
              </w:rPr>
            </w:pPr>
            <w:r>
              <w:rPr>
                <w:rFonts w:eastAsia="Calibri" w:cs="Times New Roman" w:ascii="Times New Roman" w:hAnsi="Times New Roman"/>
                <w:kern w:val="0"/>
                <w:sz w:val="21"/>
                <w:szCs w:val="24"/>
                <w:lang w:eastAsia="en-US" w:bidi="ar-SA"/>
              </w:rPr>
              <w:t xml:space="preserve">10 mM ammonium acetate in acetonitrile:2-propanol (4:3, vol/vol) with 0.1% formic acid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8.</w:t>
      </w:r>
    </w:p>
    <w:tbl>
      <w:tblPr>
        <w:tblStyle w:val="TableGrid"/>
        <w:tblW w:w="5334"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244"/>
        <w:gridCol w:w="1321"/>
        <w:gridCol w:w="1265"/>
        <w:gridCol w:w="1503"/>
      </w:tblGrid>
      <w:tr>
        <w:trPr>
          <w:trHeight w:val="362" w:hRule="atLeast"/>
        </w:trPr>
        <w:tc>
          <w:tcPr>
            <w:tcW w:w="5333" w:type="dxa"/>
            <w:gridSpan w:val="4"/>
            <w:tcBorders/>
            <w:vAlign w:val="center"/>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2"/>
                <w:szCs w:val="24"/>
                <w:lang w:eastAsia="en-US" w:bidi="ar-SA"/>
              </w:rPr>
              <w:t>LC gradient</w:t>
            </w:r>
          </w:p>
        </w:tc>
      </w:tr>
      <w:tr>
        <w:trPr/>
        <w:tc>
          <w:tcPr>
            <w:tcW w:w="1244"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Time</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A%</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B%</w:t>
            </w:r>
          </w:p>
        </w:tc>
        <w:tc>
          <w:tcPr>
            <w:tcW w:w="1503"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Flow (</w:t>
            </w:r>
            <w:r>
              <w:rPr>
                <w:rFonts w:eastAsia="Symbol" w:cs="Symbol" w:ascii="Symbol" w:hAnsi="Symbol"/>
                <w:kern w:val="0"/>
                <w:sz w:val="20"/>
                <w:szCs w:val="24"/>
                <w:lang w:eastAsia="en-US" w:bidi="ar-SA"/>
              </w:rPr>
              <w:t></w:t>
            </w:r>
            <w:r>
              <w:rPr>
                <w:rFonts w:eastAsia="Calibri" w:cs="Times New Roman" w:ascii="Times New Roman" w:hAnsi="Times New Roman"/>
                <w:kern w:val="0"/>
                <w:sz w:val="20"/>
                <w:szCs w:val="24"/>
                <w:lang w:eastAsia="en-US" w:bidi="ar-SA"/>
              </w:rPr>
              <w:t>L/min)</w:t>
            </w:r>
          </w:p>
        </w:tc>
      </w:tr>
      <w:tr>
        <w:trPr>
          <w:trHeight w:val="57" w:hRule="atLeast"/>
        </w:trPr>
        <w:tc>
          <w:tcPr>
            <w:tcW w:w="124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0.00</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15</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85</w:t>
            </w:r>
          </w:p>
        </w:tc>
        <w:tc>
          <w:tcPr>
            <w:tcW w:w="150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r>
      <w:tr>
        <w:trPr>
          <w:trHeight w:val="57" w:hRule="atLeast"/>
        </w:trPr>
        <w:tc>
          <w:tcPr>
            <w:tcW w:w="124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0.50</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15</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85</w:t>
            </w:r>
          </w:p>
        </w:tc>
        <w:tc>
          <w:tcPr>
            <w:tcW w:w="150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r>
      <w:tr>
        <w:trPr>
          <w:trHeight w:val="57" w:hRule="atLeast"/>
        </w:trPr>
        <w:tc>
          <w:tcPr>
            <w:tcW w:w="124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1.50</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0</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100</w:t>
            </w:r>
          </w:p>
        </w:tc>
        <w:tc>
          <w:tcPr>
            <w:tcW w:w="150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r>
      <w:tr>
        <w:trPr>
          <w:trHeight w:val="57" w:hRule="atLeast"/>
        </w:trPr>
        <w:tc>
          <w:tcPr>
            <w:tcW w:w="124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4.00</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0</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100</w:t>
            </w:r>
          </w:p>
        </w:tc>
        <w:tc>
          <w:tcPr>
            <w:tcW w:w="150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r>
      <w:tr>
        <w:trPr>
          <w:trHeight w:val="57" w:hRule="atLeast"/>
        </w:trPr>
        <w:tc>
          <w:tcPr>
            <w:tcW w:w="124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4.10</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15</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85</w:t>
            </w:r>
          </w:p>
        </w:tc>
        <w:tc>
          <w:tcPr>
            <w:tcW w:w="150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r>
      <w:tr>
        <w:trPr>
          <w:trHeight w:val="57" w:hRule="atLeast"/>
        </w:trPr>
        <w:tc>
          <w:tcPr>
            <w:tcW w:w="124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c>
          <w:tcPr>
            <w:tcW w:w="13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15</w:t>
            </w:r>
          </w:p>
        </w:tc>
        <w:tc>
          <w:tcPr>
            <w:tcW w:w="1265"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85</w:t>
            </w:r>
          </w:p>
        </w:tc>
        <w:tc>
          <w:tcPr>
            <w:tcW w:w="150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9 (example based on the published reference).</w:t>
      </w:r>
    </w:p>
    <w:tbl>
      <w:tblPr>
        <w:tblStyle w:val="TableGrid"/>
        <w:tblW w:w="539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3121"/>
        <w:gridCol w:w="2268"/>
      </w:tblGrid>
      <w:tr>
        <w:trPr>
          <w:trHeight w:val="362" w:hRule="atLeast"/>
        </w:trPr>
        <w:tc>
          <w:tcPr>
            <w:tcW w:w="5389" w:type="dxa"/>
            <w:gridSpan w:val="2"/>
            <w:tcBorders/>
            <w:vAlign w:val="center"/>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2"/>
                <w:szCs w:val="24"/>
                <w:lang w:eastAsia="en-US" w:bidi="ar-SA"/>
              </w:rPr>
              <w:t>MS conditions (this only applies to Sciex QTRAP 6500)</w:t>
            </w:r>
          </w:p>
        </w:tc>
      </w:tr>
      <w:tr>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Polarity mode</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Positive</w:t>
            </w:r>
          </w:p>
        </w:tc>
      </w:tr>
      <w:tr>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Ion spray</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5000 V</w:t>
            </w:r>
          </w:p>
        </w:tc>
      </w:tr>
      <w:tr>
        <w:trPr>
          <w:trHeight w:val="292" w:hRule="atLeast"/>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Curtain gas</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25 psi</w:t>
            </w:r>
          </w:p>
        </w:tc>
      </w:tr>
      <w:tr>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Source temperature</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 xml:space="preserve">300 </w:t>
            </w:r>
            <w:r>
              <w:rPr>
                <w:rFonts w:eastAsia="Symbol" w:cs="Symbol" w:ascii="Symbol" w:hAnsi="Symbol"/>
                <w:kern w:val="0"/>
                <w:sz w:val="20"/>
                <w:szCs w:val="24"/>
                <w:lang w:eastAsia="en-US" w:bidi="ar-SA"/>
              </w:rPr>
              <w:t></w:t>
            </w:r>
            <w:r>
              <w:rPr>
                <w:rFonts w:eastAsia="Calibri" w:cs="Times New Roman" w:ascii="Times New Roman" w:hAnsi="Times New Roman"/>
                <w:kern w:val="0"/>
                <w:sz w:val="20"/>
                <w:szCs w:val="24"/>
                <w:lang w:eastAsia="en-US" w:bidi="ar-SA"/>
              </w:rPr>
              <w:t>C</w:t>
            </w:r>
          </w:p>
        </w:tc>
      </w:tr>
      <w:tr>
        <w:trPr>
          <w:trHeight w:val="306" w:hRule="atLeast"/>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Gas 1</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50 psi</w:t>
            </w:r>
          </w:p>
        </w:tc>
      </w:tr>
      <w:tr>
        <w:trPr>
          <w:trHeight w:val="307" w:hRule="atLeast"/>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Gas 2</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35 psi</w:t>
            </w:r>
          </w:p>
        </w:tc>
      </w:tr>
      <w:tr>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DP</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30 V</w:t>
            </w:r>
          </w:p>
        </w:tc>
      </w:tr>
      <w:tr>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EP</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10 V</w:t>
            </w:r>
          </w:p>
        </w:tc>
      </w:tr>
      <w:tr>
        <w:trPr>
          <w:trHeight w:val="236" w:hRule="atLeast"/>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Collision cell exit potential</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20 V</w:t>
            </w:r>
          </w:p>
        </w:tc>
      </w:tr>
      <w:tr>
        <w:trPr>
          <w:trHeight w:val="236" w:hRule="atLeast"/>
        </w:trPr>
        <w:tc>
          <w:tcPr>
            <w:tcW w:w="3121"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Collision energy CE</w:t>
            </w:r>
          </w:p>
        </w:tc>
        <w:tc>
          <w:tcPr>
            <w:tcW w:w="2268" w:type="dxa"/>
            <w:tcBorders/>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40 eV</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Table 10. </w:t>
      </w:r>
    </w:p>
    <w:tbl>
      <w:tblPr>
        <w:tblStyle w:val="TableGrid"/>
        <w:tblW w:w="9076" w:type="dxa"/>
        <w:jc w:val="left"/>
        <w:tblInd w:w="-9" w:type="dxa"/>
        <w:tblLayout w:type="fixed"/>
        <w:tblCellMar>
          <w:top w:w="0" w:type="dxa"/>
          <w:left w:w="108" w:type="dxa"/>
          <w:bottom w:w="0" w:type="dxa"/>
          <w:right w:w="108" w:type="dxa"/>
        </w:tblCellMar>
        <w:tblLook w:noVBand="1" w:val="04a0" w:noHBand="0" w:lastColumn="0" w:firstColumn="1" w:lastRow="0" w:firstRow="1"/>
      </w:tblPr>
      <w:tblGrid>
        <w:gridCol w:w="1276"/>
        <w:gridCol w:w="2268"/>
        <w:gridCol w:w="1276"/>
        <w:gridCol w:w="1563"/>
        <w:gridCol w:w="992"/>
        <w:gridCol w:w="1700"/>
      </w:tblGrid>
      <w:tr>
        <w:trPr>
          <w:trHeight w:val="362" w:hRule="atLeast"/>
        </w:trPr>
        <w:tc>
          <w:tcPr>
            <w:tcW w:w="9075" w:type="dxa"/>
            <w:gridSpan w:val="6"/>
            <w:tcBorders/>
          </w:tcPr>
          <w:p>
            <w:pPr>
              <w:pStyle w:val="Normal"/>
              <w:widowControl/>
              <w:spacing w:before="0" w:after="0"/>
              <w:jc w:val="left"/>
              <w:rPr>
                <w:rFonts w:ascii="Times New Roman" w:hAnsi="Times New Roman" w:cs="Times New Roman"/>
                <w:sz w:val="22"/>
              </w:rPr>
            </w:pPr>
            <w:r>
              <w:rPr>
                <w:rFonts w:eastAsia="Calibri" w:cs="Times New Roman" w:ascii="Times New Roman" w:hAnsi="Times New Roman"/>
                <w:kern w:val="0"/>
                <w:sz w:val="22"/>
                <w:szCs w:val="24"/>
                <w:lang w:eastAsia="en-US" w:bidi="ar-SA"/>
              </w:rPr>
              <w:t>Mass transitions used for absolute quantification. With different systems RT and CE might be different.</w:t>
            </w:r>
          </w:p>
        </w:tc>
      </w:tr>
      <w:tr>
        <w:trPr/>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Analyte</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Mass transitions (MRM)</w:t>
            </w:r>
          </w:p>
        </w:tc>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IS</w:t>
            </w:r>
          </w:p>
        </w:tc>
        <w:tc>
          <w:tcPr>
            <w:tcW w:w="156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Mass transitions (MRM)</w:t>
            </w:r>
          </w:p>
        </w:tc>
        <w:tc>
          <w:tcPr>
            <w:tcW w:w="992"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RT (min)</w:t>
            </w:r>
          </w:p>
        </w:tc>
        <w:tc>
          <w:tcPr>
            <w:tcW w:w="1700"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CE (not applicable to different instruments)</w:t>
            </w:r>
          </w:p>
        </w:tc>
      </w:tr>
      <w:tr>
        <w:trPr/>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Cer d18:1/16:0</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538.5 – 264.3</w:t>
            </w:r>
          </w:p>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w:t>
            </w:r>
            <w:r>
              <w:rPr>
                <w:rFonts w:eastAsia="Calibri" w:cs="Times New Roman" w:ascii="Times New Roman" w:hAnsi="Times New Roman"/>
                <w:kern w:val="0"/>
                <w:sz w:val="20"/>
                <w:szCs w:val="24"/>
                <w:vertAlign w:val="subscript"/>
                <w:lang w:eastAsia="en-US" w:bidi="ar-SA"/>
              </w:rPr>
              <w:t>34</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68</w:t>
            </w:r>
            <w:r>
              <w:rPr>
                <w:rFonts w:eastAsia="Calibri" w:cs="Times New Roman" w:ascii="Times New Roman" w:hAnsi="Times New Roman"/>
                <w:kern w:val="0"/>
                <w:sz w:val="20"/>
                <w:szCs w:val="24"/>
                <w:lang w:eastAsia="en-US" w:bidi="ar-SA"/>
              </w:rPr>
              <w:t>NO</w:t>
            </w:r>
            <w:r>
              <w:rPr>
                <w:rFonts w:eastAsia="Calibri" w:cs="Times New Roman" w:ascii="Times New Roman" w:hAnsi="Times New Roman"/>
                <w:kern w:val="0"/>
                <w:sz w:val="20"/>
                <w:szCs w:val="24"/>
                <w:vertAlign w:val="subscript"/>
                <w:lang w:eastAsia="en-US" w:bidi="ar-SA"/>
              </w:rPr>
              <w:t>3</w:t>
            </w:r>
            <w:r>
              <w:rPr>
                <w:rFonts w:eastAsia="Calibri" w:cs="Times New Roman" w:ascii="Times New Roman" w:hAnsi="Times New Roman"/>
                <w:kern w:val="0"/>
                <w:sz w:val="20"/>
                <w:szCs w:val="24"/>
                <w:lang w:eastAsia="en-US" w:bidi="ar-SA"/>
              </w:rPr>
              <w:t xml:space="preserve"> – C</w:t>
            </w:r>
            <w:r>
              <w:rPr>
                <w:rFonts w:eastAsia="Calibri" w:cs="Times New Roman" w:ascii="Times New Roman" w:hAnsi="Times New Roman"/>
                <w:kern w:val="0"/>
                <w:sz w:val="20"/>
                <w:szCs w:val="24"/>
                <w:vertAlign w:val="subscript"/>
                <w:lang w:eastAsia="en-US" w:bidi="ar-SA"/>
              </w:rPr>
              <w:t>18</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34</w:t>
            </w:r>
            <w:r>
              <w:rPr>
                <w:rFonts w:eastAsia="Calibri" w:cs="Times New Roman" w:ascii="Times New Roman" w:hAnsi="Times New Roman"/>
                <w:kern w:val="0"/>
                <w:sz w:val="20"/>
                <w:szCs w:val="24"/>
                <w:lang w:eastAsia="en-US" w:bidi="ar-SA"/>
              </w:rPr>
              <w:t>N</w:t>
            </w:r>
          </w:p>
        </w:tc>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D7- Cer d18:1/16:0</w:t>
            </w:r>
          </w:p>
        </w:tc>
        <w:tc>
          <w:tcPr>
            <w:tcW w:w="156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bCs/>
                <w:kern w:val="0"/>
                <w:sz w:val="20"/>
                <w:szCs w:val="24"/>
                <w:lang w:eastAsia="en-US" w:bidi="ar-SA"/>
              </w:rPr>
              <w:t>545.6 - 271.3</w:t>
            </w:r>
          </w:p>
        </w:tc>
        <w:tc>
          <w:tcPr>
            <w:tcW w:w="992" w:type="dxa"/>
            <w:tcBorders/>
            <w:vAlign w:val="center"/>
          </w:tcPr>
          <w:p>
            <w:pPr>
              <w:pStyle w:val="Normal"/>
              <w:widowControl/>
              <w:spacing w:before="0" w:after="0"/>
              <w:jc w:val="left"/>
              <w:rPr>
                <w:rFonts w:ascii="Times New Roman" w:hAnsi="Times New Roman" w:cs="Times New Roman"/>
                <w:bCs/>
                <w:sz w:val="20"/>
              </w:rPr>
            </w:pPr>
            <w:r>
              <w:rPr>
                <w:rFonts w:eastAsia="Calibri" w:cs="Times New Roman" w:ascii="Times New Roman" w:hAnsi="Times New Roman"/>
                <w:bCs/>
                <w:kern w:val="0"/>
                <w:sz w:val="20"/>
                <w:szCs w:val="24"/>
                <w:lang w:eastAsia="en-US" w:bidi="ar-SA"/>
              </w:rPr>
              <w:t xml:space="preserve">1.9-2.0 </w:t>
            </w:r>
          </w:p>
        </w:tc>
        <w:tc>
          <w:tcPr>
            <w:tcW w:w="1700" w:type="dxa"/>
            <w:tcBorders/>
            <w:vAlign w:val="center"/>
          </w:tcPr>
          <w:p>
            <w:pPr>
              <w:pStyle w:val="Normal"/>
              <w:widowControl/>
              <w:spacing w:before="0" w:after="0"/>
              <w:jc w:val="left"/>
              <w:rPr>
                <w:rFonts w:ascii="Times New Roman" w:hAnsi="Times New Roman" w:cs="Times New Roman"/>
                <w:bCs/>
                <w:sz w:val="20"/>
              </w:rPr>
            </w:pPr>
            <w:r>
              <w:rPr>
                <w:rFonts w:eastAsia="Calibri" w:cs="Times New Roman" w:ascii="Times New Roman" w:hAnsi="Times New Roman"/>
                <w:bCs/>
                <w:kern w:val="0"/>
                <w:sz w:val="20"/>
                <w:szCs w:val="24"/>
                <w:lang w:eastAsia="en-US" w:bidi="ar-SA"/>
              </w:rPr>
              <w:t>40</w:t>
            </w:r>
          </w:p>
        </w:tc>
      </w:tr>
      <w:tr>
        <w:trPr/>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Cer d18:1/18:0</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566.6 – 264.3</w:t>
            </w:r>
          </w:p>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w:t>
            </w:r>
            <w:r>
              <w:rPr>
                <w:rFonts w:eastAsia="Calibri" w:cs="Times New Roman" w:ascii="Times New Roman" w:hAnsi="Times New Roman"/>
                <w:kern w:val="0"/>
                <w:sz w:val="20"/>
                <w:szCs w:val="24"/>
                <w:vertAlign w:val="subscript"/>
                <w:lang w:eastAsia="en-US" w:bidi="ar-SA"/>
              </w:rPr>
              <w:t>36</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72</w:t>
            </w:r>
            <w:r>
              <w:rPr>
                <w:rFonts w:eastAsia="Calibri" w:cs="Times New Roman" w:ascii="Times New Roman" w:hAnsi="Times New Roman"/>
                <w:kern w:val="0"/>
                <w:sz w:val="20"/>
                <w:szCs w:val="24"/>
                <w:lang w:eastAsia="en-US" w:bidi="ar-SA"/>
              </w:rPr>
              <w:t>NO</w:t>
            </w:r>
            <w:r>
              <w:rPr>
                <w:rFonts w:eastAsia="Calibri" w:cs="Times New Roman" w:ascii="Times New Roman" w:hAnsi="Times New Roman"/>
                <w:kern w:val="0"/>
                <w:sz w:val="20"/>
                <w:szCs w:val="24"/>
                <w:vertAlign w:val="subscript"/>
                <w:lang w:eastAsia="en-US" w:bidi="ar-SA"/>
              </w:rPr>
              <w:t>3</w:t>
            </w:r>
            <w:r>
              <w:rPr>
                <w:rFonts w:eastAsia="Calibri" w:cs="Times New Roman" w:ascii="Times New Roman" w:hAnsi="Times New Roman"/>
                <w:kern w:val="0"/>
                <w:sz w:val="20"/>
                <w:szCs w:val="24"/>
                <w:lang w:eastAsia="en-US" w:bidi="ar-SA"/>
              </w:rPr>
              <w:t xml:space="preserve"> – C</w:t>
            </w:r>
            <w:r>
              <w:rPr>
                <w:rFonts w:eastAsia="Calibri" w:cs="Times New Roman" w:ascii="Times New Roman" w:hAnsi="Times New Roman"/>
                <w:kern w:val="0"/>
                <w:sz w:val="20"/>
                <w:szCs w:val="24"/>
                <w:vertAlign w:val="subscript"/>
                <w:lang w:eastAsia="en-US" w:bidi="ar-SA"/>
              </w:rPr>
              <w:t>18</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34</w:t>
            </w:r>
            <w:r>
              <w:rPr>
                <w:rFonts w:eastAsia="Calibri" w:cs="Times New Roman" w:ascii="Times New Roman" w:hAnsi="Times New Roman"/>
                <w:kern w:val="0"/>
                <w:sz w:val="20"/>
                <w:szCs w:val="24"/>
                <w:lang w:eastAsia="en-US" w:bidi="ar-SA"/>
              </w:rPr>
              <w:t>N</w:t>
            </w:r>
          </w:p>
        </w:tc>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D7- Cer d18:1/18:0</w:t>
            </w:r>
          </w:p>
        </w:tc>
        <w:tc>
          <w:tcPr>
            <w:tcW w:w="156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573.6 – 271.3</w:t>
            </w:r>
          </w:p>
        </w:tc>
        <w:tc>
          <w:tcPr>
            <w:tcW w:w="992"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 xml:space="preserve">2.1-2.2 </w:t>
            </w:r>
          </w:p>
        </w:tc>
        <w:tc>
          <w:tcPr>
            <w:tcW w:w="1700" w:type="dxa"/>
            <w:tcBorders/>
            <w:vAlign w:val="center"/>
          </w:tcPr>
          <w:p>
            <w:pPr>
              <w:pStyle w:val="Normal"/>
              <w:widowControl/>
              <w:spacing w:before="0" w:after="0"/>
              <w:jc w:val="left"/>
              <w:rPr>
                <w:rFonts w:ascii="Times New Roman" w:hAnsi="Times New Roman" w:cs="Times New Roman"/>
                <w:bCs/>
                <w:sz w:val="20"/>
              </w:rPr>
            </w:pPr>
            <w:r>
              <w:rPr>
                <w:rFonts w:eastAsia="Calibri" w:cs="Times New Roman" w:ascii="Times New Roman" w:hAnsi="Times New Roman"/>
                <w:bCs/>
                <w:kern w:val="0"/>
                <w:sz w:val="20"/>
                <w:szCs w:val="24"/>
                <w:lang w:eastAsia="en-US" w:bidi="ar-SA"/>
              </w:rPr>
              <w:t>40</w:t>
            </w:r>
          </w:p>
        </w:tc>
      </w:tr>
      <w:tr>
        <w:trPr>
          <w:trHeight w:val="599" w:hRule="atLeast"/>
        </w:trPr>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Cer d18:1/24:0</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650.6 – 264.3</w:t>
            </w:r>
          </w:p>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w:t>
            </w:r>
            <w:r>
              <w:rPr>
                <w:rFonts w:eastAsia="Calibri" w:cs="Times New Roman" w:ascii="Times New Roman" w:hAnsi="Times New Roman"/>
                <w:kern w:val="0"/>
                <w:sz w:val="20"/>
                <w:szCs w:val="24"/>
                <w:vertAlign w:val="subscript"/>
                <w:lang w:eastAsia="en-US" w:bidi="ar-SA"/>
              </w:rPr>
              <w:t>42</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84</w:t>
            </w:r>
            <w:r>
              <w:rPr>
                <w:rFonts w:eastAsia="Calibri" w:cs="Times New Roman" w:ascii="Times New Roman" w:hAnsi="Times New Roman"/>
                <w:kern w:val="0"/>
                <w:sz w:val="20"/>
                <w:szCs w:val="24"/>
                <w:lang w:eastAsia="en-US" w:bidi="ar-SA"/>
              </w:rPr>
              <w:t>NO</w:t>
            </w:r>
            <w:r>
              <w:rPr>
                <w:rFonts w:eastAsia="Calibri" w:cs="Times New Roman" w:ascii="Times New Roman" w:hAnsi="Times New Roman"/>
                <w:kern w:val="0"/>
                <w:sz w:val="20"/>
                <w:szCs w:val="24"/>
                <w:vertAlign w:val="subscript"/>
                <w:lang w:eastAsia="en-US" w:bidi="ar-SA"/>
              </w:rPr>
              <w:t>3</w:t>
            </w:r>
            <w:r>
              <w:rPr>
                <w:rFonts w:eastAsia="Calibri" w:cs="Times New Roman" w:ascii="Times New Roman" w:hAnsi="Times New Roman"/>
                <w:kern w:val="0"/>
                <w:sz w:val="20"/>
                <w:szCs w:val="24"/>
                <w:lang w:eastAsia="en-US" w:bidi="ar-SA"/>
              </w:rPr>
              <w:t xml:space="preserve"> – C</w:t>
            </w:r>
            <w:r>
              <w:rPr>
                <w:rFonts w:eastAsia="Calibri" w:cs="Times New Roman" w:ascii="Times New Roman" w:hAnsi="Times New Roman"/>
                <w:kern w:val="0"/>
                <w:sz w:val="20"/>
                <w:szCs w:val="24"/>
                <w:vertAlign w:val="subscript"/>
                <w:lang w:eastAsia="en-US" w:bidi="ar-SA"/>
              </w:rPr>
              <w:t>18</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34</w:t>
            </w:r>
            <w:r>
              <w:rPr>
                <w:rFonts w:eastAsia="Calibri" w:cs="Times New Roman" w:ascii="Times New Roman" w:hAnsi="Times New Roman"/>
                <w:kern w:val="0"/>
                <w:sz w:val="20"/>
                <w:szCs w:val="24"/>
                <w:lang w:eastAsia="en-US" w:bidi="ar-SA"/>
              </w:rPr>
              <w:t>N</w:t>
            </w:r>
          </w:p>
        </w:tc>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D7- Cer d18:1/24:0</w:t>
            </w:r>
          </w:p>
        </w:tc>
        <w:tc>
          <w:tcPr>
            <w:tcW w:w="156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657.7 – 271.3</w:t>
            </w:r>
          </w:p>
        </w:tc>
        <w:tc>
          <w:tcPr>
            <w:tcW w:w="992"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 xml:space="preserve">2.4-2.5 </w:t>
            </w:r>
          </w:p>
        </w:tc>
        <w:tc>
          <w:tcPr>
            <w:tcW w:w="1700"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40</w:t>
            </w:r>
          </w:p>
        </w:tc>
      </w:tr>
      <w:tr>
        <w:trPr>
          <w:trHeight w:val="515" w:hRule="atLeast"/>
        </w:trPr>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Cer d18:1/24:1</w:t>
            </w:r>
          </w:p>
        </w:tc>
        <w:tc>
          <w:tcPr>
            <w:tcW w:w="2268"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648.6 – 264.3</w:t>
            </w:r>
          </w:p>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C</w:t>
            </w:r>
            <w:r>
              <w:rPr>
                <w:rFonts w:eastAsia="Calibri" w:cs="Times New Roman" w:ascii="Times New Roman" w:hAnsi="Times New Roman"/>
                <w:kern w:val="0"/>
                <w:sz w:val="20"/>
                <w:szCs w:val="24"/>
                <w:vertAlign w:val="subscript"/>
                <w:lang w:eastAsia="en-US" w:bidi="ar-SA"/>
              </w:rPr>
              <w:t>42</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82</w:t>
            </w:r>
            <w:r>
              <w:rPr>
                <w:rFonts w:eastAsia="Calibri" w:cs="Times New Roman" w:ascii="Times New Roman" w:hAnsi="Times New Roman"/>
                <w:kern w:val="0"/>
                <w:sz w:val="20"/>
                <w:szCs w:val="24"/>
                <w:lang w:eastAsia="en-US" w:bidi="ar-SA"/>
              </w:rPr>
              <w:t>NO</w:t>
            </w:r>
            <w:r>
              <w:rPr>
                <w:rFonts w:eastAsia="Calibri" w:cs="Times New Roman" w:ascii="Times New Roman" w:hAnsi="Times New Roman"/>
                <w:kern w:val="0"/>
                <w:sz w:val="20"/>
                <w:szCs w:val="24"/>
                <w:vertAlign w:val="subscript"/>
                <w:lang w:eastAsia="en-US" w:bidi="ar-SA"/>
              </w:rPr>
              <w:t>3</w:t>
            </w:r>
            <w:r>
              <w:rPr>
                <w:rFonts w:eastAsia="Calibri" w:cs="Times New Roman" w:ascii="Times New Roman" w:hAnsi="Times New Roman"/>
                <w:kern w:val="0"/>
                <w:sz w:val="20"/>
                <w:szCs w:val="24"/>
                <w:lang w:eastAsia="en-US" w:bidi="ar-SA"/>
              </w:rPr>
              <w:t xml:space="preserve"> – C</w:t>
            </w:r>
            <w:r>
              <w:rPr>
                <w:rFonts w:eastAsia="Calibri" w:cs="Times New Roman" w:ascii="Times New Roman" w:hAnsi="Times New Roman"/>
                <w:kern w:val="0"/>
                <w:sz w:val="20"/>
                <w:szCs w:val="24"/>
                <w:vertAlign w:val="subscript"/>
                <w:lang w:eastAsia="en-US" w:bidi="ar-SA"/>
              </w:rPr>
              <w:t>18</w:t>
            </w:r>
            <w:r>
              <w:rPr>
                <w:rFonts w:eastAsia="Calibri" w:cs="Times New Roman" w:ascii="Times New Roman" w:hAnsi="Times New Roman"/>
                <w:kern w:val="0"/>
                <w:sz w:val="20"/>
                <w:szCs w:val="24"/>
                <w:lang w:eastAsia="en-US" w:bidi="ar-SA"/>
              </w:rPr>
              <w:t>H</w:t>
            </w:r>
            <w:r>
              <w:rPr>
                <w:rFonts w:eastAsia="Calibri" w:cs="Times New Roman" w:ascii="Times New Roman" w:hAnsi="Times New Roman"/>
                <w:kern w:val="0"/>
                <w:sz w:val="20"/>
                <w:szCs w:val="24"/>
                <w:vertAlign w:val="subscript"/>
                <w:lang w:eastAsia="en-US" w:bidi="ar-SA"/>
              </w:rPr>
              <w:t>34</w:t>
            </w:r>
            <w:r>
              <w:rPr>
                <w:rFonts w:eastAsia="Calibri" w:cs="Times New Roman" w:ascii="Times New Roman" w:hAnsi="Times New Roman"/>
                <w:kern w:val="0"/>
                <w:sz w:val="20"/>
                <w:szCs w:val="24"/>
                <w:lang w:eastAsia="en-US" w:bidi="ar-SA"/>
              </w:rPr>
              <w:t>N</w:t>
            </w:r>
          </w:p>
        </w:tc>
        <w:tc>
          <w:tcPr>
            <w:tcW w:w="1276"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D7- Cer d18:1/24:1</w:t>
            </w:r>
          </w:p>
        </w:tc>
        <w:tc>
          <w:tcPr>
            <w:tcW w:w="1563"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655.7 – 271.3</w:t>
            </w:r>
          </w:p>
        </w:tc>
        <w:tc>
          <w:tcPr>
            <w:tcW w:w="992"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 xml:space="preserve">2.3-2.4 </w:t>
            </w:r>
          </w:p>
        </w:tc>
        <w:tc>
          <w:tcPr>
            <w:tcW w:w="1700"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40</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Suggested sample sequence. Samples and QC for intra-assay validation can be measured in one single batch</w:t>
      </w:r>
    </w:p>
    <w:tbl>
      <w:tblPr>
        <w:tblStyle w:val="TableGrid"/>
        <w:tblW w:w="4528"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528"/>
      </w:tblGrid>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Total Blank 1</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Matrix blank</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Calibration line 1 from STD6 to 1 (n=3)</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SRM 1950-1</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SRM 1950-2</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SRM 1950-3</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SRM 1950-4</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SRM 1950-5</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SRM 1950-6</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T1D-1</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T1D-2</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T1D-3</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T1D-4</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T1D-5</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T1D-6</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Total Blank 2</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Young AA-1</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Young AA-2</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Young AA-3</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Young AA-4</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Young AA-5</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Young AA-6</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highTAG-1</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highTAG-2</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highTAG-3</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highTAG-4</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highTAG-5</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highTAG-6</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Pooled QC</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Calibration line 2 from STD1 to 6 (n=3)</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LLQC 1</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LLQC 2</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LLQC 3</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LLQC 4</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LLQC 5</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LLQC 6</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LQC 1</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LQC 2</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LQC 3</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LQC 4</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LQC 5</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LQC 6</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MQC 1</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MQC 2</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MQC 3</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MQC 4</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MQC 5</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MQC 6</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HQC 1</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HQC 2</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HQC 3</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HQC 4</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HQC 5</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HQC 6</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HLQC 1</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HLQC 2</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HLQC 3</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HLQC 4</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HLQC 5</w:t>
            </w:r>
          </w:p>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HLQC 6</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Matrix blank</w:t>
            </w:r>
          </w:p>
        </w:tc>
      </w:tr>
      <w:tr>
        <w:trPr/>
        <w:tc>
          <w:tcPr>
            <w:tcW w:w="4528" w:type="dxa"/>
            <w:tcBorders/>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4"/>
                <w:szCs w:val="24"/>
                <w:lang w:eastAsia="en-US" w:bidi="ar-SA"/>
              </w:rPr>
              <w:t>Total Blank 3</w:t>
            </w:r>
          </w:p>
        </w:tc>
      </w:tr>
    </w:tbl>
    <w:p>
      <w:pPr>
        <w:pStyle w:val="Normal"/>
        <w:jc w:val="both"/>
        <w:rPr>
          <w:rFonts w:ascii="Times New Roman" w:hAnsi="Times New Roman" w:cs="Times New Roman"/>
        </w:rPr>
      </w:pPr>
      <w:r>
        <w:rPr>
          <w:rFonts w:cs="Times New Roman" w:ascii="Times New Roman" w:hAnsi="Times New Roman"/>
          <w:b/>
          <w:bCs/>
        </w:rPr>
        <w:t>Clarifications:</w:t>
      </w:r>
      <w:r>
        <w:rPr>
          <w:rFonts w:cs="Times New Roman" w:ascii="Times New Roman" w:hAnsi="Times New Roman"/>
        </w:rPr>
        <w:t xml:space="preserve"> In the corresponding Excel table we have 3 cells for each STD concentration (1-6), so we mean that we inject only once from each vial (each vial is a replicate that you prepared). The calibration curves are 2: one at the beginning and one at the end.</w:t>
      </w:r>
    </w:p>
    <w:p>
      <w:pPr>
        <w:pStyle w:val="Normal"/>
        <w:jc w:val="both"/>
        <w:rPr>
          <w:rFonts w:ascii="Times New Roman" w:hAnsi="Times New Roman" w:cs="Times New Roman"/>
        </w:rPr>
      </w:pPr>
      <w:r>
        <w:rPr>
          <w:rFonts w:cs="Times New Roman" w:ascii="Times New Roman" w:hAnsi="Times New Roman"/>
        </w:rPr>
        <w:t>Then for the study samples we ask to prepare 6 replicates. Then in the Excel we have 3 cells for each sample, which means this time that each vial is injected 3 times.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11.</w:t>
      </w:r>
    </w:p>
    <w:tbl>
      <w:tblPr>
        <w:tblStyle w:val="TableGrid"/>
        <w:tblW w:w="6382"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314"/>
        <w:gridCol w:w="4067"/>
      </w:tblGrid>
      <w:tr>
        <w:trPr>
          <w:trHeight w:val="362" w:hRule="atLeast"/>
        </w:trPr>
        <w:tc>
          <w:tcPr>
            <w:tcW w:w="6381" w:type="dxa"/>
            <w:gridSpan w:val="2"/>
            <w:tcBorders/>
            <w:vAlign w:val="center"/>
          </w:tcPr>
          <w:p>
            <w:pPr>
              <w:pStyle w:val="Normal"/>
              <w:widowControl/>
              <w:spacing w:before="0" w:after="0"/>
              <w:jc w:val="left"/>
              <w:rPr>
                <w:rFonts w:ascii="Times New Roman" w:hAnsi="Times New Roman" w:cs="Times New Roman"/>
              </w:rPr>
            </w:pPr>
            <w:r>
              <w:rPr>
                <w:rFonts w:eastAsia="Calibri" w:cs="Times New Roman" w:ascii="Times New Roman" w:hAnsi="Times New Roman"/>
                <w:kern w:val="0"/>
                <w:sz w:val="22"/>
                <w:szCs w:val="24"/>
                <w:lang w:eastAsia="en-US" w:bidi="ar-SA"/>
              </w:rPr>
              <w:t>Data processing</w:t>
            </w:r>
          </w:p>
        </w:tc>
      </w:tr>
      <w:tr>
        <w:trPr/>
        <w:tc>
          <w:tcPr>
            <w:tcW w:w="2314"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Processing software</w:t>
            </w:r>
          </w:p>
        </w:tc>
        <w:tc>
          <w:tcPr>
            <w:tcW w:w="4067" w:type="dxa"/>
            <w:tcBorders/>
            <w:vAlign w:val="center"/>
          </w:tcPr>
          <w:p>
            <w:pPr>
              <w:pStyle w:val="Normal"/>
              <w:widowControl/>
              <w:spacing w:before="0" w:after="0"/>
              <w:jc w:val="left"/>
              <w:rPr>
                <w:rFonts w:ascii="Times New Roman" w:hAnsi="Times New Roman" w:cs="Times New Roman"/>
                <w:sz w:val="20"/>
              </w:rPr>
            </w:pPr>
            <w:r>
              <w:rPr>
                <w:rFonts w:eastAsia="Calibri" w:cs="Times New Roman" w:ascii="Times New Roman" w:hAnsi="Times New Roman"/>
                <w:kern w:val="0"/>
                <w:sz w:val="20"/>
                <w:szCs w:val="24"/>
                <w:lang w:eastAsia="en-US" w:bidi="ar-SA"/>
              </w:rPr>
              <w:t>(Add here name and version of the software used)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eastAsia="Avenir Next Medium" w:cs="Times New Roman" w:ascii="Times New Roman" w:hAnsi="Times New Roman"/>
          <w:b/>
          <w:bCs/>
          <w:u w:val="single"/>
        </w:rPr>
        <w:t>Quality controls for intra-assay variation</w:t>
      </w:r>
    </w:p>
    <w:p>
      <w:pPr>
        <w:pStyle w:val="Normal"/>
        <w:rPr>
          <w:rFonts w:ascii="Times New Roman" w:hAnsi="Times New Roman" w:eastAsia="Avenir Next Medium" w:cs="Times New Roman"/>
        </w:rPr>
      </w:pPr>
      <w:r>
        <w:rPr>
          <w:rFonts w:eastAsia="Avenir Next Medium" w:cs="Times New Roman" w:ascii="Times New Roman" w:hAnsi="Times New Roman"/>
        </w:rPr>
      </w:r>
    </w:p>
    <w:p>
      <w:pPr>
        <w:pStyle w:val="Normal"/>
        <w:rPr>
          <w:rFonts w:ascii="Times New Roman" w:hAnsi="Times New Roman" w:eastAsia="Avenir Next Medium" w:cs="Times New Roman"/>
        </w:rPr>
      </w:pPr>
      <w:r>
        <w:rPr>
          <w:rFonts w:eastAsia="Avenir Next Medium" w:cs="Times New Roman" w:ascii="Times New Roman" w:hAnsi="Times New Roman"/>
        </w:rPr>
        <w:t>Prepare the pooled plasma QC sample containing equal volumes of the four NIST reference plasma you received.</w:t>
      </w:r>
    </w:p>
    <w:p>
      <w:pPr>
        <w:pStyle w:val="Normal"/>
        <w:rPr>
          <w:rFonts w:ascii="Times New Roman" w:hAnsi="Times New Roman" w:cs="Times New Roman"/>
        </w:rPr>
      </w:pPr>
      <w:r>
        <w:rPr>
          <w:rFonts w:eastAsia="Avenir Next Medium" w:cs="Times New Roman" w:ascii="Times New Roman" w:hAnsi="Times New Roman"/>
        </w:rPr>
        <w:t xml:space="preserve">The pooled QC representing middle quality control (MQC), low QC (LQC), and lowest level of QC (LLQC) is prepared by diluting MQC (e.g. two-(1:1) and three-fold (1:2)) with water. High QC (HQC) and highest level of QC (HLQC) are prepared by adding to MQC additional </w:t>
      </w:r>
      <w:r>
        <w:rPr>
          <w:rFonts w:cs="Times New Roman" w:ascii="Times New Roman" w:hAnsi="Times New Roman"/>
        </w:rPr>
        <w:t xml:space="preserve">10 </w:t>
      </w:r>
      <w:r>
        <w:rPr>
          <w:rFonts w:eastAsia="Symbol" w:cs="Symbol" w:ascii="Symbol" w:hAnsi="Symbol"/>
        </w:rPr>
        <w:t></w:t>
      </w:r>
      <w:r>
        <w:rPr>
          <w:rFonts w:cs="Times New Roman" w:ascii="Times New Roman" w:hAnsi="Times New Roman"/>
        </w:rPr>
        <w:t>L</w:t>
      </w:r>
      <w:r>
        <w:rPr>
          <w:rFonts w:eastAsia="Avenir Next Medium" w:cs="Times New Roman" w:ascii="Times New Roman" w:hAnsi="Times New Roman"/>
        </w:rPr>
        <w:t xml:space="preserve"> </w:t>
      </w:r>
      <w:r>
        <w:rPr>
          <w:rFonts w:cs="Times New Roman" w:ascii="Times New Roman" w:hAnsi="Times New Roman"/>
          <w:sz w:val="22"/>
          <w:szCs w:val="20"/>
        </w:rPr>
        <w:t xml:space="preserve">and </w:t>
      </w:r>
      <w:r>
        <w:rPr>
          <w:rFonts w:cs="Times New Roman" w:ascii="Times New Roman" w:hAnsi="Times New Roman"/>
        </w:rPr>
        <w:t xml:space="preserve">20 </w:t>
      </w:r>
      <w:r>
        <w:rPr>
          <w:rFonts w:eastAsia="Symbol" w:cs="Symbol" w:ascii="Symbol" w:hAnsi="Symbol"/>
        </w:rPr>
        <w:t></w:t>
      </w:r>
      <w:r>
        <w:rPr>
          <w:rFonts w:cs="Times New Roman" w:ascii="Times New Roman" w:hAnsi="Times New Roman"/>
        </w:rPr>
        <w:t>L respectively of</w:t>
      </w:r>
      <w:r>
        <w:rPr>
          <w:rFonts w:cs="Times New Roman" w:ascii="Times New Roman" w:hAnsi="Times New Roman"/>
          <w:sz w:val="22"/>
          <w:szCs w:val="20"/>
        </w:rPr>
        <w:t xml:space="preserve"> STD3 </w:t>
      </w:r>
      <w:r>
        <w:rPr>
          <w:rFonts w:eastAsia="Avenir Next Medium" w:cs="Times New Roman" w:ascii="Times New Roman" w:hAnsi="Times New Roman"/>
        </w:rPr>
        <w:t>endogenous standards from table 5. Internal standards are added to all QC samples.</w:t>
      </w:r>
    </w:p>
    <w:p>
      <w:pPr>
        <w:pStyle w:val="Normal"/>
        <w:rPr>
          <w:rFonts w:ascii="Times New Roman" w:hAnsi="Times New Roman" w:cs="Times New Roman"/>
        </w:rPr>
      </w:pPr>
      <w:r>
        <w:rPr>
          <w:rFonts w:eastAsia="Avenir Next Medium" w:cs="Times New Roman" w:ascii="Times New Roman" w:hAnsi="Times New Roman"/>
        </w:rPr>
        <w:t xml:space="preserve"> </w:t>
      </w:r>
    </w:p>
    <w:p>
      <w:pPr>
        <w:pStyle w:val="Normal"/>
        <w:rPr>
          <w:rFonts w:ascii="Times New Roman" w:hAnsi="Times New Roman" w:cs="Times New Roman"/>
        </w:rPr>
      </w:pPr>
      <w:r>
        <w:rPr>
          <w:rFonts w:eastAsia="Avenir Next Medium" w:cs="Times New Roman" w:ascii="Times New Roman" w:hAnsi="Times New Roman"/>
          <w:b/>
          <w:bCs/>
          <w:u w:val="single"/>
        </w:rPr>
        <w:t>Only intra-assay variation will be measured</w:t>
      </w:r>
    </w:p>
    <w:p>
      <w:pPr>
        <w:pStyle w:val="Normal"/>
        <w:rPr>
          <w:rFonts w:ascii="Times New Roman" w:hAnsi="Times New Roman" w:eastAsia="Avenir Next Medium" w:cs="Times New Roman"/>
        </w:rPr>
      </w:pPr>
      <w:r>
        <w:rPr>
          <w:rFonts w:eastAsia="Avenir Next Medium" w:cs="Times New Roman" w:ascii="Times New Roman" w:hAnsi="Times New Roman"/>
        </w:rPr>
      </w:r>
    </w:p>
    <w:p>
      <w:pPr>
        <w:pStyle w:val="Normal"/>
        <w:rPr>
          <w:rFonts w:ascii="Times New Roman" w:hAnsi="Times New Roman" w:eastAsia="Avenir Next Medium" w:cs="Times New Roman"/>
        </w:rPr>
      </w:pPr>
      <w:r>
        <w:rPr>
          <w:rFonts w:eastAsia="Avenir Next Medium" w:cs="Times New Roman" w:ascii="Times New Roman" w:hAnsi="Times New Roman"/>
        </w:rPr>
        <w:t>The precision and accuracy of the assay is determined for each of the four ceramides measured in LLQC, LQC, MQC, HQC, and HLQC.</w:t>
      </w:r>
    </w:p>
    <w:p>
      <w:pPr>
        <w:pStyle w:val="Normal"/>
        <w:rPr>
          <w:rFonts w:ascii="Times New Roman" w:hAnsi="Times New Roman" w:eastAsia="Avenir Next Medium" w:cs="Times New Roman"/>
        </w:rPr>
      </w:pPr>
      <w:r>
        <w:rPr>
          <w:rFonts w:eastAsia="Avenir Next Medium" w:cs="Times New Roman" w:ascii="Times New Roman" w:hAnsi="Times New Roman"/>
        </w:rPr>
        <w:t>Intra-assay variation, precision, and accuracy is calculated for each of the ceramide in replicates of six (n = 6) at each QC concentration.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eastAsia="Avenir Next Medium" w:cs="Times New Roman" w:ascii="Times New Roman" w:hAnsi="Times New Roman"/>
        </w:rPr>
        <w:t>The intra-assay precision (percentage coefficient variance, %CV) and accuracy (percentage accuracy, %Accuracy) are calculated from the nominal concentrations according to the formulas reported in the corresponding Excel tables attached to this document.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Avenir Next Medium" w:cs="Times New Roman"/>
        </w:rPr>
      </w:pPr>
      <w:r>
        <w:rPr>
          <w:rFonts w:eastAsia="Avenir Next Medium" w:cs="Times New Roman" w:ascii="Times New Roman" w:hAnsi="Times New Roman"/>
        </w:rPr>
        <w:t>Recovery estimation is not necessary for the published method but only for different ones. Stability estimation is not necessary for the published method but only for different ones.</w:t>
      </w:r>
    </w:p>
    <w:p>
      <w:pPr>
        <w:pStyle w:val="Normal"/>
        <w:rPr>
          <w:rFonts w:ascii="Times New Roman" w:hAnsi="Times New Roman" w:eastAsia="Avenir Next Medium" w:cs="Times New Roman"/>
        </w:rPr>
      </w:pPr>
      <w:r>
        <w:rPr>
          <w:rFonts w:eastAsia="Avenir Next Medium" w:cs="Times New Roman" w:ascii="Times New Roman" w:hAnsi="Times New Roman"/>
        </w:rPr>
        <w:t>Calibration line is prepared in 5% BSA in water, no specific purity/type of BSA is required.</w:t>
      </w:r>
    </w:p>
    <w:p>
      <w:pPr>
        <w:pStyle w:val="Normal"/>
        <w:rPr>
          <w:rFonts w:ascii="Times New Roman" w:hAnsi="Times New Roman" w:eastAsia="Avenir Next Medium" w:cs="Times New Roman"/>
        </w:rPr>
      </w:pPr>
      <w:r>
        <w:rPr>
          <w:rFonts w:eastAsia="Avenir Next Medium" w:cs="Times New Roman" w:ascii="Times New Roman" w:hAnsi="Times New Roman"/>
        </w:rPr>
      </w:r>
    </w:p>
    <w:p>
      <w:pPr>
        <w:pStyle w:val="Normal"/>
        <w:rPr>
          <w:rFonts w:ascii="Times New Roman" w:hAnsi="Times New Roman" w:eastAsia="Avenir Next Medium" w:cs="Times New Roman"/>
          <w:b/>
          <w:b/>
          <w:bCs/>
          <w:u w:val="single"/>
        </w:rPr>
      </w:pPr>
      <w:r>
        <w:rPr>
          <w:rFonts w:eastAsia="Avenir Next Medium" w:cs="Times New Roman" w:ascii="Times New Roman" w:hAnsi="Times New Roman"/>
          <w:b/>
          <w:bCs/>
          <w:u w:val="single"/>
        </w:rPr>
        <w:t>Results</w:t>
      </w:r>
    </w:p>
    <w:p>
      <w:pPr>
        <w:pStyle w:val="Normal"/>
        <w:rPr>
          <w:rFonts w:ascii="Times New Roman" w:hAnsi="Times New Roman" w:eastAsia="Avenir Next Medium" w:cs="Times New Roman"/>
        </w:rPr>
      </w:pPr>
      <w:r>
        <w:rPr>
          <w:rFonts w:eastAsia="Avenir Next Medium" w:cs="Times New Roman" w:ascii="Times New Roman" w:hAnsi="Times New Roman"/>
        </w:rPr>
      </w:r>
    </w:p>
    <w:p>
      <w:pPr>
        <w:pStyle w:val="Normal"/>
        <w:rPr>
          <w:rFonts w:ascii="Times New Roman" w:hAnsi="Times New Roman" w:eastAsia="Avenir Next Medium" w:cs="Times New Roman"/>
        </w:rPr>
      </w:pPr>
      <w:r>
        <w:rPr>
          <w:rFonts w:eastAsia="Avenir Next Medium" w:cs="Times New Roman" w:ascii="Times New Roman" w:hAnsi="Times New Roman"/>
        </w:rPr>
        <w:t xml:space="preserve">Please </w:t>
      </w:r>
      <w:r>
        <w:rPr>
          <w:rFonts w:eastAsia="Avenir Next Medium" w:cs="Times New Roman" w:ascii="Times New Roman" w:hAnsi="Times New Roman"/>
          <w:b/>
          <w:bCs/>
          <w:u w:val="single"/>
        </w:rPr>
        <w:t>report the peak areas</w:t>
      </w:r>
      <w:r>
        <w:rPr>
          <w:rFonts w:eastAsia="Avenir Next Medium" w:cs="Times New Roman" w:ascii="Times New Roman" w:hAnsi="Times New Roman"/>
        </w:rPr>
        <w:t xml:space="preserve"> values for Calibration lines, Samples and Intra assay QC in tables 12-15 of the corresponding Excel file.</w:t>
      </w:r>
      <w:bookmarkStart w:id="1" w:name="_GoBack"/>
      <w:bookmarkEnd w:id="1"/>
    </w:p>
    <w:p>
      <w:pPr>
        <w:pStyle w:val="Normal"/>
        <w:rPr>
          <w:rFonts w:ascii="Times New Roman" w:hAnsi="Times New Roman" w:eastAsia="Avenir Next Medium" w:cs="Times New Roman"/>
        </w:rPr>
      </w:pPr>
      <w:r>
        <w:rPr>
          <w:rFonts w:eastAsia="Avenir Next Medium" w:cs="Times New Roman" w:ascii="Times New Roman" w:hAnsi="Times New Roman"/>
        </w:rPr>
      </w:r>
    </w:p>
    <w:p>
      <w:pPr>
        <w:pStyle w:val="Normal"/>
        <w:rPr>
          <w:rFonts w:ascii="Times New Roman" w:hAnsi="Times New Roman" w:eastAsia="Avenir Next Medium" w:cs="Times New Roman"/>
        </w:rPr>
      </w:pPr>
      <w:r>
        <w:rPr>
          <w:rFonts w:eastAsia="Avenir Next Medium" w:cs="Times New Roman" w:ascii="Times New Roman" w:hAnsi="Times New Roman"/>
        </w:rPr>
      </w:r>
    </w:p>
    <w:p>
      <w:pPr>
        <w:pStyle w:val="Normal"/>
        <w:rPr>
          <w:rFonts w:ascii="Times New Roman" w:hAnsi="Times New Roman" w:cs="Times New Roman"/>
        </w:rPr>
      </w:pPr>
      <w:r>
        <w:rPr/>
      </w:r>
    </w:p>
    <w:sectPr>
      <w:headerReference w:type="default" r:id="rId2"/>
      <w:footerReference w:type="default" r:id="rId3"/>
      <w:type w:val="nextPage"/>
      <w:pgSz w:w="11906" w:h="16838"/>
      <w:pgMar w:left="1417" w:right="1417" w:header="283" w:top="1417" w:footer="283"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venir N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Avenir Next" w:hAnsi="Avenir Next"/>
      </w:rPr>
    </w:pPr>
    <w:r>
      <w:rPr>
        <w:rFonts w:ascii="Avenir Next" w:hAnsi="Avenir Next"/>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78105" cy="186055"/>
              <wp:effectExtent l="0" t="0" r="0" b="0"/>
              <wp:wrapNone/>
              <wp:docPr id="1"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47.4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lang w:val="sv-SE"/>
      </w:rPr>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6b28"/>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5e72"/>
    <w:rPr>
      <w:lang w:val="en-US"/>
    </w:rPr>
  </w:style>
  <w:style w:type="character" w:styleId="FooterChar" w:customStyle="1">
    <w:name w:val="Footer Char"/>
    <w:basedOn w:val="DefaultParagraphFont"/>
    <w:link w:val="Footer"/>
    <w:uiPriority w:val="99"/>
    <w:qFormat/>
    <w:rsid w:val="004b5e72"/>
    <w:rPr>
      <w:lang w:val="en-US"/>
    </w:rPr>
  </w:style>
  <w:style w:type="character" w:styleId="Pagenumber">
    <w:name w:val="page number"/>
    <w:basedOn w:val="DefaultParagraphFont"/>
    <w:uiPriority w:val="99"/>
    <w:semiHidden/>
    <w:unhideWhenUsed/>
    <w:qFormat/>
    <w:rsid w:val="004b5e72"/>
    <w:rPr/>
  </w:style>
  <w:style w:type="character" w:styleId="PlaceholderText">
    <w:name w:val="Placeholder Text"/>
    <w:basedOn w:val="DefaultParagraphFont"/>
    <w:uiPriority w:val="99"/>
    <w:semiHidden/>
    <w:qFormat/>
    <w:rsid w:val="008a39e4"/>
    <w:rPr>
      <w:color w:val="808080"/>
    </w:rPr>
  </w:style>
  <w:style w:type="character" w:styleId="BalloonTextChar" w:customStyle="1">
    <w:name w:val="Balloon Text Char"/>
    <w:basedOn w:val="DefaultParagraphFont"/>
    <w:link w:val="BalloonText"/>
    <w:uiPriority w:val="99"/>
    <w:semiHidden/>
    <w:qFormat/>
    <w:rsid w:val="00e954ff"/>
    <w:rPr>
      <w:rFonts w:ascii="Times New Roman" w:hAnsi="Times New Roman" w:cs="Times New Roman"/>
      <w:sz w:val="18"/>
      <w:szCs w:val="18"/>
      <w:lang w:val="en-US"/>
    </w:rPr>
  </w:style>
  <w:style w:type="character" w:styleId="Annotationreference">
    <w:name w:val="annotation reference"/>
    <w:basedOn w:val="DefaultParagraphFont"/>
    <w:uiPriority w:val="99"/>
    <w:semiHidden/>
    <w:unhideWhenUsed/>
    <w:qFormat/>
    <w:rsid w:val="00271a31"/>
    <w:rPr>
      <w:sz w:val="16"/>
      <w:szCs w:val="16"/>
    </w:rPr>
  </w:style>
  <w:style w:type="character" w:styleId="CommentTextChar" w:customStyle="1">
    <w:name w:val="Comment Text Char"/>
    <w:basedOn w:val="DefaultParagraphFont"/>
    <w:link w:val="CommentText"/>
    <w:uiPriority w:val="99"/>
    <w:semiHidden/>
    <w:qFormat/>
    <w:rsid w:val="00271a31"/>
    <w:rPr>
      <w:sz w:val="20"/>
      <w:szCs w:val="20"/>
      <w:lang w:val="en-US"/>
    </w:rPr>
  </w:style>
  <w:style w:type="character" w:styleId="CommentSubjectChar" w:customStyle="1">
    <w:name w:val="Comment Subject Char"/>
    <w:basedOn w:val="CommentTextChar"/>
    <w:link w:val="CommentSubject"/>
    <w:uiPriority w:val="99"/>
    <w:semiHidden/>
    <w:qFormat/>
    <w:rsid w:val="00271a31"/>
    <w:rPr>
      <w:b/>
      <w:bCs/>
      <w:sz w:val="20"/>
      <w:szCs w:val="20"/>
      <w:lang w:val="en-US"/>
    </w:rPr>
  </w:style>
  <w:style w:type="character" w:styleId="Appletabspan" w:customStyle="1">
    <w:name w:val="apple-tab-span"/>
    <w:basedOn w:val="DefaultParagraphFont"/>
    <w:qFormat/>
    <w:rsid w:val="0074537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4b5e72"/>
    <w:pPr>
      <w:tabs>
        <w:tab w:val="clear" w:pos="1304"/>
        <w:tab w:val="center" w:pos="4536" w:leader="none"/>
        <w:tab w:val="right" w:pos="9072" w:leader="none"/>
      </w:tabs>
    </w:pPr>
    <w:rPr/>
  </w:style>
  <w:style w:type="paragraph" w:styleId="Footer">
    <w:name w:val="Footer"/>
    <w:basedOn w:val="Normal"/>
    <w:link w:val="FooterChar"/>
    <w:uiPriority w:val="99"/>
    <w:unhideWhenUsed/>
    <w:rsid w:val="004b5e72"/>
    <w:pPr>
      <w:tabs>
        <w:tab w:val="clear" w:pos="1304"/>
        <w:tab w:val="center" w:pos="4536" w:leader="none"/>
        <w:tab w:val="right" w:pos="9072" w:leader="none"/>
      </w:tabs>
    </w:pPr>
    <w:rPr/>
  </w:style>
  <w:style w:type="paragraph" w:styleId="ListParagraph">
    <w:name w:val="List Paragraph"/>
    <w:basedOn w:val="Normal"/>
    <w:uiPriority w:val="34"/>
    <w:qFormat/>
    <w:rsid w:val="004b5e72"/>
    <w:pPr>
      <w:spacing w:before="0" w:after="0"/>
      <w:ind w:left="720" w:hanging="0"/>
      <w:contextualSpacing/>
    </w:pPr>
    <w:rPr/>
  </w:style>
  <w:style w:type="paragraph" w:styleId="BalloonText">
    <w:name w:val="Balloon Text"/>
    <w:basedOn w:val="Normal"/>
    <w:link w:val="BalloonTextChar"/>
    <w:uiPriority w:val="99"/>
    <w:semiHidden/>
    <w:unhideWhenUsed/>
    <w:qFormat/>
    <w:rsid w:val="00e954ff"/>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271a31"/>
    <w:pPr/>
    <w:rPr>
      <w:sz w:val="20"/>
      <w:szCs w:val="20"/>
    </w:rPr>
  </w:style>
  <w:style w:type="paragraph" w:styleId="Annotationsubject">
    <w:name w:val="annotation subject"/>
    <w:basedOn w:val="Annotationtext"/>
    <w:next w:val="Annotationtext"/>
    <w:link w:val="CommentSubjectChar"/>
    <w:uiPriority w:val="99"/>
    <w:semiHidden/>
    <w:unhideWhenUsed/>
    <w:qFormat/>
    <w:rsid w:val="00271a31"/>
    <w:pPr/>
    <w:rPr>
      <w:b/>
      <w:bCs/>
    </w:rPr>
  </w:style>
  <w:style w:type="paragraph" w:styleId="Revision">
    <w:name w:val="Revision"/>
    <w:uiPriority w:val="99"/>
    <w:semiHidden/>
    <w:qFormat/>
    <w:rsid w:val="007d073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826c1c"/>
    <w:pPr/>
    <w:rPr>
      <w:rFonts w:ascii="Times New Roman" w:hAnsi="Times New Roman" w:cs="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c5a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rutnt1">
    <w:name w:val="Tabellrutnät1"/>
    <w:basedOn w:val="TableNormal"/>
    <w:uiPriority w:val="39"/>
    <w:rsid w:val="0074537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92DC4C-3326-4E81-9BBF-35003BA0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LibreOffice/7.0.0.3$Linux_X86_64 LibreOffice_project/8061b3e9204bef6b321a21033174034a5e2ea88e</Application>
  <Pages>6</Pages>
  <Words>1429</Words>
  <Characters>6864</Characters>
  <CharactersWithSpaces>7937</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2020-03-10T05:41:00Z</dcterms:created>
  <dc:creator>Kim Ekroos</dc:creator>
  <dc:description/>
  <dc:language>en-US</dc:language>
  <cp:lastModifiedBy>federico torta</cp:lastModifiedBy>
  <cp:lastPrinted>2016-08-10T17:52:00Z</cp:lastPrinted>
  <dcterms:modified xsi:type="dcterms:W3CDTF">2020-03-10T05:41:00Z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