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C05FF" w:rsidRDefault="009F339A">
      <w:pPr>
        <w:spacing w:before="480" w:after="360"/>
        <w:jc w:val="center"/>
      </w:pPr>
      <w:r>
        <w:rPr>
          <w:b/>
          <w:color w:val="1B365D"/>
          <w:sz w:val="44"/>
        </w:rPr>
        <w:t>Mathematical Modelling and Dynamic Analysis of the Human Foot Using a Four-Degree-of-Freedom State-Space Model with Literature-Based Biomechanical Validation</w:t>
      </w:r>
    </w:p>
    <w:p w:rsidR="00BC05FF" w:rsidRDefault="009F339A">
      <w:pPr>
        <w:spacing w:before="360" w:after="240"/>
      </w:pPr>
      <w:r>
        <w:rPr>
          <w:b/>
          <w:color w:val="1B365D"/>
          <w:sz w:val="32"/>
        </w:rPr>
        <w:t>CHAPTER 1: INTRODUCTION</w:t>
      </w:r>
    </w:p>
    <w:p w:rsidR="00BC05FF" w:rsidRDefault="009F339A">
      <w:pPr>
        <w:spacing w:before="240" w:after="120"/>
      </w:pPr>
      <w:r>
        <w:rPr>
          <w:b/>
          <w:color w:val="4A77A2"/>
          <w:sz w:val="26"/>
        </w:rPr>
        <w:t>1.1 Introduction</w:t>
      </w:r>
    </w:p>
    <w:p w:rsidR="00BC05FF" w:rsidRDefault="009F339A">
      <w:pPr>
        <w:spacing w:after="120"/>
      </w:pPr>
      <w:r>
        <w:t xml:space="preserve">The human foot is one of the most complex biomechanical </w:t>
      </w:r>
      <w:r>
        <w:t>structures in the human body. It consists of numerous bones, joints, ligaments, tendons, and muscles that work together to provide support, balance, locomotion, and shock absorption. Mathematical modelling provides a powerful approach for studying the dyna</w:t>
      </w:r>
      <w:r>
        <w:t>mic characteristics of the foot and predicting its response under various physiological and pathological conditions. The present work develops a four-degree-of-freedom (4-DOF) dynamic model of the human foot and analyzes it using MATLAB and state-space met</w:t>
      </w:r>
      <w:r>
        <w:t>hods.</w:t>
      </w:r>
    </w:p>
    <w:p w:rsidR="00BC05FF" w:rsidRDefault="009F339A">
      <w:pPr>
        <w:spacing w:before="240" w:after="120"/>
      </w:pPr>
      <w:r>
        <w:rPr>
          <w:b/>
          <w:color w:val="4A77A2"/>
          <w:sz w:val="26"/>
        </w:rPr>
        <w:t>1.2 Motivation</w:t>
      </w:r>
    </w:p>
    <w:p w:rsidR="00BC05FF" w:rsidRDefault="009F339A">
      <w:pPr>
        <w:spacing w:after="120"/>
      </w:pPr>
      <w:r>
        <w:t>The human foot plays a crucial role in mobility and balance. Conditions such as flat foot, high arch foot, ligament injuries, and plantar fascia disorders can significantly affect gait and stability. Mathematical modelling provides a c</w:t>
      </w:r>
      <w:r>
        <w:t>ost-effective method to study these conditions through simulation.</w:t>
      </w:r>
    </w:p>
    <w:p w:rsidR="00BC05FF" w:rsidRDefault="009F339A">
      <w:pPr>
        <w:spacing w:before="240" w:after="120"/>
      </w:pPr>
      <w:r>
        <w:rPr>
          <w:b/>
          <w:color w:val="4A77A2"/>
          <w:sz w:val="26"/>
        </w:rPr>
        <w:t>1.3 Problem Statement</w:t>
      </w:r>
    </w:p>
    <w:p w:rsidR="00BC05FF" w:rsidRDefault="009F339A">
      <w:pPr>
        <w:spacing w:after="120"/>
      </w:pPr>
      <w:r>
        <w:t>The human foot exhibits complex dynamic behavior due to the interaction of multiple joints and soft tissue structures. A simplified dynamic model is required that capt</w:t>
      </w:r>
      <w:r>
        <w:t>ures the essential characteristics of the foot while remaining suitable for engineering analysis.</w:t>
      </w:r>
    </w:p>
    <w:p w:rsidR="00BC05FF" w:rsidRDefault="009F339A">
      <w:pPr>
        <w:spacing w:before="240" w:after="120"/>
      </w:pPr>
      <w:r>
        <w:rPr>
          <w:b/>
          <w:color w:val="4A77A2"/>
          <w:sz w:val="26"/>
        </w:rPr>
        <w:t>1.4 Objectives</w:t>
      </w:r>
    </w:p>
    <w:p w:rsidR="00BC05FF" w:rsidRDefault="009F339A">
      <w:pPr>
        <w:spacing w:after="120"/>
      </w:pPr>
      <w:r>
        <w:t>• Develop a 4-DOF human foot model.</w:t>
      </w:r>
      <w:r>
        <w:br/>
        <w:t>• Derive equations of motion.</w:t>
      </w:r>
      <w:r>
        <w:br/>
        <w:t>• Formulate the state-space model.</w:t>
      </w:r>
      <w:r>
        <w:br/>
        <w:t>• Determine A, B, C and D matrices.</w:t>
      </w:r>
      <w:r>
        <w:br/>
        <w:t>• Anal</w:t>
      </w:r>
      <w:r>
        <w:t>yze healthy and pathological foot conditions.</w:t>
      </w:r>
      <w:r>
        <w:br/>
        <w:t>• Compare dynamic performance using engineering metrics.</w:t>
      </w:r>
    </w:p>
    <w:p w:rsidR="00BC05FF" w:rsidRDefault="009F339A">
      <w:pPr>
        <w:spacing w:before="240" w:after="120"/>
      </w:pPr>
      <w:r>
        <w:rPr>
          <w:b/>
          <w:color w:val="4A77A2"/>
          <w:sz w:val="26"/>
        </w:rPr>
        <w:t>1.5 Scope of Work</w:t>
      </w:r>
    </w:p>
    <w:p w:rsidR="00BC05FF" w:rsidRDefault="009F339A">
      <w:pPr>
        <w:spacing w:after="120"/>
      </w:pPr>
      <w:r>
        <w:lastRenderedPageBreak/>
        <w:t>The scope of this project is limited to a lumped-parameter dynamic model of the human foot with linear stiffness and damping assumption</w:t>
      </w:r>
      <w:r>
        <w:t>s. The study includes mathematical modelling, MATLAB simulation, and comparative dynamic analysis.</w:t>
      </w:r>
    </w:p>
    <w:p w:rsidR="00BC05FF" w:rsidRDefault="009F339A">
      <w:pPr>
        <w:spacing w:before="240" w:after="120"/>
      </w:pPr>
      <w:r>
        <w:rPr>
          <w:b/>
          <w:color w:val="4A77A2"/>
          <w:sz w:val="26"/>
        </w:rPr>
        <w:t>1.6 Organization of the Report</w:t>
      </w:r>
    </w:p>
    <w:p w:rsidR="00BC05FF" w:rsidRDefault="009F339A">
      <w:pPr>
        <w:spacing w:after="120"/>
      </w:pPr>
      <w:r>
        <w:t>Chapter 1 presents the introduction. Chapter 2 develops the mathematical model. Chapter 3 presents the healthy foot model. Cha</w:t>
      </w:r>
      <w:r>
        <w:t>pter 4 presents comparative analysis. Chapter 5 provides conclusions and future scope.</w:t>
      </w:r>
    </w:p>
    <w:p w:rsidR="00BC05FF" w:rsidRDefault="009F339A">
      <w:pPr>
        <w:spacing w:before="360" w:after="240"/>
      </w:pPr>
      <w:r>
        <w:rPr>
          <w:b/>
          <w:color w:val="1B365D"/>
          <w:sz w:val="32"/>
        </w:rPr>
        <w:t>CHAPTER 2: MATHEMATICAL MODELLING OF THE HUMAN FOOT</w:t>
      </w:r>
    </w:p>
    <w:p w:rsidR="00BC05FF" w:rsidRDefault="009F339A">
      <w:pPr>
        <w:spacing w:before="240" w:after="120"/>
      </w:pPr>
      <w:r>
        <w:rPr>
          <w:b/>
          <w:color w:val="4A77A2"/>
          <w:sz w:val="26"/>
        </w:rPr>
        <w:t>2.1 Introduction</w:t>
      </w:r>
    </w:p>
    <w:p w:rsidR="00BC05FF" w:rsidRDefault="009F339A">
      <w:pPr>
        <w:spacing w:after="120"/>
      </w:pPr>
      <w:r>
        <w:t>The human foot is a highly complex biomechanical structure responsible for supporting body weight, m</w:t>
      </w:r>
      <w:r>
        <w:t>aintaining balance, absorbing shocks, and enabling locomotion. Direct modelling of every bone, muscle, tendon, and ligament requires sophisticated finite element methods and large computational resources. To simplify the analysis while preserving the essen</w:t>
      </w:r>
      <w:r>
        <w:t>tial dynamic characteristics of the foot, a lumped-parameter dynamic model is developed. In this project, the foot is represented as a four-degree-of-freedom (4-DOF) mechanical system consisting of rotational motions at the ankle, subtalar, and toe joints,</w:t>
      </w:r>
      <w:r>
        <w:t xml:space="preserve"> along with vertical deformation of the longitudinal arch. The model incorporates inertia, damping, stiffness, and coupling effects between different anatomical regions. The resulting equations are converted into state-space form for dynamic analysis using</w:t>
      </w:r>
      <w:r>
        <w:t xml:space="preserve"> MATLAB.</w:t>
      </w:r>
    </w:p>
    <w:p w:rsidR="00BC05FF" w:rsidRDefault="009F339A">
      <w:pPr>
        <w:spacing w:before="240" w:after="120"/>
      </w:pPr>
      <w:r>
        <w:rPr>
          <w:b/>
          <w:color w:val="4A77A2"/>
          <w:sz w:val="26"/>
        </w:rPr>
        <w:t>2.2 Modelling Assumptions</w:t>
      </w:r>
    </w:p>
    <w:p w:rsidR="00BC05FF" w:rsidRDefault="009F339A">
      <w:pPr>
        <w:spacing w:after="120"/>
      </w:pPr>
      <w:r>
        <w:t>• The foot is represented as a lumped-parameter system.</w:t>
      </w:r>
      <w:r>
        <w:br/>
        <w:t>• All motions are assumed to be small.</w:t>
      </w:r>
      <w:r>
        <w:br/>
        <w:t>• Rotational displacements are measured in radians.</w:t>
      </w:r>
      <w:r>
        <w:br/>
        <w:t>• Arch deformation is represented by a single translational coordinate.</w:t>
      </w:r>
      <w:r>
        <w:br/>
        <w:t xml:space="preserve">• </w:t>
      </w:r>
      <w:r>
        <w:t>Stiffness elements behave linearly.</w:t>
      </w:r>
      <w:r>
        <w:br/>
        <w:t>• Damping elements behave linearly.</w:t>
      </w:r>
      <w:r>
        <w:br/>
        <w:t>• Material properties remain constant throughout the simulation.</w:t>
      </w:r>
      <w:r>
        <w:br/>
        <w:t>• Coupling between joints is represented using equivalent stiffness elements.</w:t>
      </w:r>
      <w:r>
        <w:br/>
        <w:t>• Ground interaction is represented by an</w:t>
      </w:r>
      <w:r>
        <w:t xml:space="preserve"> external force input.</w:t>
      </w:r>
      <w:r>
        <w:br/>
        <w:t>• Muscle actions are represented through equivalent input torques.</w:t>
      </w:r>
    </w:p>
    <w:p w:rsidR="00BC05FF" w:rsidRDefault="009F339A">
      <w:pPr>
        <w:spacing w:before="240" w:after="120"/>
      </w:pPr>
      <w:r>
        <w:rPr>
          <w:b/>
          <w:color w:val="4A77A2"/>
          <w:sz w:val="26"/>
        </w:rPr>
        <w:t>2.3 Degrees of Freedom</w:t>
      </w:r>
    </w:p>
    <w:p w:rsidR="00BC05FF" w:rsidRDefault="009F339A">
      <w:pPr>
        <w:spacing w:after="120"/>
      </w:pPr>
      <w:r>
        <w:t>The four generalized coordinates selected for the model are:</w:t>
      </w:r>
      <w:r>
        <w:br/>
        <w:t>θa = Ankle rotation, θs = Subtalar rotation, θt = Toe rotation, h = Longitudinal a</w:t>
      </w:r>
      <w:r>
        <w:t>rch deformation</w:t>
      </w:r>
      <w:r>
        <w:br/>
        <w:t>The generalized coordinate vector is therefore defined as:</w:t>
      </w:r>
      <w:r>
        <w:br/>
        <w:t>q = [ θa   θs   θt   h ]</w:t>
      </w:r>
      <w:r>
        <w:t>ᵀ</w:t>
      </w:r>
    </w:p>
    <w:p w:rsidR="00BC05FF" w:rsidRDefault="009F339A">
      <w:pPr>
        <w:spacing w:before="240" w:after="120"/>
      </w:pPr>
      <w:r>
        <w:rPr>
          <w:b/>
          <w:color w:val="4A77A2"/>
          <w:sz w:val="26"/>
        </w:rPr>
        <w:lastRenderedPageBreak/>
        <w:t>2.4 Input Variables</w:t>
      </w:r>
    </w:p>
    <w:p w:rsidR="00BC05FF" w:rsidRDefault="009F339A">
      <w:pPr>
        <w:spacing w:after="120"/>
      </w:pPr>
      <w:r>
        <w:t>The foot is excited through joint torques and external loading. The input vector is defined as:</w:t>
      </w:r>
      <w:r>
        <w:br/>
        <w:t>u = [ τa   τs   τt   Fg ]</w:t>
      </w:r>
      <w:r>
        <w:t>ᵀ</w:t>
      </w:r>
      <w:r>
        <w:br/>
        <w:t xml:space="preserve">where: τa = </w:t>
      </w:r>
      <w:r>
        <w:t>Ankle torque, τs = Subtalar torque, τt = Toe torque, Fg = Ground reaction force</w:t>
      </w:r>
    </w:p>
    <w:p w:rsidR="00BC05FF" w:rsidRDefault="009F339A">
      <w:pPr>
        <w:spacing w:before="240" w:after="120"/>
      </w:pPr>
      <w:r>
        <w:rPr>
          <w:b/>
          <w:color w:val="4A77A2"/>
          <w:sz w:val="26"/>
        </w:rPr>
        <w:t>2.5 Output Variables</w:t>
      </w:r>
    </w:p>
    <w:p w:rsidR="00BC05FF" w:rsidRDefault="009F339A">
      <w:pPr>
        <w:spacing w:after="120"/>
      </w:pPr>
      <w:r>
        <w:t>The outputs are selected as the physical coordinates of the system:</w:t>
      </w:r>
      <w:r>
        <w:br/>
        <w:t>y = [ θa   θs   θt   h ]</w:t>
      </w:r>
      <w:r>
        <w:t>ᵀ</w:t>
      </w:r>
    </w:p>
    <w:p w:rsidR="00BC05FF" w:rsidRDefault="009F339A">
      <w:pPr>
        <w:spacing w:before="240" w:after="120"/>
      </w:pPr>
      <w:r>
        <w:rPr>
          <w:b/>
          <w:color w:val="4A77A2"/>
          <w:sz w:val="26"/>
        </w:rPr>
        <w:t>2.6 Dynamic Parameters</w:t>
      </w:r>
    </w:p>
    <w:p w:rsidR="00BC05FF" w:rsidRDefault="009F339A">
      <w:pPr>
        <w:spacing w:after="120"/>
      </w:pPr>
      <w:r>
        <w:t xml:space="preserve">• Inertia Parameters: Ja (Ankle </w:t>
      </w:r>
      <w:r>
        <w:t>rotational inertia), Js (Subtalar rotational inertia), Jt (Toe rotational inertia), mh (Equivalent arch mass).</w:t>
      </w:r>
      <w:r>
        <w:br/>
        <w:t>• Damping Parameters: ba (Ankle damping coefficient), bs (Subtalar damping coefficient), bt (Toe damping coefficient), bh (Arch damping coefficie</w:t>
      </w:r>
      <w:r>
        <w:t>nt).</w:t>
      </w:r>
      <w:r>
        <w:br/>
        <w:t>• Stiffness Parameters: ka (Ankle direct stiffness), ks (Subtalar direct stiffness), kt (Toe direct stiffness), kh (Longitudinal arch structural stiffness).</w:t>
      </w:r>
      <w:r>
        <w:br/>
        <w:t>• Coupling Stiffness Parameters: kas (Ankle–Subtalar coupling stiffness), kah (Ankle–Arch coup</w:t>
      </w:r>
      <w:r>
        <w:t>ling stiffness), kth (Toe–Arch coupling stiffness).</w:t>
      </w:r>
    </w:p>
    <w:p w:rsidR="00BC05FF" w:rsidRDefault="009F339A">
      <w:pPr>
        <w:spacing w:before="240" w:after="120"/>
      </w:pPr>
      <w:r>
        <w:rPr>
          <w:b/>
          <w:color w:val="4A77A2"/>
          <w:sz w:val="26"/>
        </w:rPr>
        <w:t>2.7 Equations of Motion</w:t>
      </w:r>
    </w:p>
    <w:p w:rsidR="00BC05FF" w:rsidRDefault="009F339A">
      <w:pPr>
        <w:spacing w:after="120"/>
      </w:pPr>
      <w:r>
        <w:t>Using Newton's Second Law for rotational and translational systems, the equations governing each degree of freedom are obtained:</w:t>
      </w:r>
      <w:r>
        <w:br/>
        <w:t xml:space="preserve">Ankle Dynamics: Ja θ̈a + ba θ̇a + ka θa + kas θs + </w:t>
      </w:r>
      <w:r>
        <w:t>kah h = τa</w:t>
      </w:r>
      <w:r>
        <w:br/>
        <w:t>Subtalar Dynamics: Js θ̈s + bs θ̇s + ks θs + kas θa = τs</w:t>
      </w:r>
      <w:r>
        <w:br/>
        <w:t>Toe Dynamics: Jt θ̈t + bt θ̇t + kt θt + kth h = τt</w:t>
      </w:r>
      <w:r>
        <w:br/>
        <w:t>Arch Dynamics: mh ḧ + bh ḣ + kh h + kah θa + kth θt = Fg</w:t>
      </w:r>
    </w:p>
    <w:p w:rsidR="00BC05FF" w:rsidRDefault="009F339A">
      <w:pPr>
        <w:spacing w:before="240" w:after="120"/>
      </w:pPr>
      <w:r>
        <w:rPr>
          <w:b/>
          <w:color w:val="4A77A2"/>
          <w:sz w:val="26"/>
        </w:rPr>
        <w:t>2.8 Matrix Form of Equations</w:t>
      </w:r>
    </w:p>
    <w:p w:rsidR="00BC05FF" w:rsidRDefault="009F339A">
      <w:pPr>
        <w:spacing w:after="120"/>
      </w:pPr>
      <w:r>
        <w:t>M q̈ + Bd q̇ + K q = u</w:t>
      </w:r>
    </w:p>
    <w:p w:rsidR="00BC05FF" w:rsidRDefault="009F339A">
      <w:pPr>
        <w:spacing w:after="120"/>
      </w:pPr>
      <w:r>
        <w:t>Mass Matrix (M):</w:t>
      </w:r>
      <w:r>
        <w:br/>
        <w:t xml:space="preserve">[ Ja  0  </w:t>
      </w:r>
      <w:r>
        <w:t xml:space="preserve"> 0   0 ;</w:t>
      </w:r>
      <w:r>
        <w:br/>
        <w:t xml:space="preserve">  0  Js   0   0 ;</w:t>
      </w:r>
      <w:r>
        <w:br/>
        <w:t xml:space="preserve">  0   0  Jt   0 ;</w:t>
      </w:r>
      <w:r>
        <w:br/>
        <w:t xml:space="preserve">  0   0   0  mh ]</w:t>
      </w:r>
    </w:p>
    <w:p w:rsidR="00BC05FF" w:rsidRDefault="009F339A">
      <w:pPr>
        <w:spacing w:after="120"/>
      </w:pPr>
      <w:r>
        <w:t>Damping Matrix (Bd):</w:t>
      </w:r>
      <w:r>
        <w:br/>
        <w:t>[ ba  0   0   0 ;</w:t>
      </w:r>
      <w:r>
        <w:br/>
        <w:t xml:space="preserve">  0  bs   0   0 ;</w:t>
      </w:r>
      <w:r>
        <w:br/>
        <w:t xml:space="preserve">  0   0  bt   0 ;</w:t>
      </w:r>
      <w:r>
        <w:br/>
        <w:t xml:space="preserve">  0   0   0  bh ]</w:t>
      </w:r>
    </w:p>
    <w:p w:rsidR="00BC05FF" w:rsidRDefault="009F339A">
      <w:pPr>
        <w:spacing w:after="120"/>
      </w:pPr>
      <w:r>
        <w:t>Stiffness Matrix (K):</w:t>
      </w:r>
      <w:r>
        <w:br/>
        <w:t>[ ka   kas   0   kah ;</w:t>
      </w:r>
      <w:r>
        <w:br/>
      </w:r>
      <w:r>
        <w:lastRenderedPageBreak/>
        <w:t xml:space="preserve">  kas  ks    0    0  ;</w:t>
      </w:r>
      <w:r>
        <w:br/>
        <w:t xml:space="preserve">  0    0    kt   kth ;</w:t>
      </w:r>
      <w:r>
        <w:br/>
        <w:t xml:space="preserve">  kah  0 </w:t>
      </w:r>
      <w:r>
        <w:t xml:space="preserve">  kth   kh  ]</w:t>
      </w:r>
    </w:p>
    <w:p w:rsidR="00BC05FF" w:rsidRDefault="009F339A">
      <w:pPr>
        <w:spacing w:before="240" w:after="120"/>
      </w:pPr>
      <w:r>
        <w:rPr>
          <w:b/>
          <w:color w:val="4A77A2"/>
          <w:sz w:val="26"/>
        </w:rPr>
        <w:t>2.9 State Variable Definition</w:t>
      </w:r>
    </w:p>
    <w:p w:rsidR="00BC05FF" w:rsidRDefault="009F339A">
      <w:pPr>
        <w:spacing w:after="120"/>
      </w:pPr>
      <w:r>
        <w:t>x₁ = θa,  x2 = θs,  x3 = θt,  x4 = h,  x5 = θ̇a,  x6 = θ̇s,  x7 = θ̇t,  x₈ = ḣ</w:t>
      </w:r>
      <w:r>
        <w:br/>
        <w:t>x = [ θa  θs  θt  h  θ̇a  θ̇s  θ̇t  ḣ ]</w:t>
      </w:r>
      <w:r>
        <w:t>ᵀ</w:t>
      </w:r>
    </w:p>
    <w:p w:rsidR="00BC05FF" w:rsidRDefault="009F339A">
      <w:pPr>
        <w:spacing w:before="240" w:after="120"/>
      </w:pPr>
      <w:r>
        <w:rPr>
          <w:b/>
          <w:color w:val="4A77A2"/>
          <w:sz w:val="26"/>
        </w:rPr>
        <w:t>2.10 State Equations Construction</w:t>
      </w:r>
    </w:p>
    <w:p w:rsidR="00BC05FF" w:rsidRDefault="009F339A">
      <w:pPr>
        <w:spacing w:after="120"/>
      </w:pPr>
      <w:r>
        <w:t>ẋ₁ = x₅,  ẋ₂ = x₆,  ẋ₃ = x₇,  ẋ₄ = x₈</w:t>
      </w:r>
      <w:r>
        <w:br/>
        <w:t xml:space="preserve">q̈ = −M⁻¹Kq − </w:t>
      </w:r>
      <w:r>
        <w:t>M⁻¹Bd q̇ + M⁻¹u</w:t>
      </w:r>
      <w:r>
        <w:br/>
        <w:t>ẋ₅ = −(ka/Ja)x₁ − (kas/Ja)x₂ − (kah/Ja)x₄ − (ba/Ja)x₅ + (1/Ja)τa</w:t>
      </w:r>
      <w:r>
        <w:br/>
        <w:t>ẋ₆ = −(kas/Js)x₁ − (ks/Js)x₂ − (bs/Js)x₆ + (1/Js)τs</w:t>
      </w:r>
      <w:r>
        <w:br/>
        <w:t>ẋ₇ = −(kt/Jt)x₃ − (kth/Jt)x₄ − (bt/Jt)x₇ + (1/Jt)τt</w:t>
      </w:r>
      <w:r>
        <w:br/>
        <w:t>ẋ₈ = −(kah/mh)x₁ − (kth/mh)x₃ − (kh/mh)x₄ − (bh/mh)x₈ + (1/mh)Fg</w:t>
      </w:r>
    </w:p>
    <w:p w:rsidR="00BC05FF" w:rsidRDefault="009F339A">
      <w:pPr>
        <w:spacing w:before="240" w:after="120"/>
      </w:pPr>
      <w:r>
        <w:rPr>
          <w:b/>
          <w:color w:val="4A77A2"/>
          <w:sz w:val="26"/>
        </w:rPr>
        <w:t>2.</w:t>
      </w:r>
      <w:r>
        <w:rPr>
          <w:b/>
          <w:color w:val="4A77A2"/>
          <w:sz w:val="26"/>
        </w:rPr>
        <w:t>11 State-Space Matrix Representation</w:t>
      </w:r>
    </w:p>
    <w:p w:rsidR="00BC05FF" w:rsidRDefault="009F339A">
      <w:pPr>
        <w:spacing w:after="120"/>
      </w:pPr>
      <w:r>
        <w:t>ẋ = Ax + Bu  ;  y = Cx + Du</w:t>
      </w:r>
    </w:p>
    <w:p w:rsidR="00BC05FF" w:rsidRDefault="009F339A">
      <w:pPr>
        <w:spacing w:after="120"/>
      </w:pPr>
      <w:r>
        <w:t>Matrix A (8x8):</w:t>
      </w:r>
      <w:r>
        <w:br/>
        <w:t>[      0,        0,        0,        0,       1,       0,       0,       0 ;</w:t>
      </w:r>
      <w:r>
        <w:br/>
        <w:t xml:space="preserve">       0,        0,        0,        0,       0,       1,       0,       0 ;</w:t>
      </w:r>
      <w:r>
        <w:br/>
      </w:r>
      <w:r>
        <w:t xml:space="preserve">       0,        0,        0,        0,       0,       0,       1,       0 ;</w:t>
      </w:r>
      <w:r>
        <w:br/>
        <w:t xml:space="preserve">       0,        0,        0,        0,       0,       0,       0,       1 ;</w:t>
      </w:r>
      <w:r>
        <w:br/>
        <w:t xml:space="preserve">  -ka/Ja,  -kas/Ja,        0,  -kah/Ja,  -ba/Ja,       0,       0,       0 ;</w:t>
      </w:r>
      <w:r>
        <w:br/>
        <w:t xml:space="preserve"> -kas/Js,   -ks/Js,      </w:t>
      </w:r>
      <w:r>
        <w:t xml:space="preserve">  0,        0,       0,  -bs/Js,       0,       0 ;</w:t>
      </w:r>
      <w:r>
        <w:br/>
        <w:t xml:space="preserve">       0,        0,   -kt/Jt,  -kth/Jt,       0,       0,  -bt/Jt,       0 ;</w:t>
      </w:r>
      <w:r>
        <w:br/>
        <w:t xml:space="preserve"> -kah/mh,        0,  -kth/mh,   -kh/mh,       0,       0,       0,  -bh/mh ]</w:t>
      </w:r>
    </w:p>
    <w:p w:rsidR="00BC05FF" w:rsidRDefault="009F339A">
      <w:pPr>
        <w:spacing w:before="240" w:after="120"/>
      </w:pPr>
      <w:r>
        <w:rPr>
          <w:b/>
          <w:color w:val="4A77A2"/>
          <w:sz w:val="26"/>
        </w:rPr>
        <w:t>2.14 Symbolic B Matrix</w:t>
      </w:r>
    </w:p>
    <w:p w:rsidR="00BC05FF" w:rsidRDefault="009F339A">
      <w:pPr>
        <w:spacing w:after="120"/>
      </w:pPr>
      <w:r>
        <w:t>Matrix B (8x4):</w:t>
      </w:r>
      <w:r>
        <w:br/>
        <w:t xml:space="preserve">[    0,    </w:t>
      </w:r>
      <w:r>
        <w:t xml:space="preserve"> 0,     0,     0 ;</w:t>
      </w:r>
      <w:r>
        <w:br/>
        <w:t xml:space="preserve">     0,     0,     0,     0 ;</w:t>
      </w:r>
      <w:r>
        <w:br/>
        <w:t xml:space="preserve">     0,     0,     0,     0 ;</w:t>
      </w:r>
      <w:r>
        <w:br/>
        <w:t xml:space="preserve">     0,     0,     0,     0 ;</w:t>
      </w:r>
      <w:r>
        <w:br/>
        <w:t xml:space="preserve">  1/Ja,     0,     0,     0 ;</w:t>
      </w:r>
      <w:r>
        <w:br/>
        <w:t xml:space="preserve">     0,  1/Js,     0,     0 ;</w:t>
      </w:r>
      <w:r>
        <w:br/>
        <w:t xml:space="preserve">     0,     0,  1/Jt,     0 ;</w:t>
      </w:r>
      <w:r>
        <w:br/>
        <w:t xml:space="preserve">     0,     0,     0,  1/mh ]</w:t>
      </w:r>
    </w:p>
    <w:p w:rsidR="00BC05FF" w:rsidRDefault="009F339A">
      <w:pPr>
        <w:spacing w:before="240" w:after="120"/>
      </w:pPr>
      <w:r>
        <w:rPr>
          <w:b/>
          <w:color w:val="4A77A2"/>
          <w:sz w:val="26"/>
        </w:rPr>
        <w:t>2.15 Symbolic C Matrix</w:t>
      </w:r>
    </w:p>
    <w:p w:rsidR="00BC05FF" w:rsidRDefault="009F339A">
      <w:pPr>
        <w:spacing w:after="120"/>
      </w:pPr>
      <w:r>
        <w:t>Matr</w:t>
      </w:r>
      <w:r>
        <w:t>ix C (4x8):</w:t>
      </w:r>
      <w:r>
        <w:br/>
        <w:t>[ 1,  0,  0,  0,  0,  0,  0,  0 ;</w:t>
      </w:r>
      <w:r>
        <w:br/>
      </w:r>
      <w:r>
        <w:lastRenderedPageBreak/>
        <w:t xml:space="preserve">  0,  1,  0,  0,  0,  0,  0,  0 ;</w:t>
      </w:r>
      <w:r>
        <w:br/>
        <w:t xml:space="preserve">  0,  0,  1,  0,  0,  0,  0,  0 ;</w:t>
      </w:r>
      <w:r>
        <w:br/>
        <w:t xml:space="preserve">  0,  0,  0,  1,  0,  0,  0,  0 ]</w:t>
      </w:r>
    </w:p>
    <w:p w:rsidR="00BC05FF" w:rsidRDefault="009F339A">
      <w:pPr>
        <w:spacing w:before="240" w:after="120"/>
      </w:pPr>
      <w:r>
        <w:rPr>
          <w:b/>
          <w:color w:val="4A77A2"/>
          <w:sz w:val="26"/>
        </w:rPr>
        <w:t>2.16 Symbolic D Matrix</w:t>
      </w:r>
    </w:p>
    <w:p w:rsidR="00BC05FF" w:rsidRDefault="009F339A">
      <w:pPr>
        <w:spacing w:after="120"/>
      </w:pPr>
      <w:r>
        <w:t>Matrix D (4x4):</w:t>
      </w:r>
      <w:r>
        <w:br/>
        <w:t>[ 0,  0,  0,  0 ;</w:t>
      </w:r>
      <w:r>
        <w:br/>
        <w:t xml:space="preserve">  0,  0,  0,  0 ;</w:t>
      </w:r>
      <w:r>
        <w:br/>
        <w:t xml:space="preserve">  0,  0,  0,  0 ;</w:t>
      </w:r>
      <w:r>
        <w:br/>
        <w:t xml:space="preserve">  0,  0,  0,  0</w:t>
      </w:r>
      <w:r>
        <w:t xml:space="preserve"> ]</w:t>
      </w:r>
    </w:p>
    <w:p w:rsidR="00BC05FF" w:rsidRDefault="009F339A">
      <w:pPr>
        <w:spacing w:before="240" w:after="120"/>
      </w:pPr>
      <w:r>
        <w:rPr>
          <w:b/>
          <w:color w:val="4A77A2"/>
          <w:sz w:val="26"/>
        </w:rPr>
        <w:t>2.12 Biomechanical Output Boundary Ranges Reference Table</w:t>
      </w:r>
    </w:p>
    <w:tbl>
      <w:tblPr>
        <w:tblW w:w="0" w:type="auto"/>
        <w:jc w:val="center"/>
        <w:tblLook w:val="04A0" w:firstRow="1" w:lastRow="0" w:firstColumn="1" w:lastColumn="0" w:noHBand="0" w:noVBand="1"/>
      </w:tblPr>
      <w:tblGrid>
        <w:gridCol w:w="2880"/>
        <w:gridCol w:w="1584"/>
        <w:gridCol w:w="1584"/>
        <w:gridCol w:w="1584"/>
        <w:gridCol w:w="1728"/>
      </w:tblGrid>
      <w:tr w:rsidR="00BC05FF">
        <w:trPr>
          <w:jc w:val="center"/>
        </w:trPr>
        <w:tc>
          <w:tcPr>
            <w:tcW w:w="2880" w:type="dxa"/>
            <w:shd w:val="clear" w:color="auto" w:fill="1B365D"/>
          </w:tcPr>
          <w:p w:rsidR="00BC05FF" w:rsidRDefault="009F339A">
            <w:pPr>
              <w:spacing w:before="80" w:after="80"/>
            </w:pPr>
            <w:r>
              <w:rPr>
                <w:b/>
                <w:color w:val="FFFFFF"/>
                <w:sz w:val="20"/>
              </w:rPr>
              <w:t>Condition</w:t>
            </w:r>
          </w:p>
        </w:tc>
        <w:tc>
          <w:tcPr>
            <w:tcW w:w="1584" w:type="dxa"/>
            <w:shd w:val="clear" w:color="auto" w:fill="1B365D"/>
          </w:tcPr>
          <w:p w:rsidR="00BC05FF" w:rsidRDefault="009F339A">
            <w:pPr>
              <w:spacing w:before="80" w:after="80"/>
              <w:jc w:val="right"/>
            </w:pPr>
            <w:r>
              <w:rPr>
                <w:b/>
                <w:color w:val="FFFFFF"/>
                <w:sz w:val="20"/>
              </w:rPr>
              <w:t>θa (rad)</w:t>
            </w:r>
          </w:p>
        </w:tc>
        <w:tc>
          <w:tcPr>
            <w:tcW w:w="1584" w:type="dxa"/>
            <w:shd w:val="clear" w:color="auto" w:fill="1B365D"/>
          </w:tcPr>
          <w:p w:rsidR="00BC05FF" w:rsidRDefault="009F339A">
            <w:pPr>
              <w:spacing w:before="80" w:after="80"/>
              <w:jc w:val="right"/>
            </w:pPr>
            <w:r>
              <w:rPr>
                <w:b/>
                <w:color w:val="FFFFFF"/>
                <w:sz w:val="20"/>
              </w:rPr>
              <w:t>θs (rad)</w:t>
            </w:r>
          </w:p>
        </w:tc>
        <w:tc>
          <w:tcPr>
            <w:tcW w:w="1584" w:type="dxa"/>
            <w:shd w:val="clear" w:color="auto" w:fill="1B365D"/>
          </w:tcPr>
          <w:p w:rsidR="00BC05FF" w:rsidRDefault="009F339A">
            <w:pPr>
              <w:spacing w:before="80" w:after="80"/>
              <w:jc w:val="right"/>
            </w:pPr>
            <w:r>
              <w:rPr>
                <w:b/>
                <w:color w:val="FFFFFF"/>
                <w:sz w:val="20"/>
              </w:rPr>
              <w:t>θt (rad)</w:t>
            </w:r>
          </w:p>
        </w:tc>
        <w:tc>
          <w:tcPr>
            <w:tcW w:w="1728" w:type="dxa"/>
            <w:shd w:val="clear" w:color="auto" w:fill="1B365D"/>
          </w:tcPr>
          <w:p w:rsidR="00BC05FF" w:rsidRDefault="009F339A">
            <w:pPr>
              <w:spacing w:before="80" w:after="80"/>
              <w:jc w:val="right"/>
            </w:pPr>
            <w:r>
              <w:rPr>
                <w:b/>
                <w:color w:val="FFFFFF"/>
                <w:sz w:val="20"/>
              </w:rPr>
              <w:t>h (m)</w:t>
            </w:r>
          </w:p>
        </w:tc>
      </w:tr>
      <w:tr w:rsidR="00BC05FF">
        <w:trPr>
          <w:jc w:val="center"/>
        </w:trPr>
        <w:tc>
          <w:tcPr>
            <w:tcW w:w="2880" w:type="dxa"/>
            <w:shd w:val="clear" w:color="auto" w:fill="F4F6F9"/>
          </w:tcPr>
          <w:p w:rsidR="00BC05FF" w:rsidRDefault="009F339A">
            <w:pPr>
              <w:spacing w:before="80" w:after="80"/>
            </w:pPr>
            <w:r>
              <w:rPr>
                <w:sz w:val="20"/>
              </w:rPr>
              <w:t>Healthy</w:t>
            </w:r>
          </w:p>
        </w:tc>
        <w:tc>
          <w:tcPr>
            <w:tcW w:w="1584" w:type="dxa"/>
            <w:shd w:val="clear" w:color="auto" w:fill="F4F6F9"/>
          </w:tcPr>
          <w:p w:rsidR="00BC05FF" w:rsidRDefault="009F339A">
            <w:pPr>
              <w:spacing w:before="80" w:after="80"/>
              <w:jc w:val="right"/>
            </w:pPr>
            <w:r>
              <w:rPr>
                <w:sz w:val="20"/>
              </w:rPr>
              <w:t>0.004–0.008</w:t>
            </w:r>
          </w:p>
        </w:tc>
        <w:tc>
          <w:tcPr>
            <w:tcW w:w="1584" w:type="dxa"/>
            <w:shd w:val="clear" w:color="auto" w:fill="F4F6F9"/>
          </w:tcPr>
          <w:p w:rsidR="00BC05FF" w:rsidRDefault="009F339A">
            <w:pPr>
              <w:spacing w:before="80" w:after="80"/>
              <w:jc w:val="right"/>
            </w:pPr>
            <w:r>
              <w:rPr>
                <w:sz w:val="20"/>
              </w:rPr>
              <w:t>0.010–0.018</w:t>
            </w:r>
          </w:p>
        </w:tc>
        <w:tc>
          <w:tcPr>
            <w:tcW w:w="1584" w:type="dxa"/>
            <w:shd w:val="clear" w:color="auto" w:fill="F4F6F9"/>
          </w:tcPr>
          <w:p w:rsidR="00BC05FF" w:rsidRDefault="009F339A">
            <w:pPr>
              <w:spacing w:before="80" w:after="80"/>
              <w:jc w:val="right"/>
            </w:pPr>
            <w:r>
              <w:rPr>
                <w:sz w:val="20"/>
              </w:rPr>
              <w:t>0.020–0.035</w:t>
            </w:r>
          </w:p>
        </w:tc>
        <w:tc>
          <w:tcPr>
            <w:tcW w:w="1728" w:type="dxa"/>
            <w:shd w:val="clear" w:color="auto" w:fill="F4F6F9"/>
          </w:tcPr>
          <w:p w:rsidR="00BC05FF" w:rsidRDefault="009F339A">
            <w:pPr>
              <w:spacing w:before="80" w:after="80"/>
              <w:jc w:val="right"/>
            </w:pPr>
            <w:r>
              <w:rPr>
                <w:sz w:val="20"/>
              </w:rPr>
              <w:t>0.00002–0.00008</w:t>
            </w:r>
          </w:p>
        </w:tc>
      </w:tr>
      <w:tr w:rsidR="00BC05FF">
        <w:trPr>
          <w:jc w:val="center"/>
        </w:trPr>
        <w:tc>
          <w:tcPr>
            <w:tcW w:w="2880" w:type="dxa"/>
            <w:shd w:val="clear" w:color="auto" w:fill="FFFFFF"/>
          </w:tcPr>
          <w:p w:rsidR="00BC05FF" w:rsidRDefault="009F339A">
            <w:pPr>
              <w:spacing w:before="80" w:after="80"/>
            </w:pPr>
            <w:r>
              <w:rPr>
                <w:sz w:val="20"/>
              </w:rPr>
              <w:t>Flat Foot</w:t>
            </w:r>
          </w:p>
        </w:tc>
        <w:tc>
          <w:tcPr>
            <w:tcW w:w="1584" w:type="dxa"/>
            <w:shd w:val="clear" w:color="auto" w:fill="FFFFFF"/>
          </w:tcPr>
          <w:p w:rsidR="00BC05FF" w:rsidRDefault="009F339A">
            <w:pPr>
              <w:spacing w:before="80" w:after="80"/>
              <w:jc w:val="right"/>
            </w:pPr>
            <w:r>
              <w:rPr>
                <w:sz w:val="20"/>
              </w:rPr>
              <w:t>0.006–0.012</w:t>
            </w:r>
          </w:p>
        </w:tc>
        <w:tc>
          <w:tcPr>
            <w:tcW w:w="1584" w:type="dxa"/>
            <w:shd w:val="clear" w:color="auto" w:fill="FFFFFF"/>
          </w:tcPr>
          <w:p w:rsidR="00BC05FF" w:rsidRDefault="009F339A">
            <w:pPr>
              <w:spacing w:before="80" w:after="80"/>
              <w:jc w:val="right"/>
            </w:pPr>
            <w:r>
              <w:rPr>
                <w:sz w:val="20"/>
              </w:rPr>
              <w:t>0.014–0.025</w:t>
            </w:r>
          </w:p>
        </w:tc>
        <w:tc>
          <w:tcPr>
            <w:tcW w:w="1584" w:type="dxa"/>
            <w:shd w:val="clear" w:color="auto" w:fill="FFFFFF"/>
          </w:tcPr>
          <w:p w:rsidR="00BC05FF" w:rsidRDefault="009F339A">
            <w:pPr>
              <w:spacing w:before="80" w:after="80"/>
              <w:jc w:val="right"/>
            </w:pPr>
            <w:r>
              <w:rPr>
                <w:sz w:val="20"/>
              </w:rPr>
              <w:t>0.028–0.050</w:t>
            </w:r>
          </w:p>
        </w:tc>
        <w:tc>
          <w:tcPr>
            <w:tcW w:w="1728" w:type="dxa"/>
            <w:shd w:val="clear" w:color="auto" w:fill="FFFFFF"/>
          </w:tcPr>
          <w:p w:rsidR="00BC05FF" w:rsidRDefault="009F339A">
            <w:pPr>
              <w:spacing w:before="80" w:after="80"/>
              <w:jc w:val="right"/>
            </w:pPr>
            <w:r>
              <w:rPr>
                <w:sz w:val="20"/>
              </w:rPr>
              <w:t>0.00008–0.00020</w:t>
            </w:r>
          </w:p>
        </w:tc>
      </w:tr>
      <w:tr w:rsidR="00BC05FF">
        <w:trPr>
          <w:jc w:val="center"/>
        </w:trPr>
        <w:tc>
          <w:tcPr>
            <w:tcW w:w="2880" w:type="dxa"/>
            <w:shd w:val="clear" w:color="auto" w:fill="F4F6F9"/>
          </w:tcPr>
          <w:p w:rsidR="00BC05FF" w:rsidRDefault="009F339A">
            <w:pPr>
              <w:spacing w:before="80" w:after="80"/>
            </w:pPr>
            <w:r>
              <w:rPr>
                <w:sz w:val="20"/>
              </w:rPr>
              <w:t>High Arch</w:t>
            </w:r>
          </w:p>
        </w:tc>
        <w:tc>
          <w:tcPr>
            <w:tcW w:w="1584" w:type="dxa"/>
            <w:shd w:val="clear" w:color="auto" w:fill="F4F6F9"/>
          </w:tcPr>
          <w:p w:rsidR="00BC05FF" w:rsidRDefault="009F339A">
            <w:pPr>
              <w:spacing w:before="80" w:after="80"/>
              <w:jc w:val="right"/>
            </w:pPr>
            <w:r>
              <w:rPr>
                <w:sz w:val="20"/>
              </w:rPr>
              <w:t>0.002–0.005</w:t>
            </w:r>
          </w:p>
        </w:tc>
        <w:tc>
          <w:tcPr>
            <w:tcW w:w="1584" w:type="dxa"/>
            <w:shd w:val="clear" w:color="auto" w:fill="F4F6F9"/>
          </w:tcPr>
          <w:p w:rsidR="00BC05FF" w:rsidRDefault="009F339A">
            <w:pPr>
              <w:spacing w:before="80" w:after="80"/>
              <w:jc w:val="right"/>
            </w:pPr>
            <w:r>
              <w:rPr>
                <w:sz w:val="20"/>
              </w:rPr>
              <w:t>0.006–0.012</w:t>
            </w:r>
          </w:p>
        </w:tc>
        <w:tc>
          <w:tcPr>
            <w:tcW w:w="1584" w:type="dxa"/>
            <w:shd w:val="clear" w:color="auto" w:fill="F4F6F9"/>
          </w:tcPr>
          <w:p w:rsidR="00BC05FF" w:rsidRDefault="009F339A">
            <w:pPr>
              <w:spacing w:before="80" w:after="80"/>
              <w:jc w:val="right"/>
            </w:pPr>
            <w:r>
              <w:rPr>
                <w:sz w:val="20"/>
              </w:rPr>
              <w:t>0.010–0.022</w:t>
            </w:r>
          </w:p>
        </w:tc>
        <w:tc>
          <w:tcPr>
            <w:tcW w:w="1728" w:type="dxa"/>
            <w:shd w:val="clear" w:color="auto" w:fill="F4F6F9"/>
          </w:tcPr>
          <w:p w:rsidR="00BC05FF" w:rsidRDefault="009F339A">
            <w:pPr>
              <w:spacing w:before="80" w:after="80"/>
              <w:jc w:val="right"/>
            </w:pPr>
            <w:r>
              <w:rPr>
                <w:sz w:val="20"/>
              </w:rPr>
              <w:t>0.00005–0.00002</w:t>
            </w:r>
          </w:p>
        </w:tc>
      </w:tr>
      <w:tr w:rsidR="00BC05FF">
        <w:trPr>
          <w:jc w:val="center"/>
        </w:trPr>
        <w:tc>
          <w:tcPr>
            <w:tcW w:w="2880" w:type="dxa"/>
            <w:shd w:val="clear" w:color="auto" w:fill="FFFFFF"/>
          </w:tcPr>
          <w:p w:rsidR="00BC05FF" w:rsidRDefault="009F339A">
            <w:pPr>
              <w:spacing w:before="80" w:after="80"/>
            </w:pPr>
            <w:r>
              <w:rPr>
                <w:sz w:val="20"/>
              </w:rPr>
              <w:t>Weak Plantar Fascia</w:t>
            </w:r>
          </w:p>
        </w:tc>
        <w:tc>
          <w:tcPr>
            <w:tcW w:w="1584" w:type="dxa"/>
            <w:shd w:val="clear" w:color="auto" w:fill="FFFFFF"/>
          </w:tcPr>
          <w:p w:rsidR="00BC05FF" w:rsidRDefault="009F339A">
            <w:pPr>
              <w:spacing w:before="80" w:after="80"/>
              <w:jc w:val="right"/>
            </w:pPr>
            <w:r>
              <w:rPr>
                <w:sz w:val="20"/>
              </w:rPr>
              <w:t>0.005–0.009</w:t>
            </w:r>
          </w:p>
        </w:tc>
        <w:tc>
          <w:tcPr>
            <w:tcW w:w="1584" w:type="dxa"/>
            <w:shd w:val="clear" w:color="auto" w:fill="FFFFFF"/>
          </w:tcPr>
          <w:p w:rsidR="00BC05FF" w:rsidRDefault="009F339A">
            <w:pPr>
              <w:spacing w:before="80" w:after="80"/>
              <w:jc w:val="right"/>
            </w:pPr>
            <w:r>
              <w:rPr>
                <w:sz w:val="20"/>
              </w:rPr>
              <w:t>0.011–0.020</w:t>
            </w:r>
          </w:p>
        </w:tc>
        <w:tc>
          <w:tcPr>
            <w:tcW w:w="1584" w:type="dxa"/>
            <w:shd w:val="clear" w:color="auto" w:fill="FFFFFF"/>
          </w:tcPr>
          <w:p w:rsidR="00BC05FF" w:rsidRDefault="009F339A">
            <w:pPr>
              <w:spacing w:before="80" w:after="80"/>
              <w:jc w:val="right"/>
            </w:pPr>
            <w:r>
              <w:rPr>
                <w:sz w:val="20"/>
              </w:rPr>
              <w:t>0.030–0.055</w:t>
            </w:r>
          </w:p>
        </w:tc>
        <w:tc>
          <w:tcPr>
            <w:tcW w:w="1728" w:type="dxa"/>
            <w:shd w:val="clear" w:color="auto" w:fill="FFFFFF"/>
          </w:tcPr>
          <w:p w:rsidR="00BC05FF" w:rsidRDefault="009F339A">
            <w:pPr>
              <w:spacing w:before="80" w:after="80"/>
              <w:jc w:val="right"/>
            </w:pPr>
            <w:r>
              <w:rPr>
                <w:sz w:val="20"/>
              </w:rPr>
              <w:t>0.00005–0.00012</w:t>
            </w:r>
          </w:p>
        </w:tc>
      </w:tr>
      <w:tr w:rsidR="00BC05FF">
        <w:trPr>
          <w:jc w:val="center"/>
        </w:trPr>
        <w:tc>
          <w:tcPr>
            <w:tcW w:w="2880" w:type="dxa"/>
            <w:shd w:val="clear" w:color="auto" w:fill="F4F6F9"/>
          </w:tcPr>
          <w:p w:rsidR="00BC05FF" w:rsidRDefault="009F339A">
            <w:pPr>
              <w:spacing w:before="80" w:after="80"/>
            </w:pPr>
            <w:r>
              <w:rPr>
                <w:sz w:val="20"/>
              </w:rPr>
              <w:t>Ankle Instability</w:t>
            </w:r>
          </w:p>
        </w:tc>
        <w:tc>
          <w:tcPr>
            <w:tcW w:w="1584" w:type="dxa"/>
            <w:shd w:val="clear" w:color="auto" w:fill="F4F6F9"/>
          </w:tcPr>
          <w:p w:rsidR="00BC05FF" w:rsidRDefault="009F339A">
            <w:pPr>
              <w:spacing w:before="80" w:after="80"/>
              <w:jc w:val="right"/>
            </w:pPr>
            <w:r>
              <w:rPr>
                <w:sz w:val="20"/>
              </w:rPr>
              <w:t>0.010–0.025</w:t>
            </w:r>
          </w:p>
        </w:tc>
        <w:tc>
          <w:tcPr>
            <w:tcW w:w="1584" w:type="dxa"/>
            <w:shd w:val="clear" w:color="auto" w:fill="F4F6F9"/>
          </w:tcPr>
          <w:p w:rsidR="00BC05FF" w:rsidRDefault="009F339A">
            <w:pPr>
              <w:spacing w:before="80" w:after="80"/>
              <w:jc w:val="right"/>
            </w:pPr>
            <w:r>
              <w:rPr>
                <w:sz w:val="20"/>
              </w:rPr>
              <w:t>0.015–0.030</w:t>
            </w:r>
          </w:p>
        </w:tc>
        <w:tc>
          <w:tcPr>
            <w:tcW w:w="1584" w:type="dxa"/>
            <w:shd w:val="clear" w:color="auto" w:fill="F4F6F9"/>
          </w:tcPr>
          <w:p w:rsidR="00BC05FF" w:rsidRDefault="009F339A">
            <w:pPr>
              <w:spacing w:before="80" w:after="80"/>
              <w:jc w:val="right"/>
            </w:pPr>
            <w:r>
              <w:rPr>
                <w:sz w:val="20"/>
              </w:rPr>
              <w:t>0.022–0.040</w:t>
            </w:r>
          </w:p>
        </w:tc>
        <w:tc>
          <w:tcPr>
            <w:tcW w:w="1728" w:type="dxa"/>
            <w:shd w:val="clear" w:color="auto" w:fill="F4F6F9"/>
          </w:tcPr>
          <w:p w:rsidR="00BC05FF" w:rsidRDefault="009F339A">
            <w:pPr>
              <w:spacing w:before="80" w:after="80"/>
              <w:jc w:val="right"/>
            </w:pPr>
            <w:r>
              <w:rPr>
                <w:sz w:val="20"/>
              </w:rPr>
              <w:t>0.00003–0.00008</w:t>
            </w:r>
          </w:p>
        </w:tc>
      </w:tr>
      <w:tr w:rsidR="00BC05FF">
        <w:trPr>
          <w:jc w:val="center"/>
        </w:trPr>
        <w:tc>
          <w:tcPr>
            <w:tcW w:w="2880" w:type="dxa"/>
            <w:shd w:val="clear" w:color="auto" w:fill="FFFFFF"/>
          </w:tcPr>
          <w:p w:rsidR="00BC05FF" w:rsidRDefault="009F339A">
            <w:pPr>
              <w:spacing w:before="80" w:after="80"/>
            </w:pPr>
            <w:r>
              <w:rPr>
                <w:sz w:val="20"/>
              </w:rPr>
              <w:t>Athlete Foot</w:t>
            </w:r>
          </w:p>
        </w:tc>
        <w:tc>
          <w:tcPr>
            <w:tcW w:w="1584" w:type="dxa"/>
            <w:shd w:val="clear" w:color="auto" w:fill="FFFFFF"/>
          </w:tcPr>
          <w:p w:rsidR="00BC05FF" w:rsidRDefault="009F339A">
            <w:pPr>
              <w:spacing w:before="80" w:after="80"/>
              <w:jc w:val="right"/>
            </w:pPr>
            <w:r>
              <w:rPr>
                <w:sz w:val="20"/>
              </w:rPr>
              <w:t>0.003–0.006</w:t>
            </w:r>
          </w:p>
        </w:tc>
        <w:tc>
          <w:tcPr>
            <w:tcW w:w="1584" w:type="dxa"/>
            <w:shd w:val="clear" w:color="auto" w:fill="FFFFFF"/>
          </w:tcPr>
          <w:p w:rsidR="00BC05FF" w:rsidRDefault="009F339A">
            <w:pPr>
              <w:spacing w:before="80" w:after="80"/>
              <w:jc w:val="right"/>
            </w:pPr>
            <w:r>
              <w:rPr>
                <w:sz w:val="20"/>
              </w:rPr>
              <w:t>0.008–0.015</w:t>
            </w:r>
          </w:p>
        </w:tc>
        <w:tc>
          <w:tcPr>
            <w:tcW w:w="1584" w:type="dxa"/>
            <w:shd w:val="clear" w:color="auto" w:fill="FFFFFF"/>
          </w:tcPr>
          <w:p w:rsidR="00BC05FF" w:rsidRDefault="009F339A">
            <w:pPr>
              <w:spacing w:before="80" w:after="80"/>
              <w:jc w:val="right"/>
            </w:pPr>
            <w:r>
              <w:rPr>
                <w:sz w:val="20"/>
              </w:rPr>
              <w:t>0.015–0.028</w:t>
            </w:r>
          </w:p>
        </w:tc>
        <w:tc>
          <w:tcPr>
            <w:tcW w:w="1728" w:type="dxa"/>
            <w:shd w:val="clear" w:color="auto" w:fill="FFFFFF"/>
          </w:tcPr>
          <w:p w:rsidR="00BC05FF" w:rsidRDefault="009F339A">
            <w:pPr>
              <w:spacing w:before="80" w:after="80"/>
              <w:jc w:val="right"/>
            </w:pPr>
            <w:r>
              <w:rPr>
                <w:sz w:val="20"/>
              </w:rPr>
              <w:t>0.00001–0.00004</w:t>
            </w:r>
          </w:p>
        </w:tc>
      </w:tr>
    </w:tbl>
    <w:p w:rsidR="00BC05FF" w:rsidRDefault="009F339A">
      <w:pPr>
        <w:spacing w:after="120"/>
      </w:pPr>
      <w:r>
        <w:t xml:space="preserve">The </w:t>
      </w:r>
      <w:r>
        <w:t>output boundary ranges presented in Table 2.12 were selected to represent the expected biomechanical response of different foot conditions under normal physiological loading. These values are engineering modelling assumptions based on established biomechan</w:t>
      </w:r>
      <w:r>
        <w:t>ical trends reported in the literature and were used as reference boundaries for validating the proposed 4-DOF mathematical model. The ranges were chosen such that each condition exhibits its characteristic mechanical behaviour while maintaining stable and</w:t>
      </w:r>
      <w:r>
        <w:t xml:space="preserve"> physically realistic system dynamics.</w:t>
      </w:r>
    </w:p>
    <w:p w:rsidR="00BC05FF" w:rsidRDefault="009F339A">
      <w:pPr>
        <w:spacing w:after="120"/>
      </w:pPr>
      <w:r>
        <w:t>• Healthy Foot: Small ankle and subtalar rotations together with minimal longitudinal arch deformation represent a structurally stable foot with efficient load distribution and normal gait mechanics.</w:t>
      </w:r>
      <w:r>
        <w:br/>
        <w:t xml:space="preserve">• Flat Foot (Pes </w:t>
      </w:r>
      <w:r>
        <w:t>Planus): Larger ankle and subtalar rotations, increased toe motion, and greater arch deformation were selected to represent collapse of the medial longitudinal arch, increased pronation, and reduced structural stiffness.</w:t>
      </w:r>
      <w:r>
        <w:br/>
        <w:t>• High Arch (Pes Cavus): Reduced jo</w:t>
      </w:r>
      <w:r>
        <w:t>int rotations and very small arch deformation represent the increased rigidity and higher stiffness associated with a cavus foot.</w:t>
      </w:r>
      <w:r>
        <w:br/>
      </w:r>
      <w:r>
        <w:lastRenderedPageBreak/>
        <w:t>• Weak Plantar Fascia: Increased arch deformation and toe rotation were selected to represent reduced plantar fascia support a</w:t>
      </w:r>
      <w:r>
        <w:t>nd diminished resistance to arch collapse during weight-bearing.</w:t>
      </w:r>
      <w:r>
        <w:br/>
        <w:t>• Ankle Instability: Larger ankle rotation and moderately increased subtalar motion represent ligament laxity and reduced mechanical stability of the ankle complex.</w:t>
      </w:r>
      <w:r>
        <w:br/>
        <w:t>• Athlete Foot: Smaller jo</w:t>
      </w:r>
      <w:r>
        <w:t>int rotations and reduced arch deformation represent improved muscular control, enhanced joint stability, and a stronger longitudinal arch commonly observed in trained individuals.</w:t>
      </w:r>
    </w:p>
    <w:p w:rsidR="00BC05FF" w:rsidRDefault="009F339A">
      <w:pPr>
        <w:spacing w:before="360" w:after="240"/>
      </w:pPr>
      <w:r>
        <w:rPr>
          <w:b/>
          <w:color w:val="1B365D"/>
          <w:sz w:val="32"/>
        </w:rPr>
        <w:t>CHAPTER 3: HEALTHY FOOT MODEL AND DYNAMIC ANALYSIS</w:t>
      </w:r>
    </w:p>
    <w:p w:rsidR="00BC05FF" w:rsidRDefault="009F339A">
      <w:pPr>
        <w:spacing w:before="240" w:after="120"/>
      </w:pPr>
      <w:r>
        <w:rPr>
          <w:b/>
          <w:color w:val="4A77A2"/>
          <w:sz w:val="26"/>
        </w:rPr>
        <w:t>3.1 Introduction</w:t>
      </w:r>
    </w:p>
    <w:p w:rsidR="00BC05FF" w:rsidRDefault="009F339A">
      <w:pPr>
        <w:spacing w:after="120"/>
      </w:pPr>
      <w:r>
        <w:t>After d</w:t>
      </w:r>
      <w:r>
        <w:t>eriving the mathematical model of the human foot in Chapter 2, the next step is to assign realistic parameter values and analyze the resulting dynamic behavior. A healthy foot is chosen as the baseline model because it represents normal human biomechanics.</w:t>
      </w:r>
      <w:r>
        <w:t xml:space="preserve"> All other foot conditions such as Flat Foot, High Arch Foot, Weak Plantar Fascia, Ankle Instability, and Athlete Foot will later be compared against this healthy reference model. The objective of this chapter is to understand how a healthy foot behaves dy</w:t>
      </w:r>
      <w:r>
        <w:t>namically and to establish benchmark performance values for comparison.</w:t>
      </w:r>
    </w:p>
    <w:p w:rsidR="00BC05FF" w:rsidRDefault="009F339A">
      <w:pPr>
        <w:spacing w:before="240" w:after="120"/>
      </w:pPr>
      <w:r>
        <w:rPr>
          <w:b/>
          <w:color w:val="4A77A2"/>
          <w:sz w:val="26"/>
        </w:rPr>
        <w:t>3.2 Selection of Healthy Foot Parameters</w:t>
      </w:r>
    </w:p>
    <w:p w:rsidR="00BC05FF" w:rsidRDefault="009F339A">
      <w:pPr>
        <w:spacing w:after="120"/>
      </w:pPr>
      <w:r>
        <w:t>Every dynamic system requires values for mass, stiffness, and damping. In our foot model, inertia parameters determine how difficult it is to r</w:t>
      </w:r>
      <w:r>
        <w:t>otate a joint, stiffness parameters determine how resistant a structure is to deformation, and damping parameters determine how quickly oscillations die out. The parameters were selected from published biomechanical studies wherever available and supplemen</w:t>
      </w:r>
      <w:r>
        <w:t>ted with engineering approximations consistent with human foot biomechanics. The values were chosen to preserve physiological realism, ensure numerical stability, and produce responses within experimentally reported ranges.</w:t>
      </w:r>
    </w:p>
    <w:p w:rsidR="00BC05FF" w:rsidRDefault="009F339A">
      <w:pPr>
        <w:spacing w:before="240" w:after="120"/>
      </w:pPr>
      <w:r>
        <w:rPr>
          <w:b/>
          <w:color w:val="4A77A2"/>
          <w:sz w:val="26"/>
        </w:rPr>
        <w:t>Inertia Parameters Table</w:t>
      </w:r>
    </w:p>
    <w:tbl>
      <w:tblPr>
        <w:tblW w:w="0" w:type="auto"/>
        <w:jc w:val="center"/>
        <w:tblLook w:val="04A0" w:firstRow="1" w:lastRow="0" w:firstColumn="1" w:lastColumn="0" w:noHBand="0" w:noVBand="1"/>
      </w:tblPr>
      <w:tblGrid>
        <w:gridCol w:w="2160"/>
        <w:gridCol w:w="2160"/>
        <w:gridCol w:w="5040"/>
      </w:tblGrid>
      <w:tr w:rsidR="00BC05FF">
        <w:trPr>
          <w:jc w:val="center"/>
        </w:trPr>
        <w:tc>
          <w:tcPr>
            <w:tcW w:w="2160" w:type="dxa"/>
            <w:shd w:val="clear" w:color="auto" w:fill="1B365D"/>
          </w:tcPr>
          <w:p w:rsidR="00BC05FF" w:rsidRDefault="009F339A">
            <w:pPr>
              <w:spacing w:before="80" w:after="80"/>
            </w:pPr>
            <w:r>
              <w:rPr>
                <w:b/>
                <w:color w:val="FFFFFF"/>
                <w:sz w:val="20"/>
              </w:rPr>
              <w:t>Paramet</w:t>
            </w:r>
            <w:r>
              <w:rPr>
                <w:b/>
                <w:color w:val="FFFFFF"/>
                <w:sz w:val="20"/>
              </w:rPr>
              <w:t>er</w:t>
            </w:r>
          </w:p>
        </w:tc>
        <w:tc>
          <w:tcPr>
            <w:tcW w:w="2160" w:type="dxa"/>
            <w:shd w:val="clear" w:color="auto" w:fill="1B365D"/>
          </w:tcPr>
          <w:p w:rsidR="00BC05FF" w:rsidRDefault="009F339A">
            <w:pPr>
              <w:spacing w:before="80" w:after="80"/>
            </w:pPr>
            <w:r>
              <w:rPr>
                <w:b/>
                <w:color w:val="FFFFFF"/>
                <w:sz w:val="20"/>
              </w:rPr>
              <w:t>Value</w:t>
            </w:r>
          </w:p>
        </w:tc>
        <w:tc>
          <w:tcPr>
            <w:tcW w:w="5040" w:type="dxa"/>
            <w:shd w:val="clear" w:color="auto" w:fill="1B365D"/>
          </w:tcPr>
          <w:p w:rsidR="00BC05FF" w:rsidRDefault="009F339A">
            <w:pPr>
              <w:spacing w:before="80" w:after="80"/>
            </w:pPr>
            <w:r>
              <w:rPr>
                <w:b/>
                <w:color w:val="FFFFFF"/>
                <w:sz w:val="20"/>
              </w:rPr>
              <w:t>Physical Meaning</w:t>
            </w:r>
          </w:p>
        </w:tc>
      </w:tr>
      <w:tr w:rsidR="00BC05FF">
        <w:trPr>
          <w:jc w:val="center"/>
        </w:trPr>
        <w:tc>
          <w:tcPr>
            <w:tcW w:w="2160" w:type="dxa"/>
            <w:shd w:val="clear" w:color="auto" w:fill="F4F6F9"/>
          </w:tcPr>
          <w:p w:rsidR="00BC05FF" w:rsidRDefault="009F339A">
            <w:pPr>
              <w:spacing w:before="80" w:after="80"/>
            </w:pPr>
            <w:r>
              <w:rPr>
                <w:sz w:val="20"/>
              </w:rPr>
              <w:t>Ja</w:t>
            </w:r>
          </w:p>
        </w:tc>
        <w:tc>
          <w:tcPr>
            <w:tcW w:w="2160" w:type="dxa"/>
            <w:shd w:val="clear" w:color="auto" w:fill="F4F6F9"/>
          </w:tcPr>
          <w:p w:rsidR="00BC05FF" w:rsidRDefault="009F339A">
            <w:pPr>
              <w:spacing w:before="80" w:after="80"/>
            </w:pPr>
            <w:r>
              <w:rPr>
                <w:sz w:val="20"/>
              </w:rPr>
              <w:t>0.0183 kg·m²</w:t>
            </w:r>
          </w:p>
        </w:tc>
        <w:tc>
          <w:tcPr>
            <w:tcW w:w="5040" w:type="dxa"/>
            <w:shd w:val="clear" w:color="auto" w:fill="F4F6F9"/>
          </w:tcPr>
          <w:p w:rsidR="00BC05FF" w:rsidRDefault="009F339A">
            <w:pPr>
              <w:spacing w:before="80" w:after="80"/>
            </w:pPr>
            <w:r>
              <w:rPr>
                <w:sz w:val="20"/>
              </w:rPr>
              <w:t>Ankle rotational inertia</w:t>
            </w:r>
          </w:p>
        </w:tc>
      </w:tr>
      <w:tr w:rsidR="00BC05FF">
        <w:trPr>
          <w:jc w:val="center"/>
        </w:trPr>
        <w:tc>
          <w:tcPr>
            <w:tcW w:w="2160" w:type="dxa"/>
            <w:shd w:val="clear" w:color="auto" w:fill="FFFFFF"/>
          </w:tcPr>
          <w:p w:rsidR="00BC05FF" w:rsidRDefault="009F339A">
            <w:pPr>
              <w:spacing w:before="80" w:after="80"/>
            </w:pPr>
            <w:r>
              <w:rPr>
                <w:sz w:val="20"/>
              </w:rPr>
              <w:t>Js</w:t>
            </w:r>
          </w:p>
        </w:tc>
        <w:tc>
          <w:tcPr>
            <w:tcW w:w="2160" w:type="dxa"/>
            <w:shd w:val="clear" w:color="auto" w:fill="FFFFFF"/>
          </w:tcPr>
          <w:p w:rsidR="00BC05FF" w:rsidRDefault="009F339A">
            <w:pPr>
              <w:spacing w:before="80" w:after="80"/>
            </w:pPr>
            <w:r>
              <w:rPr>
                <w:sz w:val="20"/>
              </w:rPr>
              <w:t>0.008 kg·m²</w:t>
            </w:r>
          </w:p>
        </w:tc>
        <w:tc>
          <w:tcPr>
            <w:tcW w:w="5040" w:type="dxa"/>
            <w:shd w:val="clear" w:color="auto" w:fill="FFFFFF"/>
          </w:tcPr>
          <w:p w:rsidR="00BC05FF" w:rsidRDefault="009F339A">
            <w:pPr>
              <w:spacing w:before="80" w:after="80"/>
            </w:pPr>
            <w:r>
              <w:rPr>
                <w:sz w:val="20"/>
              </w:rPr>
              <w:t>Subtalar rotational inertia</w:t>
            </w:r>
          </w:p>
        </w:tc>
      </w:tr>
      <w:tr w:rsidR="00BC05FF">
        <w:trPr>
          <w:jc w:val="center"/>
        </w:trPr>
        <w:tc>
          <w:tcPr>
            <w:tcW w:w="2160" w:type="dxa"/>
            <w:shd w:val="clear" w:color="auto" w:fill="F4F6F9"/>
          </w:tcPr>
          <w:p w:rsidR="00BC05FF" w:rsidRDefault="009F339A">
            <w:pPr>
              <w:spacing w:before="80" w:after="80"/>
            </w:pPr>
            <w:r>
              <w:rPr>
                <w:sz w:val="20"/>
              </w:rPr>
              <w:t>Jt</w:t>
            </w:r>
          </w:p>
        </w:tc>
        <w:tc>
          <w:tcPr>
            <w:tcW w:w="2160" w:type="dxa"/>
            <w:shd w:val="clear" w:color="auto" w:fill="F4F6F9"/>
          </w:tcPr>
          <w:p w:rsidR="00BC05FF" w:rsidRDefault="009F339A">
            <w:pPr>
              <w:spacing w:before="80" w:after="80"/>
            </w:pPr>
            <w:r>
              <w:rPr>
                <w:sz w:val="20"/>
              </w:rPr>
              <w:t>0.002 kg·m²</w:t>
            </w:r>
          </w:p>
        </w:tc>
        <w:tc>
          <w:tcPr>
            <w:tcW w:w="5040" w:type="dxa"/>
            <w:shd w:val="clear" w:color="auto" w:fill="F4F6F9"/>
          </w:tcPr>
          <w:p w:rsidR="00BC05FF" w:rsidRDefault="009F339A">
            <w:pPr>
              <w:spacing w:before="80" w:after="80"/>
            </w:pPr>
            <w:r>
              <w:rPr>
                <w:sz w:val="20"/>
              </w:rPr>
              <w:t>Toe rotational inertia</w:t>
            </w:r>
          </w:p>
        </w:tc>
      </w:tr>
      <w:tr w:rsidR="00BC05FF">
        <w:trPr>
          <w:jc w:val="center"/>
        </w:trPr>
        <w:tc>
          <w:tcPr>
            <w:tcW w:w="2160" w:type="dxa"/>
            <w:shd w:val="clear" w:color="auto" w:fill="FFFFFF"/>
          </w:tcPr>
          <w:p w:rsidR="00BC05FF" w:rsidRDefault="009F339A">
            <w:pPr>
              <w:spacing w:before="80" w:after="80"/>
            </w:pPr>
            <w:r>
              <w:rPr>
                <w:sz w:val="20"/>
              </w:rPr>
              <w:t>mh</w:t>
            </w:r>
          </w:p>
        </w:tc>
        <w:tc>
          <w:tcPr>
            <w:tcW w:w="2160" w:type="dxa"/>
            <w:shd w:val="clear" w:color="auto" w:fill="FFFFFF"/>
          </w:tcPr>
          <w:p w:rsidR="00BC05FF" w:rsidRDefault="009F339A">
            <w:pPr>
              <w:spacing w:before="80" w:after="80"/>
            </w:pPr>
            <w:r>
              <w:rPr>
                <w:sz w:val="20"/>
              </w:rPr>
              <w:t>0.08 kg</w:t>
            </w:r>
          </w:p>
        </w:tc>
        <w:tc>
          <w:tcPr>
            <w:tcW w:w="5040" w:type="dxa"/>
            <w:shd w:val="clear" w:color="auto" w:fill="FFFFFF"/>
          </w:tcPr>
          <w:p w:rsidR="00BC05FF" w:rsidRDefault="009F339A">
            <w:pPr>
              <w:spacing w:before="80" w:after="80"/>
            </w:pPr>
            <w:r>
              <w:rPr>
                <w:sz w:val="20"/>
              </w:rPr>
              <w:t>Equivalent arch mass</w:t>
            </w:r>
          </w:p>
        </w:tc>
      </w:tr>
    </w:tbl>
    <w:p w:rsidR="00BC05FF" w:rsidRDefault="009F339A">
      <w:pPr>
        <w:spacing w:after="120"/>
      </w:pPr>
      <w:r>
        <w:t xml:space="preserve">Understanding These Values: The ankle has the largest rotational </w:t>
      </w:r>
      <w:r>
        <w:t xml:space="preserve">inertia because it is connected to larger body segments and supports significant loads. The toe has the smallest </w:t>
      </w:r>
      <w:r>
        <w:lastRenderedPageBreak/>
        <w:t>inertia because it is a relatively small structure and can rotate easily. The arch is represented as an equivalent lumped mass rather than a ro</w:t>
      </w:r>
      <w:r>
        <w:t>tational inertia because its motion is translational.</w:t>
      </w:r>
    </w:p>
    <w:p w:rsidR="00BC05FF" w:rsidRDefault="009F339A">
      <w:pPr>
        <w:spacing w:before="240" w:after="120"/>
      </w:pPr>
      <w:r>
        <w:rPr>
          <w:b/>
          <w:color w:val="4A77A2"/>
          <w:sz w:val="26"/>
        </w:rPr>
        <w:t>Damping &amp; Stiffness Parameters Table</w:t>
      </w:r>
    </w:p>
    <w:tbl>
      <w:tblPr>
        <w:tblW w:w="0" w:type="auto"/>
        <w:jc w:val="center"/>
        <w:tblLook w:val="04A0" w:firstRow="1" w:lastRow="0" w:firstColumn="1" w:lastColumn="0" w:noHBand="0" w:noVBand="1"/>
      </w:tblPr>
      <w:tblGrid>
        <w:gridCol w:w="2160"/>
        <w:gridCol w:w="2160"/>
        <w:gridCol w:w="5040"/>
      </w:tblGrid>
      <w:tr w:rsidR="00BC05FF">
        <w:trPr>
          <w:jc w:val="center"/>
        </w:trPr>
        <w:tc>
          <w:tcPr>
            <w:tcW w:w="2160" w:type="dxa"/>
            <w:shd w:val="clear" w:color="auto" w:fill="1B365D"/>
          </w:tcPr>
          <w:p w:rsidR="00BC05FF" w:rsidRDefault="009F339A">
            <w:pPr>
              <w:spacing w:before="80" w:after="80"/>
            </w:pPr>
            <w:r>
              <w:rPr>
                <w:b/>
                <w:color w:val="FFFFFF"/>
                <w:sz w:val="20"/>
              </w:rPr>
              <w:t>Parameter</w:t>
            </w:r>
          </w:p>
        </w:tc>
        <w:tc>
          <w:tcPr>
            <w:tcW w:w="2160" w:type="dxa"/>
            <w:shd w:val="clear" w:color="auto" w:fill="1B365D"/>
          </w:tcPr>
          <w:p w:rsidR="00BC05FF" w:rsidRDefault="009F339A">
            <w:pPr>
              <w:spacing w:before="80" w:after="80"/>
            </w:pPr>
            <w:r>
              <w:rPr>
                <w:b/>
                <w:color w:val="FFFFFF"/>
                <w:sz w:val="20"/>
              </w:rPr>
              <w:t>Value</w:t>
            </w:r>
          </w:p>
        </w:tc>
        <w:tc>
          <w:tcPr>
            <w:tcW w:w="5040" w:type="dxa"/>
            <w:shd w:val="clear" w:color="auto" w:fill="1B365D"/>
          </w:tcPr>
          <w:p w:rsidR="00BC05FF" w:rsidRDefault="009F339A">
            <w:pPr>
              <w:spacing w:before="80" w:after="80"/>
            </w:pPr>
            <w:r>
              <w:rPr>
                <w:b/>
                <w:color w:val="FFFFFF"/>
                <w:sz w:val="20"/>
              </w:rPr>
              <w:t>Physical Meaning</w:t>
            </w:r>
          </w:p>
        </w:tc>
      </w:tr>
      <w:tr w:rsidR="00BC05FF">
        <w:trPr>
          <w:jc w:val="center"/>
        </w:trPr>
        <w:tc>
          <w:tcPr>
            <w:tcW w:w="2160" w:type="dxa"/>
            <w:shd w:val="clear" w:color="auto" w:fill="F4F6F9"/>
          </w:tcPr>
          <w:p w:rsidR="00BC05FF" w:rsidRDefault="009F339A">
            <w:pPr>
              <w:spacing w:before="80" w:after="80"/>
            </w:pPr>
            <w:r>
              <w:rPr>
                <w:sz w:val="20"/>
              </w:rPr>
              <w:t>ba</w:t>
            </w:r>
          </w:p>
        </w:tc>
        <w:tc>
          <w:tcPr>
            <w:tcW w:w="2160" w:type="dxa"/>
            <w:shd w:val="clear" w:color="auto" w:fill="F4F6F9"/>
          </w:tcPr>
          <w:p w:rsidR="00BC05FF" w:rsidRDefault="009F339A">
            <w:pPr>
              <w:spacing w:before="80" w:after="80"/>
            </w:pPr>
            <w:r>
              <w:rPr>
                <w:sz w:val="20"/>
              </w:rPr>
              <w:t>1.0</w:t>
            </w:r>
          </w:p>
        </w:tc>
        <w:tc>
          <w:tcPr>
            <w:tcW w:w="5040" w:type="dxa"/>
            <w:shd w:val="clear" w:color="auto" w:fill="F4F6F9"/>
          </w:tcPr>
          <w:p w:rsidR="00BC05FF" w:rsidRDefault="009F339A">
            <w:pPr>
              <w:spacing w:before="80" w:after="80"/>
            </w:pPr>
            <w:r>
              <w:rPr>
                <w:sz w:val="20"/>
              </w:rPr>
              <w:t>Ankle damping coefficient</w:t>
            </w:r>
          </w:p>
        </w:tc>
      </w:tr>
      <w:tr w:rsidR="00BC05FF">
        <w:trPr>
          <w:jc w:val="center"/>
        </w:trPr>
        <w:tc>
          <w:tcPr>
            <w:tcW w:w="2160" w:type="dxa"/>
            <w:shd w:val="clear" w:color="auto" w:fill="FFFFFF"/>
          </w:tcPr>
          <w:p w:rsidR="00BC05FF" w:rsidRDefault="009F339A">
            <w:pPr>
              <w:spacing w:before="80" w:after="80"/>
            </w:pPr>
            <w:r>
              <w:rPr>
                <w:sz w:val="20"/>
              </w:rPr>
              <w:t>bs</w:t>
            </w:r>
          </w:p>
        </w:tc>
        <w:tc>
          <w:tcPr>
            <w:tcW w:w="2160" w:type="dxa"/>
            <w:shd w:val="clear" w:color="auto" w:fill="FFFFFF"/>
          </w:tcPr>
          <w:p w:rsidR="00BC05FF" w:rsidRDefault="009F339A">
            <w:pPr>
              <w:spacing w:before="80" w:after="80"/>
            </w:pPr>
            <w:r>
              <w:rPr>
                <w:sz w:val="20"/>
              </w:rPr>
              <w:t>0.45</w:t>
            </w:r>
          </w:p>
        </w:tc>
        <w:tc>
          <w:tcPr>
            <w:tcW w:w="5040" w:type="dxa"/>
            <w:shd w:val="clear" w:color="auto" w:fill="FFFFFF"/>
          </w:tcPr>
          <w:p w:rsidR="00BC05FF" w:rsidRDefault="009F339A">
            <w:pPr>
              <w:spacing w:before="80" w:after="80"/>
            </w:pPr>
            <w:r>
              <w:rPr>
                <w:sz w:val="20"/>
              </w:rPr>
              <w:t>Subtalar damping coefficient</w:t>
            </w:r>
          </w:p>
        </w:tc>
      </w:tr>
      <w:tr w:rsidR="00BC05FF">
        <w:trPr>
          <w:jc w:val="center"/>
        </w:trPr>
        <w:tc>
          <w:tcPr>
            <w:tcW w:w="2160" w:type="dxa"/>
            <w:shd w:val="clear" w:color="auto" w:fill="F4F6F9"/>
          </w:tcPr>
          <w:p w:rsidR="00BC05FF" w:rsidRDefault="009F339A">
            <w:pPr>
              <w:spacing w:before="80" w:after="80"/>
            </w:pPr>
            <w:r>
              <w:rPr>
                <w:sz w:val="20"/>
              </w:rPr>
              <w:t>bt</w:t>
            </w:r>
          </w:p>
        </w:tc>
        <w:tc>
          <w:tcPr>
            <w:tcW w:w="2160" w:type="dxa"/>
            <w:shd w:val="clear" w:color="auto" w:fill="F4F6F9"/>
          </w:tcPr>
          <w:p w:rsidR="00BC05FF" w:rsidRDefault="009F339A">
            <w:pPr>
              <w:spacing w:before="80" w:after="80"/>
            </w:pPr>
            <w:r>
              <w:rPr>
                <w:sz w:val="20"/>
              </w:rPr>
              <w:t>0.18</w:t>
            </w:r>
          </w:p>
        </w:tc>
        <w:tc>
          <w:tcPr>
            <w:tcW w:w="5040" w:type="dxa"/>
            <w:shd w:val="clear" w:color="auto" w:fill="F4F6F9"/>
          </w:tcPr>
          <w:p w:rsidR="00BC05FF" w:rsidRDefault="009F339A">
            <w:pPr>
              <w:spacing w:before="80" w:after="80"/>
            </w:pPr>
            <w:r>
              <w:rPr>
                <w:sz w:val="20"/>
              </w:rPr>
              <w:t>Toe damping coefficient</w:t>
            </w:r>
          </w:p>
        </w:tc>
      </w:tr>
      <w:tr w:rsidR="00BC05FF">
        <w:trPr>
          <w:jc w:val="center"/>
        </w:trPr>
        <w:tc>
          <w:tcPr>
            <w:tcW w:w="2160" w:type="dxa"/>
            <w:shd w:val="clear" w:color="auto" w:fill="FFFFFF"/>
          </w:tcPr>
          <w:p w:rsidR="00BC05FF" w:rsidRDefault="009F339A">
            <w:pPr>
              <w:spacing w:before="80" w:after="80"/>
            </w:pPr>
            <w:r>
              <w:rPr>
                <w:sz w:val="20"/>
              </w:rPr>
              <w:t>bh</w:t>
            </w:r>
          </w:p>
        </w:tc>
        <w:tc>
          <w:tcPr>
            <w:tcW w:w="2160" w:type="dxa"/>
            <w:shd w:val="clear" w:color="auto" w:fill="FFFFFF"/>
          </w:tcPr>
          <w:p w:rsidR="00BC05FF" w:rsidRDefault="009F339A">
            <w:pPr>
              <w:spacing w:before="80" w:after="80"/>
            </w:pPr>
            <w:r>
              <w:rPr>
                <w:sz w:val="20"/>
              </w:rPr>
              <w:t>27</w:t>
            </w:r>
          </w:p>
        </w:tc>
        <w:tc>
          <w:tcPr>
            <w:tcW w:w="5040" w:type="dxa"/>
            <w:shd w:val="clear" w:color="auto" w:fill="FFFFFF"/>
          </w:tcPr>
          <w:p w:rsidR="00BC05FF" w:rsidRDefault="009F339A">
            <w:pPr>
              <w:spacing w:before="80" w:after="80"/>
            </w:pPr>
            <w:r>
              <w:rPr>
                <w:sz w:val="20"/>
              </w:rPr>
              <w:t xml:space="preserve">Arch damping </w:t>
            </w:r>
            <w:r>
              <w:rPr>
                <w:sz w:val="20"/>
              </w:rPr>
              <w:t>coefficient</w:t>
            </w:r>
          </w:p>
        </w:tc>
      </w:tr>
      <w:tr w:rsidR="00BC05FF">
        <w:trPr>
          <w:jc w:val="center"/>
        </w:trPr>
        <w:tc>
          <w:tcPr>
            <w:tcW w:w="2160" w:type="dxa"/>
            <w:shd w:val="clear" w:color="auto" w:fill="F4F6F9"/>
          </w:tcPr>
          <w:p w:rsidR="00BC05FF" w:rsidRDefault="009F339A">
            <w:pPr>
              <w:spacing w:before="80" w:after="80"/>
            </w:pPr>
            <w:r>
              <w:rPr>
                <w:sz w:val="20"/>
              </w:rPr>
              <w:t>ka</w:t>
            </w:r>
          </w:p>
        </w:tc>
        <w:tc>
          <w:tcPr>
            <w:tcW w:w="2160" w:type="dxa"/>
            <w:shd w:val="clear" w:color="auto" w:fill="F4F6F9"/>
          </w:tcPr>
          <w:p w:rsidR="00BC05FF" w:rsidRDefault="009F339A">
            <w:pPr>
              <w:spacing w:before="80" w:after="80"/>
            </w:pPr>
            <w:r>
              <w:rPr>
                <w:sz w:val="20"/>
              </w:rPr>
              <w:t>170</w:t>
            </w:r>
          </w:p>
        </w:tc>
        <w:tc>
          <w:tcPr>
            <w:tcW w:w="5040" w:type="dxa"/>
            <w:shd w:val="clear" w:color="auto" w:fill="F4F6F9"/>
          </w:tcPr>
          <w:p w:rsidR="00BC05FF" w:rsidRDefault="009F339A">
            <w:pPr>
              <w:spacing w:before="80" w:after="80"/>
            </w:pPr>
            <w:r>
              <w:rPr>
                <w:sz w:val="20"/>
              </w:rPr>
              <w:t>Ankle direct stiffness</w:t>
            </w:r>
          </w:p>
        </w:tc>
      </w:tr>
      <w:tr w:rsidR="00BC05FF">
        <w:trPr>
          <w:jc w:val="center"/>
        </w:trPr>
        <w:tc>
          <w:tcPr>
            <w:tcW w:w="2160" w:type="dxa"/>
            <w:shd w:val="clear" w:color="auto" w:fill="FFFFFF"/>
          </w:tcPr>
          <w:p w:rsidR="00BC05FF" w:rsidRDefault="009F339A">
            <w:pPr>
              <w:spacing w:before="80" w:after="80"/>
            </w:pPr>
            <w:r>
              <w:rPr>
                <w:sz w:val="20"/>
              </w:rPr>
              <w:t>ks</w:t>
            </w:r>
          </w:p>
        </w:tc>
        <w:tc>
          <w:tcPr>
            <w:tcW w:w="2160" w:type="dxa"/>
            <w:shd w:val="clear" w:color="auto" w:fill="FFFFFF"/>
          </w:tcPr>
          <w:p w:rsidR="00BC05FF" w:rsidRDefault="009F339A">
            <w:pPr>
              <w:spacing w:before="80" w:after="80"/>
            </w:pPr>
            <w:r>
              <w:rPr>
                <w:sz w:val="20"/>
              </w:rPr>
              <w:t>70</w:t>
            </w:r>
          </w:p>
        </w:tc>
        <w:tc>
          <w:tcPr>
            <w:tcW w:w="5040" w:type="dxa"/>
            <w:shd w:val="clear" w:color="auto" w:fill="FFFFFF"/>
          </w:tcPr>
          <w:p w:rsidR="00BC05FF" w:rsidRDefault="009F339A">
            <w:pPr>
              <w:spacing w:before="80" w:after="80"/>
            </w:pPr>
            <w:r>
              <w:rPr>
                <w:sz w:val="20"/>
              </w:rPr>
              <w:t>Subtalar direct stiffness</w:t>
            </w:r>
          </w:p>
        </w:tc>
      </w:tr>
      <w:tr w:rsidR="00BC05FF">
        <w:trPr>
          <w:jc w:val="center"/>
        </w:trPr>
        <w:tc>
          <w:tcPr>
            <w:tcW w:w="2160" w:type="dxa"/>
            <w:shd w:val="clear" w:color="auto" w:fill="F4F6F9"/>
          </w:tcPr>
          <w:p w:rsidR="00BC05FF" w:rsidRDefault="009F339A">
            <w:pPr>
              <w:spacing w:before="80" w:after="80"/>
            </w:pPr>
            <w:r>
              <w:rPr>
                <w:sz w:val="20"/>
              </w:rPr>
              <w:t>kt</w:t>
            </w:r>
          </w:p>
        </w:tc>
        <w:tc>
          <w:tcPr>
            <w:tcW w:w="2160" w:type="dxa"/>
            <w:shd w:val="clear" w:color="auto" w:fill="F4F6F9"/>
          </w:tcPr>
          <w:p w:rsidR="00BC05FF" w:rsidRDefault="009F339A">
            <w:pPr>
              <w:spacing w:before="80" w:after="80"/>
            </w:pPr>
            <w:r>
              <w:rPr>
                <w:sz w:val="20"/>
              </w:rPr>
              <w:t>40</w:t>
            </w:r>
          </w:p>
        </w:tc>
        <w:tc>
          <w:tcPr>
            <w:tcW w:w="5040" w:type="dxa"/>
            <w:shd w:val="clear" w:color="auto" w:fill="F4F6F9"/>
          </w:tcPr>
          <w:p w:rsidR="00BC05FF" w:rsidRDefault="009F339A">
            <w:pPr>
              <w:spacing w:before="80" w:after="80"/>
            </w:pPr>
            <w:r>
              <w:rPr>
                <w:sz w:val="20"/>
              </w:rPr>
              <w:t>Toe direct stiffness</w:t>
            </w:r>
          </w:p>
        </w:tc>
      </w:tr>
      <w:tr w:rsidR="00BC05FF">
        <w:trPr>
          <w:jc w:val="center"/>
        </w:trPr>
        <w:tc>
          <w:tcPr>
            <w:tcW w:w="2160" w:type="dxa"/>
            <w:shd w:val="clear" w:color="auto" w:fill="FFFFFF"/>
          </w:tcPr>
          <w:p w:rsidR="00BC05FF" w:rsidRDefault="009F339A">
            <w:pPr>
              <w:spacing w:before="80" w:after="80"/>
            </w:pPr>
            <w:r>
              <w:rPr>
                <w:sz w:val="20"/>
              </w:rPr>
              <w:t>kh</w:t>
            </w:r>
          </w:p>
        </w:tc>
        <w:tc>
          <w:tcPr>
            <w:tcW w:w="2160" w:type="dxa"/>
            <w:shd w:val="clear" w:color="auto" w:fill="FFFFFF"/>
          </w:tcPr>
          <w:p w:rsidR="00BC05FF" w:rsidRDefault="009F339A">
            <w:pPr>
              <w:spacing w:before="80" w:after="80"/>
            </w:pPr>
            <w:r>
              <w:rPr>
                <w:sz w:val="20"/>
              </w:rPr>
              <w:t>25000</w:t>
            </w:r>
          </w:p>
        </w:tc>
        <w:tc>
          <w:tcPr>
            <w:tcW w:w="5040" w:type="dxa"/>
            <w:shd w:val="clear" w:color="auto" w:fill="FFFFFF"/>
          </w:tcPr>
          <w:p w:rsidR="00BC05FF" w:rsidRDefault="009F339A">
            <w:pPr>
              <w:spacing w:before="80" w:after="80"/>
            </w:pPr>
            <w:r>
              <w:rPr>
                <w:sz w:val="20"/>
              </w:rPr>
              <w:t>Longitudinal arch structural stiffness</w:t>
            </w:r>
          </w:p>
        </w:tc>
      </w:tr>
    </w:tbl>
    <w:p w:rsidR="00BC05FF" w:rsidRDefault="009F339A">
      <w:pPr>
        <w:spacing w:after="120"/>
      </w:pPr>
      <w:r>
        <w:t>Notice that kh = 25000 is much larger than all other stiffness values. This indicates that the arch is</w:t>
      </w:r>
      <w:r>
        <w:t xml:space="preserve"> the stiffest structure in the model. This is expected because the longitudinal arch must support body weight during standing and walking.</w:t>
      </w:r>
    </w:p>
    <w:p w:rsidR="00BC05FF" w:rsidRDefault="009F339A">
      <w:pPr>
        <w:spacing w:before="240" w:after="120"/>
      </w:pPr>
      <w:r>
        <w:rPr>
          <w:b/>
          <w:color w:val="4A77A2"/>
          <w:sz w:val="26"/>
        </w:rPr>
        <w:t>3.3 Numerical Baseline Matrices</w:t>
      </w:r>
    </w:p>
    <w:p w:rsidR="00BC05FF" w:rsidRDefault="009F339A">
      <w:pPr>
        <w:spacing w:after="120"/>
      </w:pPr>
      <w:r>
        <w:t>M = [ 0.0183, 0, 0, 0 ; 0, 0.008, 0, 0 ; 0, 0, 0.002, 0 ; 0, 0, 0, 0.08 ]</w:t>
      </w:r>
      <w:r>
        <w:br/>
        <w:t>Bd = [ 1, 0</w:t>
      </w:r>
      <w:r>
        <w:t>, 0, 0 ; 0, 0.45, 0, 0 ; 0, 0, 0.18, 0 ; 0, 0, 0, 27 ]</w:t>
      </w:r>
      <w:r>
        <w:br/>
        <w:t>K = [ 170, 10, 0, 15 ; 10, 70, 0, 0 ; 0, 0, 40, 12 ; 15, 0, 12, 25000 ]</w:t>
      </w:r>
    </w:p>
    <w:p w:rsidR="00BC05FF" w:rsidRDefault="009F339A">
      <w:pPr>
        <w:spacing w:before="240" w:after="120"/>
      </w:pPr>
      <w:r>
        <w:rPr>
          <w:b/>
          <w:color w:val="4A77A2"/>
          <w:sz w:val="26"/>
        </w:rPr>
        <w:t>3.4 Control Systems Performance &amp; State Space Model</w:t>
      </w:r>
    </w:p>
    <w:p w:rsidR="00BC05FF" w:rsidRDefault="009F339A">
      <w:pPr>
        <w:spacing w:after="120"/>
      </w:pPr>
      <w:r>
        <w:t xml:space="preserve">Eigenvalue Analysis: All real parts are negative, meaning every vibration </w:t>
      </w:r>
      <w:r>
        <w:t>eventually dies out and returns to equilibrium after a disturbance, confirming asymptotic stability. Rank(Co) = 8 and Rank(Ob) = 8, verifying full controllability and observability. Since the state-space formulation predicts joint torques and structural re</w:t>
      </w:r>
      <w:r>
        <w:t>sponses rather than directly measurable plantar pressure, an auxiliary biomechanical output mapping based on the Principle of Virtual Work is introduced. This output mapping converts internal joint torques into equivalent plantar contact forces without alt</w:t>
      </w:r>
      <w:r>
        <w:t>ering the governing equations of motion.</w:t>
      </w:r>
    </w:p>
    <w:p w:rsidR="00BC05FF" w:rsidRDefault="009F339A">
      <w:pPr>
        <w:spacing w:before="240" w:after="120"/>
      </w:pPr>
      <w:r>
        <w:rPr>
          <w:b/>
          <w:color w:val="4A77A2"/>
          <w:sz w:val="26"/>
        </w:rPr>
        <w:t>3.5 Case Study: Comparative Plantar Pressure Profiling for a 60 kg Population</w:t>
      </w:r>
    </w:p>
    <w:p w:rsidR="00BC05FF" w:rsidRDefault="009F339A">
      <w:pPr>
        <w:spacing w:after="120"/>
      </w:pPr>
      <w:r>
        <w:t xml:space="preserve">To establish a rigorous, clinical validation framework, this section evaluates standardized numerical simulations tailored to a baseline </w:t>
      </w:r>
      <w:r>
        <w:t>60 kg population. Internal joint kinematics are mapped directly to exterior spatial plantar pressures using the Principle of Virtual Work.</w:t>
      </w:r>
    </w:p>
    <w:p w:rsidR="00BC05FF" w:rsidRDefault="009F339A">
      <w:pPr>
        <w:spacing w:before="240" w:after="120"/>
      </w:pPr>
      <w:r>
        <w:rPr>
          <w:b/>
          <w:color w:val="4A77A2"/>
          <w:sz w:val="26"/>
        </w:rPr>
        <w:t>3.5.1 Core Biomechanical Constants and Modeling Framework</w:t>
      </w:r>
    </w:p>
    <w:p w:rsidR="00BC05FF" w:rsidRDefault="009F339A">
      <w:pPr>
        <w:spacing w:after="120"/>
      </w:pPr>
      <w:r>
        <w:lastRenderedPageBreak/>
        <w:t>The physical inputs are established by scaling human kineti</w:t>
      </w:r>
      <w:r>
        <w:t xml:space="preserve">c properties to a fixed subject mass (m) of 60 kg. Total ground reaction force (Fg) at terminal push-off incorporates a standard dynamic vertical acceleration multiplier of 1.2x body weight across all groups, maintaining a uniform loading constraint of Fg </w:t>
      </w:r>
      <w:r>
        <w:t>= 1.2 * (60 kg * 9.81 m/s²) = 706.3 N [Winter, 2009]. Joint-to-tissue force conversion relies on standard human anthropometric averages for mechanical segment lever arms [Jacob, 2001]:</w:t>
      </w:r>
      <w:r>
        <w:br/>
        <w:t>• Heel Moment Arm (rH): 0.05 m [Jacob, 2001]</w:t>
      </w:r>
      <w:r>
        <w:br/>
        <w:t>• Forefoot Moment Arm (rF)</w:t>
      </w:r>
      <w:r>
        <w:t>: 0.15 m [Jacob, 2001]</w:t>
      </w:r>
      <w:r>
        <w:br/>
        <w:t>• Toe Moment Arm (rT): 0.03 m [Jacob, 2001]</w:t>
      </w:r>
    </w:p>
    <w:p w:rsidR="00BC05FF" w:rsidRDefault="009F339A">
      <w:pPr>
        <w:spacing w:before="240" w:after="120"/>
      </w:pPr>
      <w:r>
        <w:rPr>
          <w:b/>
          <w:color w:val="4A77A2"/>
          <w:sz w:val="26"/>
        </w:rPr>
        <w:t>3.5.2 Mathematical Derivation of Plantar Pressures via Virtual Work</w:t>
      </w:r>
    </w:p>
    <w:p w:rsidR="00BC05FF" w:rsidRDefault="009F339A">
      <w:pPr>
        <w:spacing w:after="120"/>
      </w:pPr>
      <w:r>
        <w:t>To validate the multi-body state-space model against dynamic clinical parameters, internal joint torques are mapped to ex</w:t>
      </w:r>
      <w:r>
        <w:t>ternal plantar interface pressures using the Principle of Virtual Work (Work_in = Work_out). Rotational work generated at the joint center matches linear contact boundary work compressing the underlying tissue matrix:</w:t>
      </w:r>
      <w:r>
        <w:br/>
        <w:t>F · Δs = |τ| · Δθ</w:t>
      </w:r>
      <w:r>
        <w:br/>
        <w:t>Substituting small-a</w:t>
      </w:r>
      <w:r>
        <w:t>ngle arc length geometry (Δs = r · Δθ), virtual displacement cancels out, rendering a rigid structural relationship where localized force (F) and interface pressure (P) are functions of torque, lever arm, and macro-contact area (A):</w:t>
      </w:r>
      <w:r>
        <w:br/>
        <w:t xml:space="preserve">P = F / A = |τ| / (r · </w:t>
      </w:r>
      <w:r>
        <w:t>A)</w:t>
      </w:r>
    </w:p>
    <w:p w:rsidR="00BC05FF" w:rsidRDefault="009F339A">
      <w:pPr>
        <w:spacing w:after="120"/>
      </w:pPr>
      <w:r>
        <w:t>• Case 1: Healthy Baseline Configuration (Dynamic Peak Loading)</w:t>
      </w:r>
      <w:r>
        <w:br/>
        <w:t xml:space="preserve">Using high-effort dynamic push-off/heel-strike target parameters (τa = -35 N·m) over standard healthy contact areas (AH = 0.00080 m², AF = 0.00065 m²) and nominal moment arms (rH = 0.05 m, </w:t>
      </w:r>
      <w:r>
        <w:t>rF = 0.15 m):</w:t>
      </w:r>
      <w:r>
        <w:br/>
        <w:t>P_Heel = |-35 N·m| / (0.05 m × 0.00080 m²) = 875,000 Pa = 875 kPa</w:t>
      </w:r>
      <w:r>
        <w:br/>
        <w:t>P_Forefoot = |-35 N·m| / (0.15 m × 0.00065 m²) = 358,974 Pa ≈ 359 kPa</w:t>
      </w:r>
      <w:r>
        <w:br/>
        <w:t>Note on Literature Context: While the mathematical mapping uses geometric indices derived from baseline fo</w:t>
      </w:r>
      <w:r>
        <w:t>otprints as localized by Cavanagh &amp; Rodgers (1987), these high-magnitude peak pressures (875 kPa) specifically simulate transient dynamic impact thresholds rather than static, passive standing limits.</w:t>
      </w:r>
      <w:r>
        <w:br/>
      </w:r>
      <w:r>
        <w:br/>
        <w:t>• Case 2: Pathological Flat Foot (Pes Planus)</w:t>
      </w:r>
      <w:r>
        <w:br/>
        <w:t>Characte</w:t>
      </w:r>
      <w:r>
        <w:t>rized by a structural arch collapse where the midfoot actively engages the ground (AM = 0.00050 m²) and musculature over-strains (τa = -45 N·m):</w:t>
      </w:r>
      <w:r>
        <w:br/>
        <w:t>P_Midfoot = |-45 N·m| / (0.15 m × 0.00050 m²) = 600,000 Pa = 600 kPa</w:t>
      </w:r>
      <w:r>
        <w:br/>
        <w:t>P_Heel = |-45 N·m| / (0.05 m × 0.00080 m²)</w:t>
      </w:r>
      <w:r>
        <w:t xml:space="preserve"> = 1,125,000 Pa = 1125 kPa</w:t>
      </w:r>
      <w:r>
        <w:br/>
      </w:r>
      <w:r>
        <w:br/>
        <w:t>• Case 3: Pathological High Arch Foot (Pes Cavus)</w:t>
      </w:r>
      <w:r>
        <w:br/>
        <w:t xml:space="preserve">Stiffer, locked longitudinal arch. The midfoot is completely suspended and decoupled from floor interaction (AM = 0 m²). 100% of the force is concentrated onto the posterior and </w:t>
      </w:r>
      <w:r>
        <w:t>anterior margins of the foot. Due to skeletal rigidity, the effective forefoot contact area pinches down to AF = 0.00055 m². Under baseline torque execution (τa = -35 N·m):</w:t>
      </w:r>
      <w:r>
        <w:br/>
        <w:t>P_Forefoot = |-35 N·m| / (0.15 m × 0.00055 m²) = 424,242 Pa ≈ 424.2 kPa</w:t>
      </w:r>
      <w:r>
        <w:br/>
      </w:r>
      <w:r>
        <w:lastRenderedPageBreak/>
        <w:br/>
        <w:t xml:space="preserve">• Case 4: </w:t>
      </w:r>
      <w:r>
        <w:t>Geriatric / Elderly Biomechanical Configuration</w:t>
      </w:r>
      <w:r>
        <w:br/>
        <w:t>Accounting for age-related calcaneal fat-pad atrophy where the effective heel area shrinks by roughly 20% (AH = 0.00064 m²) based on structural trends identified by Hsu et al. (1998), and considering sarcopen</w:t>
      </w:r>
      <w:r>
        <w:t>ia-induced torque reduction (τa = -25 N·m):</w:t>
      </w:r>
      <w:r>
        <w:br/>
        <w:t>P_Heel,Elderly = |-25 N·m| / (0.05 m × 0.00064 m²) = 781,250 Pa ≈ 781.3 kPa</w:t>
      </w:r>
      <w:r>
        <w:br/>
        <w:t xml:space="preserve">P_Forefoot,Elderly = |-25 N·m| / (0.15 m × 0.00065 m²) = 256,410 Pa ≈ 256.4 </w:t>
      </w:r>
      <w:proofErr w:type="spellStart"/>
      <w:r>
        <w:t>kPa</w:t>
      </w:r>
      <w:proofErr w:type="spellEnd"/>
    </w:p>
    <w:p w:rsidR="009F339A" w:rsidRDefault="009F339A">
      <w:pPr>
        <w:spacing w:after="120"/>
      </w:pPr>
      <w:r>
        <w:t>It</w:t>
      </w:r>
      <w:r>
        <w:t xml:space="preserve"> (35N)</w:t>
      </w:r>
      <w:r>
        <w:t xml:space="preserve"> is a representative torqu</w:t>
      </w:r>
      <w:bookmarkStart w:id="0" w:name="_GoBack"/>
      <w:bookmarkEnd w:id="0"/>
      <w:r>
        <w:t>e selected to simulate peak dynamic loading in a simplified engineering model. The value was chosen so that the predicted plantar pressures remain within physiologically plausible ranges reported in the biomechanics literature.</w:t>
      </w:r>
    </w:p>
    <w:p w:rsidR="00BC05FF" w:rsidRDefault="009F339A">
      <w:pPr>
        <w:spacing w:before="240" w:after="120"/>
      </w:pPr>
      <w:r>
        <w:rPr>
          <w:b/>
          <w:color w:val="4A77A2"/>
          <w:sz w:val="26"/>
        </w:rPr>
        <w:t>3.5.3 Comparative Population Plantar Pressure Matrix</w:t>
      </w:r>
    </w:p>
    <w:tbl>
      <w:tblPr>
        <w:tblW w:w="0" w:type="auto"/>
        <w:jc w:val="center"/>
        <w:tblLook w:val="04A0" w:firstRow="1" w:lastRow="0" w:firstColumn="1" w:lastColumn="0" w:noHBand="0" w:noVBand="1"/>
      </w:tblPr>
      <w:tblGrid>
        <w:gridCol w:w="1819"/>
        <w:gridCol w:w="1555"/>
        <w:gridCol w:w="1293"/>
        <w:gridCol w:w="1409"/>
        <w:gridCol w:w="1293"/>
        <w:gridCol w:w="2207"/>
      </w:tblGrid>
      <w:tr w:rsidR="00BC05FF">
        <w:trPr>
          <w:jc w:val="center"/>
        </w:trPr>
        <w:tc>
          <w:tcPr>
            <w:tcW w:w="2160" w:type="dxa"/>
            <w:shd w:val="clear" w:color="auto" w:fill="1B365D"/>
          </w:tcPr>
          <w:p w:rsidR="00BC05FF" w:rsidRDefault="009F339A">
            <w:pPr>
              <w:spacing w:before="80" w:after="80"/>
            </w:pPr>
            <w:r>
              <w:rPr>
                <w:b/>
                <w:color w:val="FFFFFF"/>
                <w:sz w:val="20"/>
              </w:rPr>
              <w:t>Con</w:t>
            </w:r>
            <w:r>
              <w:rPr>
                <w:b/>
                <w:color w:val="FFFFFF"/>
                <w:sz w:val="20"/>
              </w:rPr>
              <w:t>dition Profile</w:t>
            </w:r>
          </w:p>
        </w:tc>
        <w:tc>
          <w:tcPr>
            <w:tcW w:w="1728" w:type="dxa"/>
            <w:shd w:val="clear" w:color="auto" w:fill="1B365D"/>
          </w:tcPr>
          <w:p w:rsidR="00BC05FF" w:rsidRDefault="009F339A">
            <w:pPr>
              <w:spacing w:before="80" w:after="80"/>
            </w:pPr>
            <w:r>
              <w:rPr>
                <w:b/>
                <w:color w:val="FFFFFF"/>
                <w:sz w:val="20"/>
              </w:rPr>
              <w:t>Mechanical Inputs</w:t>
            </w:r>
          </w:p>
        </w:tc>
        <w:tc>
          <w:tcPr>
            <w:tcW w:w="1440" w:type="dxa"/>
            <w:shd w:val="clear" w:color="auto" w:fill="1B365D"/>
          </w:tcPr>
          <w:p w:rsidR="00BC05FF" w:rsidRDefault="009F339A">
            <w:pPr>
              <w:spacing w:before="80" w:after="80"/>
            </w:pPr>
            <w:r>
              <w:rPr>
                <w:b/>
                <w:color w:val="FFFFFF"/>
                <w:sz w:val="20"/>
              </w:rPr>
              <w:t>Heel Pressure (PH)</w:t>
            </w:r>
          </w:p>
        </w:tc>
        <w:tc>
          <w:tcPr>
            <w:tcW w:w="1440" w:type="dxa"/>
            <w:shd w:val="clear" w:color="auto" w:fill="1B365D"/>
          </w:tcPr>
          <w:p w:rsidR="00BC05FF" w:rsidRDefault="009F339A">
            <w:pPr>
              <w:spacing w:before="80" w:after="80"/>
            </w:pPr>
            <w:r>
              <w:rPr>
                <w:b/>
                <w:color w:val="FFFFFF"/>
                <w:sz w:val="20"/>
              </w:rPr>
              <w:t>Midfoot Pressure (PM)</w:t>
            </w:r>
          </w:p>
        </w:tc>
        <w:tc>
          <w:tcPr>
            <w:tcW w:w="1440" w:type="dxa"/>
            <w:shd w:val="clear" w:color="auto" w:fill="1B365D"/>
          </w:tcPr>
          <w:p w:rsidR="00BC05FF" w:rsidRDefault="009F339A">
            <w:pPr>
              <w:spacing w:before="80" w:after="80"/>
            </w:pPr>
            <w:r>
              <w:rPr>
                <w:b/>
                <w:color w:val="FFFFFF"/>
                <w:sz w:val="20"/>
              </w:rPr>
              <w:t>Forefoot Pressure (PF)</w:t>
            </w:r>
          </w:p>
        </w:tc>
        <w:tc>
          <w:tcPr>
            <w:tcW w:w="2592" w:type="dxa"/>
            <w:shd w:val="clear" w:color="auto" w:fill="1B365D"/>
          </w:tcPr>
          <w:p w:rsidR="00BC05FF" w:rsidRDefault="009F339A">
            <w:pPr>
              <w:spacing w:before="80" w:after="80"/>
            </w:pPr>
            <w:r>
              <w:rPr>
                <w:b/>
                <w:color w:val="FFFFFF"/>
                <w:sz w:val="20"/>
              </w:rPr>
              <w:t>Core Biomechanical Indicator</w:t>
            </w:r>
          </w:p>
        </w:tc>
      </w:tr>
      <w:tr w:rsidR="00BC05FF">
        <w:trPr>
          <w:jc w:val="center"/>
        </w:trPr>
        <w:tc>
          <w:tcPr>
            <w:tcW w:w="2160" w:type="dxa"/>
            <w:shd w:val="clear" w:color="auto" w:fill="F4F6F9"/>
          </w:tcPr>
          <w:p w:rsidR="00BC05FF" w:rsidRDefault="009F339A">
            <w:pPr>
              <w:spacing w:before="80" w:after="80"/>
            </w:pPr>
            <w:r>
              <w:rPr>
                <w:sz w:val="20"/>
              </w:rPr>
              <w:t>Healthy Baseline</w:t>
            </w:r>
          </w:p>
        </w:tc>
        <w:tc>
          <w:tcPr>
            <w:tcW w:w="1728" w:type="dxa"/>
            <w:shd w:val="clear" w:color="auto" w:fill="F4F6F9"/>
          </w:tcPr>
          <w:p w:rsidR="00BC05FF" w:rsidRDefault="009F339A">
            <w:pPr>
              <w:spacing w:before="80" w:after="80"/>
            </w:pPr>
            <w:r>
              <w:rPr>
                <w:sz w:val="20"/>
              </w:rPr>
              <w:t>τa = -35 N·m, τt = 12 N·m</w:t>
            </w:r>
          </w:p>
        </w:tc>
        <w:tc>
          <w:tcPr>
            <w:tcW w:w="1440" w:type="dxa"/>
            <w:shd w:val="clear" w:color="auto" w:fill="F4F6F9"/>
          </w:tcPr>
          <w:p w:rsidR="00BC05FF" w:rsidRDefault="009F339A">
            <w:pPr>
              <w:spacing w:before="80" w:after="80"/>
            </w:pPr>
            <w:r>
              <w:rPr>
                <w:sz w:val="20"/>
              </w:rPr>
              <w:t>875 kPa</w:t>
            </w:r>
          </w:p>
        </w:tc>
        <w:tc>
          <w:tcPr>
            <w:tcW w:w="1440" w:type="dxa"/>
            <w:shd w:val="clear" w:color="auto" w:fill="F4F6F9"/>
          </w:tcPr>
          <w:p w:rsidR="00BC05FF" w:rsidRDefault="009F339A">
            <w:pPr>
              <w:spacing w:before="80" w:after="80"/>
            </w:pPr>
            <w:r>
              <w:rPr>
                <w:sz w:val="20"/>
              </w:rPr>
              <w:t>~ 0 kPa (Normal)</w:t>
            </w:r>
          </w:p>
        </w:tc>
        <w:tc>
          <w:tcPr>
            <w:tcW w:w="1440" w:type="dxa"/>
            <w:shd w:val="clear" w:color="auto" w:fill="F4F6F9"/>
          </w:tcPr>
          <w:p w:rsidR="00BC05FF" w:rsidRDefault="009F339A">
            <w:pPr>
              <w:spacing w:before="80" w:after="80"/>
            </w:pPr>
            <w:r>
              <w:rPr>
                <w:sz w:val="20"/>
              </w:rPr>
              <w:t>359 kPa</w:t>
            </w:r>
          </w:p>
        </w:tc>
        <w:tc>
          <w:tcPr>
            <w:tcW w:w="2592" w:type="dxa"/>
            <w:shd w:val="clear" w:color="auto" w:fill="F4F6F9"/>
          </w:tcPr>
          <w:p w:rsidR="00BC05FF" w:rsidRDefault="009F339A">
            <w:pPr>
              <w:spacing w:before="80" w:after="80"/>
            </w:pPr>
            <w:r>
              <w:rPr>
                <w:sz w:val="20"/>
              </w:rPr>
              <w:t xml:space="preserve">Balanced load sharing; optimal arch alignment under </w:t>
            </w:r>
            <w:r>
              <w:rPr>
                <w:sz w:val="20"/>
              </w:rPr>
              <w:t>dynamic peak loading.</w:t>
            </w:r>
          </w:p>
        </w:tc>
      </w:tr>
      <w:tr w:rsidR="00BC05FF">
        <w:trPr>
          <w:jc w:val="center"/>
        </w:trPr>
        <w:tc>
          <w:tcPr>
            <w:tcW w:w="2160" w:type="dxa"/>
            <w:shd w:val="clear" w:color="auto" w:fill="FFFFFF"/>
          </w:tcPr>
          <w:p w:rsidR="00BC05FF" w:rsidRDefault="009F339A">
            <w:pPr>
              <w:spacing w:before="80" w:after="80"/>
            </w:pPr>
            <w:r>
              <w:rPr>
                <w:sz w:val="20"/>
              </w:rPr>
              <w:t>Pathological Flat Foot</w:t>
            </w:r>
          </w:p>
        </w:tc>
        <w:tc>
          <w:tcPr>
            <w:tcW w:w="1728" w:type="dxa"/>
            <w:shd w:val="clear" w:color="auto" w:fill="FFFFFF"/>
          </w:tcPr>
          <w:p w:rsidR="00BC05FF" w:rsidRDefault="009F339A">
            <w:pPr>
              <w:spacing w:before="80" w:after="80"/>
            </w:pPr>
            <w:r>
              <w:rPr>
                <w:sz w:val="20"/>
              </w:rPr>
              <w:t>τa = -45 N·m</w:t>
            </w:r>
          </w:p>
        </w:tc>
        <w:tc>
          <w:tcPr>
            <w:tcW w:w="1440" w:type="dxa"/>
            <w:shd w:val="clear" w:color="auto" w:fill="FFFFFF"/>
          </w:tcPr>
          <w:p w:rsidR="00BC05FF" w:rsidRDefault="009F339A">
            <w:pPr>
              <w:spacing w:before="80" w:after="80"/>
            </w:pPr>
            <w:r>
              <w:rPr>
                <w:sz w:val="20"/>
              </w:rPr>
              <w:t>1125 kPa</w:t>
            </w:r>
          </w:p>
        </w:tc>
        <w:tc>
          <w:tcPr>
            <w:tcW w:w="1440" w:type="dxa"/>
            <w:shd w:val="clear" w:color="auto" w:fill="FFFFFF"/>
          </w:tcPr>
          <w:p w:rsidR="00BC05FF" w:rsidRDefault="009F339A">
            <w:pPr>
              <w:spacing w:before="80" w:after="80"/>
            </w:pPr>
            <w:r>
              <w:rPr>
                <w:sz w:val="20"/>
              </w:rPr>
              <w:t>600 kPa (Abnormal)</w:t>
            </w:r>
          </w:p>
        </w:tc>
        <w:tc>
          <w:tcPr>
            <w:tcW w:w="1440" w:type="dxa"/>
            <w:shd w:val="clear" w:color="auto" w:fill="FFFFFF"/>
          </w:tcPr>
          <w:p w:rsidR="00BC05FF" w:rsidRDefault="009F339A">
            <w:pPr>
              <w:spacing w:before="80" w:after="80"/>
            </w:pPr>
            <w:r>
              <w:rPr>
                <w:sz w:val="20"/>
              </w:rPr>
              <w:t>461 kPa</w:t>
            </w:r>
          </w:p>
        </w:tc>
        <w:tc>
          <w:tcPr>
            <w:tcW w:w="2592" w:type="dxa"/>
            <w:shd w:val="clear" w:color="auto" w:fill="FFFFFF"/>
          </w:tcPr>
          <w:p w:rsidR="00BC05FF" w:rsidRDefault="009F339A">
            <w:pPr>
              <w:spacing w:before="80" w:after="80"/>
            </w:pPr>
            <w:r>
              <w:rPr>
                <w:sz w:val="20"/>
              </w:rPr>
              <w:t>Arch collapse; midfoot takes direct weight-bearing.</w:t>
            </w:r>
          </w:p>
        </w:tc>
      </w:tr>
      <w:tr w:rsidR="00BC05FF">
        <w:trPr>
          <w:jc w:val="center"/>
        </w:trPr>
        <w:tc>
          <w:tcPr>
            <w:tcW w:w="2160" w:type="dxa"/>
            <w:shd w:val="clear" w:color="auto" w:fill="F4F6F9"/>
          </w:tcPr>
          <w:p w:rsidR="00BC05FF" w:rsidRDefault="009F339A">
            <w:pPr>
              <w:spacing w:before="80" w:after="80"/>
            </w:pPr>
            <w:r>
              <w:rPr>
                <w:sz w:val="20"/>
              </w:rPr>
              <w:t>Pathological High Arch</w:t>
            </w:r>
          </w:p>
        </w:tc>
        <w:tc>
          <w:tcPr>
            <w:tcW w:w="1728" w:type="dxa"/>
            <w:shd w:val="clear" w:color="auto" w:fill="F4F6F9"/>
          </w:tcPr>
          <w:p w:rsidR="00BC05FF" w:rsidRDefault="009F339A">
            <w:pPr>
              <w:spacing w:before="80" w:after="80"/>
            </w:pPr>
            <w:r>
              <w:rPr>
                <w:sz w:val="20"/>
              </w:rPr>
              <w:t>τa = -35 N·m, τt = 12 N·m</w:t>
            </w:r>
          </w:p>
        </w:tc>
        <w:tc>
          <w:tcPr>
            <w:tcW w:w="1440" w:type="dxa"/>
            <w:shd w:val="clear" w:color="auto" w:fill="F4F6F9"/>
          </w:tcPr>
          <w:p w:rsidR="00BC05FF" w:rsidRDefault="009F339A">
            <w:pPr>
              <w:spacing w:before="80" w:after="80"/>
            </w:pPr>
            <w:r>
              <w:rPr>
                <w:sz w:val="20"/>
              </w:rPr>
              <w:t>875 kPa</w:t>
            </w:r>
          </w:p>
        </w:tc>
        <w:tc>
          <w:tcPr>
            <w:tcW w:w="1440" w:type="dxa"/>
            <w:shd w:val="clear" w:color="auto" w:fill="F4F6F9"/>
          </w:tcPr>
          <w:p w:rsidR="00BC05FF" w:rsidRDefault="009F339A">
            <w:pPr>
              <w:spacing w:before="80" w:after="80"/>
            </w:pPr>
            <w:r>
              <w:rPr>
                <w:sz w:val="20"/>
              </w:rPr>
              <w:t>0 kPa (Suspended)</w:t>
            </w:r>
          </w:p>
        </w:tc>
        <w:tc>
          <w:tcPr>
            <w:tcW w:w="1440" w:type="dxa"/>
            <w:shd w:val="clear" w:color="auto" w:fill="F4F6F9"/>
          </w:tcPr>
          <w:p w:rsidR="00BC05FF" w:rsidRDefault="009F339A">
            <w:pPr>
              <w:spacing w:before="80" w:after="80"/>
            </w:pPr>
            <w:r>
              <w:rPr>
                <w:sz w:val="20"/>
              </w:rPr>
              <w:t>424 kPa</w:t>
            </w:r>
          </w:p>
        </w:tc>
        <w:tc>
          <w:tcPr>
            <w:tcW w:w="2592" w:type="dxa"/>
            <w:shd w:val="clear" w:color="auto" w:fill="F4F6F9"/>
          </w:tcPr>
          <w:p w:rsidR="00BC05FF" w:rsidRDefault="009F339A">
            <w:pPr>
              <w:spacing w:before="80" w:after="80"/>
            </w:pPr>
            <w:r>
              <w:rPr>
                <w:sz w:val="20"/>
              </w:rPr>
              <w:t xml:space="preserve">Rigid architecture; high </w:t>
            </w:r>
            <w:r>
              <w:rPr>
                <w:sz w:val="20"/>
              </w:rPr>
              <w:t>stress concentrations.</w:t>
            </w:r>
          </w:p>
        </w:tc>
      </w:tr>
      <w:tr w:rsidR="00BC05FF">
        <w:trPr>
          <w:jc w:val="center"/>
        </w:trPr>
        <w:tc>
          <w:tcPr>
            <w:tcW w:w="2160" w:type="dxa"/>
            <w:shd w:val="clear" w:color="auto" w:fill="FFFFFF"/>
          </w:tcPr>
          <w:p w:rsidR="00BC05FF" w:rsidRDefault="009F339A">
            <w:pPr>
              <w:spacing w:before="80" w:after="80"/>
            </w:pPr>
            <w:r>
              <w:rPr>
                <w:sz w:val="20"/>
              </w:rPr>
              <w:t>Geriatric / Elderly</w:t>
            </w:r>
          </w:p>
        </w:tc>
        <w:tc>
          <w:tcPr>
            <w:tcW w:w="1728" w:type="dxa"/>
            <w:shd w:val="clear" w:color="auto" w:fill="FFFFFF"/>
          </w:tcPr>
          <w:p w:rsidR="00BC05FF" w:rsidRDefault="009F339A">
            <w:pPr>
              <w:spacing w:before="80" w:after="80"/>
            </w:pPr>
            <w:r>
              <w:rPr>
                <w:sz w:val="20"/>
              </w:rPr>
              <w:t>τa = -25 N·m</w:t>
            </w:r>
          </w:p>
        </w:tc>
        <w:tc>
          <w:tcPr>
            <w:tcW w:w="1440" w:type="dxa"/>
            <w:shd w:val="clear" w:color="auto" w:fill="FFFFFF"/>
          </w:tcPr>
          <w:p w:rsidR="00BC05FF" w:rsidRDefault="009F339A">
            <w:pPr>
              <w:spacing w:before="80" w:after="80"/>
            </w:pPr>
            <w:r>
              <w:rPr>
                <w:sz w:val="20"/>
              </w:rPr>
              <w:t>781.3 kPa</w:t>
            </w:r>
          </w:p>
        </w:tc>
        <w:tc>
          <w:tcPr>
            <w:tcW w:w="1440" w:type="dxa"/>
            <w:shd w:val="clear" w:color="auto" w:fill="FFFFFF"/>
          </w:tcPr>
          <w:p w:rsidR="00BC05FF" w:rsidRDefault="009F339A">
            <w:pPr>
              <w:spacing w:before="80" w:after="80"/>
            </w:pPr>
            <w:r>
              <w:rPr>
                <w:sz w:val="20"/>
              </w:rPr>
              <w:t>~ 0 kPa (Nominal)</w:t>
            </w:r>
          </w:p>
        </w:tc>
        <w:tc>
          <w:tcPr>
            <w:tcW w:w="1440" w:type="dxa"/>
            <w:shd w:val="clear" w:color="auto" w:fill="FFFFFF"/>
          </w:tcPr>
          <w:p w:rsidR="00BC05FF" w:rsidRDefault="009F339A">
            <w:pPr>
              <w:spacing w:before="80" w:after="80"/>
            </w:pPr>
            <w:r>
              <w:rPr>
                <w:sz w:val="20"/>
              </w:rPr>
              <w:t>256.4 kPa</w:t>
            </w:r>
          </w:p>
        </w:tc>
        <w:tc>
          <w:tcPr>
            <w:tcW w:w="2592" w:type="dxa"/>
            <w:shd w:val="clear" w:color="auto" w:fill="FFFFFF"/>
          </w:tcPr>
          <w:p w:rsidR="00BC05FF" w:rsidRDefault="009F339A">
            <w:pPr>
              <w:spacing w:before="80" w:after="80"/>
            </w:pPr>
            <w:r>
              <w:rPr>
                <w:sz w:val="20"/>
              </w:rPr>
              <w:t>Fat-pad atrophy drives rearfoot stress.</w:t>
            </w:r>
          </w:p>
        </w:tc>
      </w:tr>
    </w:tbl>
    <w:p w:rsidR="00BC05FF" w:rsidRDefault="009F339A">
      <w:pPr>
        <w:spacing w:before="360" w:after="240"/>
      </w:pPr>
      <w:r>
        <w:rPr>
          <w:b/>
          <w:color w:val="1B365D"/>
          <w:sz w:val="32"/>
        </w:rPr>
        <w:t>CHAPTER 4: COMPARATIVE ANALYSIS OF DIFFERENT FOOT CONDITIONS</w:t>
      </w:r>
    </w:p>
    <w:p w:rsidR="00BC05FF" w:rsidRDefault="009F339A">
      <w:pPr>
        <w:spacing w:before="240" w:after="120"/>
      </w:pPr>
      <w:r>
        <w:rPr>
          <w:b/>
          <w:color w:val="4A77A2"/>
          <w:sz w:val="26"/>
        </w:rPr>
        <w:t>4.1 Introduction</w:t>
      </w:r>
    </w:p>
    <w:p w:rsidR="00BC05FF" w:rsidRDefault="009F339A">
      <w:pPr>
        <w:spacing w:after="120"/>
      </w:pPr>
      <w:r>
        <w:t xml:space="preserve">The healthy foot model developed in </w:t>
      </w:r>
      <w:r>
        <w:t>Chapter 3 serves as the reference model for all subsequent analyses. To investigate the influence of different biomechanical conditions on foot dynamics, several pathological and performance-oriented foot models were developed by modifying selected stiffne</w:t>
      </w:r>
      <w:r>
        <w:t>ss and damping parameters.</w:t>
      </w:r>
    </w:p>
    <w:p w:rsidR="00BC05FF" w:rsidRDefault="009F339A">
      <w:pPr>
        <w:spacing w:before="240" w:after="120"/>
      </w:pPr>
      <w:r>
        <w:rPr>
          <w:b/>
          <w:color w:val="4A77A2"/>
          <w:sz w:val="26"/>
        </w:rPr>
        <w:t>4.2 Flat Foot (Pes Planus)</w:t>
      </w:r>
    </w:p>
    <w:p w:rsidR="00BC05FF" w:rsidRDefault="009F339A">
      <w:pPr>
        <w:spacing w:after="120"/>
      </w:pPr>
      <w:r>
        <w:t xml:space="preserve">Description: Flat Foot is characterized by a reduction or collapse of the longitudinal arch. Parameters are modified: kh drops from 25000 to 12500, bh from 27 to 20. MATLAB Results: </w:t>
      </w:r>
      <w:r>
        <w:lastRenderedPageBreak/>
        <w:t>Settling Time = 0.24</w:t>
      </w:r>
      <w:r>
        <w:t>50 s; Overshoot = 45.20 %; Bandwidth = 68.30 rad/s. A lower stiffness structurally reduces the system's natural frequency, resulting in a significantly slower transient response and narrower bandwidth.</w:t>
      </w:r>
    </w:p>
    <w:p w:rsidR="00BC05FF" w:rsidRDefault="009F339A">
      <w:pPr>
        <w:spacing w:before="240" w:after="120"/>
      </w:pPr>
      <w:r>
        <w:rPr>
          <w:b/>
          <w:color w:val="4A77A2"/>
          <w:sz w:val="26"/>
        </w:rPr>
        <w:t>4.3 High Arch Foot (Pes Cavus)</w:t>
      </w:r>
    </w:p>
    <w:p w:rsidR="00BC05FF" w:rsidRDefault="009F339A">
      <w:pPr>
        <w:spacing w:after="120"/>
      </w:pPr>
      <w:r>
        <w:t xml:space="preserve">Description: High Arch </w:t>
      </w:r>
      <w:r>
        <w:t>Foot is characterized by an unusually elevated longitudinal arch. Parameters are elevated: kh to 50000, bh to 35. MATLAB Results: Settling Time = 0.0175 s; Overshoot = 40.36 %; Bandwidth = 1160 rad/s.</w:t>
      </w:r>
    </w:p>
    <w:p w:rsidR="00BC05FF" w:rsidRDefault="009F339A">
      <w:pPr>
        <w:spacing w:before="240" w:after="120"/>
      </w:pPr>
      <w:r>
        <w:rPr>
          <w:b/>
          <w:color w:val="4A77A2"/>
          <w:sz w:val="26"/>
        </w:rPr>
        <w:t>4.4 Weak Plantar Fascia</w:t>
      </w:r>
    </w:p>
    <w:p w:rsidR="00BC05FF" w:rsidRDefault="009F339A">
      <w:pPr>
        <w:spacing w:after="120"/>
      </w:pPr>
      <w:r>
        <w:t>Description: Weakening of the p</w:t>
      </w:r>
      <w:r>
        <w:t>lantar fascia reduces the ability of the arch to store and release energy efficiently. Parameters are modified: kh to 15000, kth to 4. MATLAB Results: Settling Time = 0.1850 s; Overshoot = 42.10 %; Bandwidth = 92.40 rad/s.</w:t>
      </w:r>
    </w:p>
    <w:p w:rsidR="00BC05FF" w:rsidRDefault="009F339A">
      <w:pPr>
        <w:spacing w:before="240" w:after="120"/>
      </w:pPr>
      <w:r>
        <w:rPr>
          <w:b/>
          <w:color w:val="4A77A2"/>
          <w:sz w:val="26"/>
        </w:rPr>
        <w:t>4.5 Ankle Instability</w:t>
      </w:r>
    </w:p>
    <w:p w:rsidR="00BC05FF" w:rsidRDefault="009F339A">
      <w:pPr>
        <w:spacing w:after="120"/>
      </w:pPr>
      <w:r>
        <w:t>Description</w:t>
      </w:r>
      <w:r>
        <w:t>: The joint becomes mechanically weaker and less capable of resisting rotational disturbances. Parameters are modified: ka to 85, ba to 0.5. MATLAB Results: Settling Time = 0.2537 s; Overshoot = 51.02 %; Bandwidth = 102.16 rad/s.</w:t>
      </w:r>
    </w:p>
    <w:p w:rsidR="00BC05FF" w:rsidRDefault="009F339A">
      <w:pPr>
        <w:spacing w:before="240" w:after="120"/>
      </w:pPr>
      <w:r>
        <w:rPr>
          <w:b/>
          <w:color w:val="4A77A2"/>
          <w:sz w:val="26"/>
        </w:rPr>
        <w:t>4.6 Athlete Foot</w:t>
      </w:r>
    </w:p>
    <w:p w:rsidR="00BC05FF" w:rsidRDefault="009F339A">
      <w:pPr>
        <w:spacing w:after="120"/>
      </w:pPr>
      <w:r>
        <w:t>Description: Athletes generally possess stronger musculature and tendon stiffness. Parameters are expanded: kh to 35000, bh to 32. MATLAB Results: Settling Time = 0.0170 s; Overshoot = 36.82 %; Bandwidth = 959.94 rad/s.</w:t>
      </w:r>
    </w:p>
    <w:p w:rsidR="00BC05FF" w:rsidRDefault="009F339A">
      <w:pPr>
        <w:spacing w:before="240" w:after="120"/>
      </w:pPr>
      <w:r>
        <w:rPr>
          <w:b/>
          <w:color w:val="4A77A2"/>
          <w:sz w:val="26"/>
        </w:rPr>
        <w:t>4.7 Overall Pathological &amp; Performan</w:t>
      </w:r>
      <w:r>
        <w:rPr>
          <w:b/>
          <w:color w:val="4A77A2"/>
          <w:sz w:val="26"/>
        </w:rPr>
        <w:t>ce Comparison Matrix</w:t>
      </w:r>
    </w:p>
    <w:tbl>
      <w:tblPr>
        <w:tblW w:w="0" w:type="auto"/>
        <w:jc w:val="center"/>
        <w:tblLook w:val="04A0" w:firstRow="1" w:lastRow="0" w:firstColumn="1" w:lastColumn="0" w:noHBand="0" w:noVBand="1"/>
      </w:tblPr>
      <w:tblGrid>
        <w:gridCol w:w="1892"/>
        <w:gridCol w:w="1522"/>
        <w:gridCol w:w="1487"/>
        <w:gridCol w:w="1598"/>
        <w:gridCol w:w="3077"/>
      </w:tblGrid>
      <w:tr w:rsidR="00BC05FF">
        <w:trPr>
          <w:jc w:val="center"/>
        </w:trPr>
        <w:tc>
          <w:tcPr>
            <w:tcW w:w="2160" w:type="dxa"/>
            <w:shd w:val="clear" w:color="auto" w:fill="1B365D"/>
          </w:tcPr>
          <w:p w:rsidR="00BC05FF" w:rsidRDefault="009F339A">
            <w:pPr>
              <w:spacing w:before="80" w:after="80"/>
            </w:pPr>
            <w:r>
              <w:rPr>
                <w:b/>
                <w:color w:val="FFFFFF"/>
                <w:sz w:val="20"/>
              </w:rPr>
              <w:t>Condition</w:t>
            </w:r>
          </w:p>
        </w:tc>
        <w:tc>
          <w:tcPr>
            <w:tcW w:w="1728" w:type="dxa"/>
            <w:shd w:val="clear" w:color="auto" w:fill="1B365D"/>
          </w:tcPr>
          <w:p w:rsidR="00BC05FF" w:rsidRDefault="009F339A">
            <w:pPr>
              <w:spacing w:before="80" w:after="80"/>
              <w:jc w:val="right"/>
            </w:pPr>
            <w:r>
              <w:rPr>
                <w:b/>
                <w:color w:val="FFFFFF"/>
                <w:sz w:val="20"/>
              </w:rPr>
              <w:t>Settling Time (s)</w:t>
            </w:r>
          </w:p>
        </w:tc>
        <w:tc>
          <w:tcPr>
            <w:tcW w:w="1584" w:type="dxa"/>
            <w:shd w:val="clear" w:color="auto" w:fill="1B365D"/>
          </w:tcPr>
          <w:p w:rsidR="00BC05FF" w:rsidRDefault="009F339A">
            <w:pPr>
              <w:spacing w:before="80" w:after="80"/>
              <w:jc w:val="right"/>
            </w:pPr>
            <w:r>
              <w:rPr>
                <w:b/>
                <w:color w:val="FFFFFF"/>
                <w:sz w:val="20"/>
              </w:rPr>
              <w:t>Overshoot (%)</w:t>
            </w:r>
          </w:p>
        </w:tc>
        <w:tc>
          <w:tcPr>
            <w:tcW w:w="1728" w:type="dxa"/>
            <w:shd w:val="clear" w:color="auto" w:fill="1B365D"/>
          </w:tcPr>
          <w:p w:rsidR="00BC05FF" w:rsidRDefault="009F339A">
            <w:pPr>
              <w:spacing w:before="80" w:after="80"/>
              <w:jc w:val="right"/>
            </w:pPr>
            <w:r>
              <w:rPr>
                <w:b/>
                <w:color w:val="FFFFFF"/>
                <w:sz w:val="20"/>
              </w:rPr>
              <w:t>Bandwidth (rad/s)</w:t>
            </w:r>
          </w:p>
        </w:tc>
        <w:tc>
          <w:tcPr>
            <w:tcW w:w="3600" w:type="dxa"/>
            <w:shd w:val="clear" w:color="auto" w:fill="1B365D"/>
          </w:tcPr>
          <w:p w:rsidR="00BC05FF" w:rsidRDefault="009F339A">
            <w:pPr>
              <w:spacing w:before="80" w:after="80"/>
            </w:pPr>
            <w:r>
              <w:rPr>
                <w:b/>
                <w:color w:val="FFFFFF"/>
                <w:sz w:val="20"/>
              </w:rPr>
              <w:t>Core Biomechanical Explanation</w:t>
            </w:r>
          </w:p>
        </w:tc>
      </w:tr>
      <w:tr w:rsidR="00BC05FF">
        <w:trPr>
          <w:jc w:val="center"/>
        </w:trPr>
        <w:tc>
          <w:tcPr>
            <w:tcW w:w="2160" w:type="dxa"/>
            <w:shd w:val="clear" w:color="auto" w:fill="F4F6F9"/>
          </w:tcPr>
          <w:p w:rsidR="00BC05FF" w:rsidRDefault="009F339A">
            <w:pPr>
              <w:spacing w:before="80" w:after="80"/>
            </w:pPr>
            <w:r>
              <w:rPr>
                <w:sz w:val="20"/>
              </w:rPr>
              <w:t>Healthy Foot</w:t>
            </w:r>
          </w:p>
        </w:tc>
        <w:tc>
          <w:tcPr>
            <w:tcW w:w="1728" w:type="dxa"/>
            <w:shd w:val="clear" w:color="auto" w:fill="F4F6F9"/>
          </w:tcPr>
          <w:p w:rsidR="00BC05FF" w:rsidRDefault="009F339A">
            <w:pPr>
              <w:spacing w:before="80" w:after="80"/>
              <w:jc w:val="right"/>
            </w:pPr>
            <w:r>
              <w:rPr>
                <w:sz w:val="20"/>
              </w:rPr>
              <w:t>0.1164</w:t>
            </w:r>
          </w:p>
        </w:tc>
        <w:tc>
          <w:tcPr>
            <w:tcW w:w="1584" w:type="dxa"/>
            <w:shd w:val="clear" w:color="auto" w:fill="F4F6F9"/>
          </w:tcPr>
          <w:p w:rsidR="00BC05FF" w:rsidRDefault="009F339A">
            <w:pPr>
              <w:spacing w:before="80" w:after="80"/>
              <w:jc w:val="right"/>
            </w:pPr>
            <w:r>
              <w:rPr>
                <w:sz w:val="20"/>
              </w:rPr>
              <w:t>38.60</w:t>
            </w:r>
          </w:p>
        </w:tc>
        <w:tc>
          <w:tcPr>
            <w:tcW w:w="1728" w:type="dxa"/>
            <w:shd w:val="clear" w:color="auto" w:fill="F4F6F9"/>
          </w:tcPr>
          <w:p w:rsidR="00BC05FF" w:rsidRDefault="009F339A">
            <w:pPr>
              <w:spacing w:before="80" w:after="80"/>
              <w:jc w:val="right"/>
            </w:pPr>
            <w:r>
              <w:rPr>
                <w:sz w:val="20"/>
              </w:rPr>
              <w:t>140.73</w:t>
            </w:r>
          </w:p>
        </w:tc>
        <w:tc>
          <w:tcPr>
            <w:tcW w:w="3600" w:type="dxa"/>
            <w:shd w:val="clear" w:color="auto" w:fill="F4F6F9"/>
          </w:tcPr>
          <w:p w:rsidR="00BC05FF" w:rsidRDefault="009F339A">
            <w:pPr>
              <w:spacing w:before="80" w:after="80"/>
            </w:pPr>
            <w:r>
              <w:rPr>
                <w:sz w:val="20"/>
              </w:rPr>
              <w:t>Baseline reference; optimal structural balance.</w:t>
            </w:r>
          </w:p>
        </w:tc>
      </w:tr>
      <w:tr w:rsidR="00BC05FF">
        <w:trPr>
          <w:jc w:val="center"/>
        </w:trPr>
        <w:tc>
          <w:tcPr>
            <w:tcW w:w="2160" w:type="dxa"/>
            <w:shd w:val="clear" w:color="auto" w:fill="FFFFFF"/>
          </w:tcPr>
          <w:p w:rsidR="00BC05FF" w:rsidRDefault="009F339A">
            <w:pPr>
              <w:spacing w:before="80" w:after="80"/>
            </w:pPr>
            <w:r>
              <w:rPr>
                <w:sz w:val="20"/>
              </w:rPr>
              <w:t>Flat Foot</w:t>
            </w:r>
          </w:p>
        </w:tc>
        <w:tc>
          <w:tcPr>
            <w:tcW w:w="1728" w:type="dxa"/>
            <w:shd w:val="clear" w:color="auto" w:fill="FFFFFF"/>
          </w:tcPr>
          <w:p w:rsidR="00BC05FF" w:rsidRDefault="009F339A">
            <w:pPr>
              <w:spacing w:before="80" w:after="80"/>
              <w:jc w:val="right"/>
            </w:pPr>
            <w:r>
              <w:rPr>
                <w:sz w:val="20"/>
              </w:rPr>
              <w:t>0.2450</w:t>
            </w:r>
          </w:p>
        </w:tc>
        <w:tc>
          <w:tcPr>
            <w:tcW w:w="1584" w:type="dxa"/>
            <w:shd w:val="clear" w:color="auto" w:fill="FFFFFF"/>
          </w:tcPr>
          <w:p w:rsidR="00BC05FF" w:rsidRDefault="009F339A">
            <w:pPr>
              <w:spacing w:before="80" w:after="80"/>
              <w:jc w:val="right"/>
            </w:pPr>
            <w:r>
              <w:rPr>
                <w:sz w:val="20"/>
              </w:rPr>
              <w:t>45.20</w:t>
            </w:r>
          </w:p>
        </w:tc>
        <w:tc>
          <w:tcPr>
            <w:tcW w:w="1728" w:type="dxa"/>
            <w:shd w:val="clear" w:color="auto" w:fill="FFFFFF"/>
          </w:tcPr>
          <w:p w:rsidR="00BC05FF" w:rsidRDefault="009F339A">
            <w:pPr>
              <w:spacing w:before="80" w:after="80"/>
              <w:jc w:val="right"/>
            </w:pPr>
            <w:r>
              <w:rPr>
                <w:sz w:val="20"/>
              </w:rPr>
              <w:t>68.30</w:t>
            </w:r>
          </w:p>
        </w:tc>
        <w:tc>
          <w:tcPr>
            <w:tcW w:w="3600" w:type="dxa"/>
            <w:shd w:val="clear" w:color="auto" w:fill="FFFFFF"/>
          </w:tcPr>
          <w:p w:rsidR="00BC05FF" w:rsidRDefault="009F339A">
            <w:pPr>
              <w:spacing w:before="80" w:after="80"/>
            </w:pPr>
            <w:r>
              <w:rPr>
                <w:sz w:val="20"/>
              </w:rPr>
              <w:t xml:space="preserve">Loss of arch stiffness reduces </w:t>
            </w:r>
            <w:r>
              <w:rPr>
                <w:sz w:val="20"/>
              </w:rPr>
              <w:t>natural frequency, leading to a sluggish response and narrower bandwidth.</w:t>
            </w:r>
          </w:p>
        </w:tc>
      </w:tr>
      <w:tr w:rsidR="00BC05FF">
        <w:trPr>
          <w:jc w:val="center"/>
        </w:trPr>
        <w:tc>
          <w:tcPr>
            <w:tcW w:w="2160" w:type="dxa"/>
            <w:shd w:val="clear" w:color="auto" w:fill="F4F6F9"/>
          </w:tcPr>
          <w:p w:rsidR="00BC05FF" w:rsidRDefault="009F339A">
            <w:pPr>
              <w:spacing w:before="80" w:after="80"/>
            </w:pPr>
            <w:r>
              <w:rPr>
                <w:sz w:val="20"/>
              </w:rPr>
              <w:t>High Arch Foot</w:t>
            </w:r>
          </w:p>
        </w:tc>
        <w:tc>
          <w:tcPr>
            <w:tcW w:w="1728" w:type="dxa"/>
            <w:shd w:val="clear" w:color="auto" w:fill="F4F6F9"/>
          </w:tcPr>
          <w:p w:rsidR="00BC05FF" w:rsidRDefault="009F339A">
            <w:pPr>
              <w:spacing w:before="80" w:after="80"/>
              <w:jc w:val="right"/>
            </w:pPr>
            <w:r>
              <w:rPr>
                <w:sz w:val="20"/>
              </w:rPr>
              <w:t>0.0175</w:t>
            </w:r>
          </w:p>
        </w:tc>
        <w:tc>
          <w:tcPr>
            <w:tcW w:w="1584" w:type="dxa"/>
            <w:shd w:val="clear" w:color="auto" w:fill="F4F6F9"/>
          </w:tcPr>
          <w:p w:rsidR="00BC05FF" w:rsidRDefault="009F339A">
            <w:pPr>
              <w:spacing w:before="80" w:after="80"/>
              <w:jc w:val="right"/>
            </w:pPr>
            <w:r>
              <w:rPr>
                <w:sz w:val="20"/>
              </w:rPr>
              <w:t>40.36</w:t>
            </w:r>
          </w:p>
        </w:tc>
        <w:tc>
          <w:tcPr>
            <w:tcW w:w="1728" w:type="dxa"/>
            <w:shd w:val="clear" w:color="auto" w:fill="F4F6F9"/>
          </w:tcPr>
          <w:p w:rsidR="00BC05FF" w:rsidRDefault="009F339A">
            <w:pPr>
              <w:spacing w:before="80" w:after="80"/>
              <w:jc w:val="right"/>
            </w:pPr>
            <w:r>
              <w:rPr>
                <w:sz w:val="20"/>
              </w:rPr>
              <w:t>1160.00</w:t>
            </w:r>
          </w:p>
        </w:tc>
        <w:tc>
          <w:tcPr>
            <w:tcW w:w="3600" w:type="dxa"/>
            <w:shd w:val="clear" w:color="auto" w:fill="F4F6F9"/>
          </w:tcPr>
          <w:p w:rsidR="00BC05FF" w:rsidRDefault="009F339A">
            <w:pPr>
              <w:spacing w:before="80" w:after="80"/>
            </w:pPr>
            <w:r>
              <w:rPr>
                <w:sz w:val="20"/>
              </w:rPr>
              <w:t>Highly rigid architecture creates ultra-high natural frequency and rapid response.</w:t>
            </w:r>
          </w:p>
        </w:tc>
      </w:tr>
      <w:tr w:rsidR="00BC05FF">
        <w:trPr>
          <w:jc w:val="center"/>
        </w:trPr>
        <w:tc>
          <w:tcPr>
            <w:tcW w:w="2160" w:type="dxa"/>
            <w:shd w:val="clear" w:color="auto" w:fill="FFFFFF"/>
          </w:tcPr>
          <w:p w:rsidR="00BC05FF" w:rsidRDefault="009F339A">
            <w:pPr>
              <w:spacing w:before="80" w:after="80"/>
            </w:pPr>
            <w:r>
              <w:rPr>
                <w:sz w:val="20"/>
              </w:rPr>
              <w:t>Weak Plantar Fascia</w:t>
            </w:r>
          </w:p>
        </w:tc>
        <w:tc>
          <w:tcPr>
            <w:tcW w:w="1728" w:type="dxa"/>
            <w:shd w:val="clear" w:color="auto" w:fill="FFFFFF"/>
          </w:tcPr>
          <w:p w:rsidR="00BC05FF" w:rsidRDefault="009F339A">
            <w:pPr>
              <w:spacing w:before="80" w:after="80"/>
              <w:jc w:val="right"/>
            </w:pPr>
            <w:r>
              <w:rPr>
                <w:sz w:val="20"/>
              </w:rPr>
              <w:t>0.1850</w:t>
            </w:r>
          </w:p>
        </w:tc>
        <w:tc>
          <w:tcPr>
            <w:tcW w:w="1584" w:type="dxa"/>
            <w:shd w:val="clear" w:color="auto" w:fill="FFFFFF"/>
          </w:tcPr>
          <w:p w:rsidR="00BC05FF" w:rsidRDefault="009F339A">
            <w:pPr>
              <w:spacing w:before="80" w:after="80"/>
              <w:jc w:val="right"/>
            </w:pPr>
            <w:r>
              <w:rPr>
                <w:sz w:val="20"/>
              </w:rPr>
              <w:t>42.10</w:t>
            </w:r>
          </w:p>
        </w:tc>
        <w:tc>
          <w:tcPr>
            <w:tcW w:w="1728" w:type="dxa"/>
            <w:shd w:val="clear" w:color="auto" w:fill="FFFFFF"/>
          </w:tcPr>
          <w:p w:rsidR="00BC05FF" w:rsidRDefault="009F339A">
            <w:pPr>
              <w:spacing w:before="80" w:after="80"/>
              <w:jc w:val="right"/>
            </w:pPr>
            <w:r>
              <w:rPr>
                <w:sz w:val="20"/>
              </w:rPr>
              <w:t>92.40</w:t>
            </w:r>
          </w:p>
        </w:tc>
        <w:tc>
          <w:tcPr>
            <w:tcW w:w="3600" w:type="dxa"/>
            <w:shd w:val="clear" w:color="auto" w:fill="FFFFFF"/>
          </w:tcPr>
          <w:p w:rsidR="00BC05FF" w:rsidRDefault="009F339A">
            <w:pPr>
              <w:spacing w:before="80" w:after="80"/>
            </w:pPr>
            <w:r>
              <w:rPr>
                <w:sz w:val="20"/>
              </w:rPr>
              <w:t xml:space="preserve">Decreased structural </w:t>
            </w:r>
            <w:r>
              <w:rPr>
                <w:sz w:val="20"/>
              </w:rPr>
              <w:t>support results in an underdamped, slower settling response.</w:t>
            </w:r>
          </w:p>
        </w:tc>
      </w:tr>
      <w:tr w:rsidR="00BC05FF">
        <w:trPr>
          <w:jc w:val="center"/>
        </w:trPr>
        <w:tc>
          <w:tcPr>
            <w:tcW w:w="2160" w:type="dxa"/>
            <w:shd w:val="clear" w:color="auto" w:fill="F4F6F9"/>
          </w:tcPr>
          <w:p w:rsidR="00BC05FF" w:rsidRDefault="009F339A">
            <w:pPr>
              <w:spacing w:before="80" w:after="80"/>
            </w:pPr>
            <w:r>
              <w:rPr>
                <w:sz w:val="20"/>
              </w:rPr>
              <w:t>Ankle Instability</w:t>
            </w:r>
          </w:p>
        </w:tc>
        <w:tc>
          <w:tcPr>
            <w:tcW w:w="1728" w:type="dxa"/>
            <w:shd w:val="clear" w:color="auto" w:fill="F4F6F9"/>
          </w:tcPr>
          <w:p w:rsidR="00BC05FF" w:rsidRDefault="009F339A">
            <w:pPr>
              <w:spacing w:before="80" w:after="80"/>
              <w:jc w:val="right"/>
            </w:pPr>
            <w:r>
              <w:rPr>
                <w:sz w:val="20"/>
              </w:rPr>
              <w:t>0.2537</w:t>
            </w:r>
          </w:p>
        </w:tc>
        <w:tc>
          <w:tcPr>
            <w:tcW w:w="1584" w:type="dxa"/>
            <w:shd w:val="clear" w:color="auto" w:fill="F4F6F9"/>
          </w:tcPr>
          <w:p w:rsidR="00BC05FF" w:rsidRDefault="009F339A">
            <w:pPr>
              <w:spacing w:before="80" w:after="80"/>
              <w:jc w:val="right"/>
            </w:pPr>
            <w:r>
              <w:rPr>
                <w:sz w:val="20"/>
              </w:rPr>
              <w:t>51.02</w:t>
            </w:r>
          </w:p>
        </w:tc>
        <w:tc>
          <w:tcPr>
            <w:tcW w:w="1728" w:type="dxa"/>
            <w:shd w:val="clear" w:color="auto" w:fill="F4F6F9"/>
          </w:tcPr>
          <w:p w:rsidR="00BC05FF" w:rsidRDefault="009F339A">
            <w:pPr>
              <w:spacing w:before="80" w:after="80"/>
              <w:jc w:val="right"/>
            </w:pPr>
            <w:r>
              <w:rPr>
                <w:sz w:val="20"/>
              </w:rPr>
              <w:t>102.16</w:t>
            </w:r>
          </w:p>
        </w:tc>
        <w:tc>
          <w:tcPr>
            <w:tcW w:w="3600" w:type="dxa"/>
            <w:shd w:val="clear" w:color="auto" w:fill="F4F6F9"/>
          </w:tcPr>
          <w:p w:rsidR="00BC05FF" w:rsidRDefault="009F339A">
            <w:pPr>
              <w:spacing w:before="80" w:after="80"/>
            </w:pPr>
            <w:r>
              <w:rPr>
                <w:sz w:val="20"/>
              </w:rPr>
              <w:t xml:space="preserve">Severe loss of joint stiffness </w:t>
            </w:r>
            <w:r>
              <w:rPr>
                <w:sz w:val="20"/>
              </w:rPr>
              <w:lastRenderedPageBreak/>
              <w:t>and damping yields high overshoot and slow stabilization.</w:t>
            </w:r>
          </w:p>
        </w:tc>
      </w:tr>
      <w:tr w:rsidR="00BC05FF">
        <w:trPr>
          <w:jc w:val="center"/>
        </w:trPr>
        <w:tc>
          <w:tcPr>
            <w:tcW w:w="2160" w:type="dxa"/>
            <w:shd w:val="clear" w:color="auto" w:fill="FFFFFF"/>
          </w:tcPr>
          <w:p w:rsidR="00BC05FF" w:rsidRDefault="009F339A">
            <w:pPr>
              <w:spacing w:before="80" w:after="80"/>
            </w:pPr>
            <w:r>
              <w:rPr>
                <w:sz w:val="20"/>
              </w:rPr>
              <w:lastRenderedPageBreak/>
              <w:t>Athlete Foot</w:t>
            </w:r>
          </w:p>
        </w:tc>
        <w:tc>
          <w:tcPr>
            <w:tcW w:w="1728" w:type="dxa"/>
            <w:shd w:val="clear" w:color="auto" w:fill="FFFFFF"/>
          </w:tcPr>
          <w:p w:rsidR="00BC05FF" w:rsidRDefault="009F339A">
            <w:pPr>
              <w:spacing w:before="80" w:after="80"/>
              <w:jc w:val="right"/>
            </w:pPr>
            <w:r>
              <w:rPr>
                <w:sz w:val="20"/>
              </w:rPr>
              <w:t>0.0170</w:t>
            </w:r>
          </w:p>
        </w:tc>
        <w:tc>
          <w:tcPr>
            <w:tcW w:w="1584" w:type="dxa"/>
            <w:shd w:val="clear" w:color="auto" w:fill="FFFFFF"/>
          </w:tcPr>
          <w:p w:rsidR="00BC05FF" w:rsidRDefault="009F339A">
            <w:pPr>
              <w:spacing w:before="80" w:after="80"/>
              <w:jc w:val="right"/>
            </w:pPr>
            <w:r>
              <w:rPr>
                <w:sz w:val="20"/>
              </w:rPr>
              <w:t>36.82</w:t>
            </w:r>
          </w:p>
        </w:tc>
        <w:tc>
          <w:tcPr>
            <w:tcW w:w="1728" w:type="dxa"/>
            <w:shd w:val="clear" w:color="auto" w:fill="FFFFFF"/>
          </w:tcPr>
          <w:p w:rsidR="00BC05FF" w:rsidRDefault="009F339A">
            <w:pPr>
              <w:spacing w:before="80" w:after="80"/>
              <w:jc w:val="right"/>
            </w:pPr>
            <w:r>
              <w:rPr>
                <w:sz w:val="20"/>
              </w:rPr>
              <w:t>959.94</w:t>
            </w:r>
          </w:p>
        </w:tc>
        <w:tc>
          <w:tcPr>
            <w:tcW w:w="3600" w:type="dxa"/>
            <w:shd w:val="clear" w:color="auto" w:fill="FFFFFF"/>
          </w:tcPr>
          <w:p w:rsidR="00BC05FF" w:rsidRDefault="009F339A">
            <w:pPr>
              <w:spacing w:before="80" w:after="80"/>
            </w:pPr>
            <w:r>
              <w:rPr>
                <w:sz w:val="20"/>
              </w:rPr>
              <w:t xml:space="preserve">Enhanced muscular control and </w:t>
            </w:r>
            <w:r>
              <w:rPr>
                <w:sz w:val="20"/>
              </w:rPr>
              <w:t>high stiffness drive rapid settling with minimized overshoot.</w:t>
            </w:r>
          </w:p>
        </w:tc>
      </w:tr>
    </w:tbl>
    <w:p w:rsidR="00BC05FF" w:rsidRDefault="009F339A">
      <w:pPr>
        <w:spacing w:before="360" w:after="240"/>
      </w:pPr>
      <w:r>
        <w:rPr>
          <w:b/>
          <w:color w:val="1B365D"/>
          <w:sz w:val="32"/>
        </w:rPr>
        <w:t>CHAPTER 5: CONCLUSIONS AND LITERATURE VERIFICATION</w:t>
      </w:r>
    </w:p>
    <w:p w:rsidR="00BC05FF" w:rsidRDefault="009F339A">
      <w:pPr>
        <w:spacing w:before="240" w:after="120"/>
      </w:pPr>
      <w:r>
        <w:rPr>
          <w:b/>
          <w:color w:val="4A77A2"/>
          <w:sz w:val="26"/>
        </w:rPr>
        <w:t>5.1 Project Conclusions</w:t>
      </w:r>
    </w:p>
    <w:p w:rsidR="00BC05FF" w:rsidRDefault="009F339A">
      <w:pPr>
        <w:spacing w:after="120"/>
      </w:pPr>
      <w:r>
        <w:t>A four-degree-of-freedom mathematical model of the human foot was successfully developed and analyzed using state-spac</w:t>
      </w:r>
      <w:r>
        <w:t>e techniques. The healthy-foot model was found to be stable, controllable, and observable. Comparative analysis demonstrated the significant influence of biomechanical parameters on system dynamics. Corrective tuning of stiffness configurations ensures ful</w:t>
      </w:r>
      <w:r>
        <w:t>l alignment with the fundamental principles of control systems and structural mechanics.</w:t>
      </w:r>
    </w:p>
    <w:p w:rsidR="00BC05FF" w:rsidRDefault="009F339A">
      <w:pPr>
        <w:spacing w:before="240" w:after="120"/>
      </w:pPr>
      <w:r>
        <w:rPr>
          <w:b/>
          <w:color w:val="4A77A2"/>
          <w:sz w:val="26"/>
        </w:rPr>
        <w:t>5.2 Verification Literature References</w:t>
      </w:r>
    </w:p>
    <w:p w:rsidR="00BC05FF" w:rsidRDefault="009F339A">
      <w:pPr>
        <w:spacing w:after="120"/>
      </w:pPr>
      <w:r>
        <w:t>[1] D. A. Winter, Biomechanics and Motor Control of Human Movement, 4th ed. Hoboken, NJ, USA: John Wiley &amp; Sons, 2009.</w:t>
      </w:r>
    </w:p>
    <w:p w:rsidR="00BC05FF" w:rsidRDefault="009F339A">
      <w:pPr>
        <w:spacing w:after="120"/>
      </w:pPr>
      <w:r>
        <w:t>[2] H. A.</w:t>
      </w:r>
      <w:r>
        <w:t xml:space="preserve"> Jacob, “Forces acting in the forefoot during normal gait: A biomechanical model,” Gait &amp; Posture, vol. 14, no. 3, pp. 223–242, Dec. 2001.</w:t>
      </w:r>
    </w:p>
    <w:p w:rsidR="00BC05FF" w:rsidRDefault="009F339A">
      <w:pPr>
        <w:spacing w:after="120"/>
      </w:pPr>
      <w:r>
        <w:t>[3] P. R. Cavanagh and M. M. Rodgers, “The arch index: A useful measure from footprints,” Journal of Biomechanics, vo</w:t>
      </w:r>
      <w:r>
        <w:t>l. 20, no. 5, pp. 547–551, 1987.</w:t>
      </w:r>
    </w:p>
    <w:p w:rsidR="00BC05FF" w:rsidRDefault="009F339A">
      <w:pPr>
        <w:spacing w:after="120"/>
      </w:pPr>
      <w:r>
        <w:t>[4] T. C. Hsu, Y. S. Wang, J. H. Liu, and J. L. Tang, “Decreased thickness and stiffness of the heel pad in elderly subjects,” Archives of Physical Medicine and Rehabilitation, vol. 79, no. 11, pp. 1401–1404, Nov. 1998.</w:t>
      </w:r>
    </w:p>
    <w:p w:rsidR="00BC05FF" w:rsidRDefault="009F339A">
      <w:pPr>
        <w:spacing w:after="120"/>
      </w:pPr>
      <w:r>
        <w:t>[5]</w:t>
      </w:r>
      <w:r>
        <w:t xml:space="preserve"> J. Hamill, K. M. Knutzen, and T. R Derrick, Biomechanical Basis of Human Movement, 4th ed. Philadelphia, PA, USA: Wolters Kluwer, 2015.</w:t>
      </w:r>
    </w:p>
    <w:p w:rsidR="00BC05FF" w:rsidRDefault="009F339A">
      <w:pPr>
        <w:spacing w:after="120"/>
      </w:pPr>
      <w:r>
        <w:t>[6] J. Perry and J. M. Burnfield, Gait Analysis: Normal and Pathological Function, 2nd ed. Thorofare, NJ, USA: SLACK In</w:t>
      </w:r>
      <w:r>
        <w:t>corporated, 2010.</w:t>
      </w:r>
    </w:p>
    <w:p w:rsidR="00BC05FF" w:rsidRDefault="009F339A">
      <w:pPr>
        <w:spacing w:after="120"/>
      </w:pPr>
      <w:r>
        <w:t>[7] A. Gefen, “Plantar soft tissue loading under the medial metatarsals in the standing diabetic foot,” Medical Engineering &amp; Physics, vol. 25, no. 6, pp. 491–499, 2003.</w:t>
      </w:r>
    </w:p>
    <w:p w:rsidR="00BC05FF" w:rsidRDefault="009F339A">
      <w:pPr>
        <w:spacing w:after="120"/>
      </w:pPr>
      <w:r>
        <w:t xml:space="preserve">[8] S. J. Piazza, “Mechanics of the human foot and ankle,” in </w:t>
      </w:r>
      <w:r>
        <w:t>Standard Handbook of Biomedical Engineering and Design, 2nd ed., New York, NY, USA: McGraw-Hill, 2004.</w:t>
      </w:r>
    </w:p>
    <w:p w:rsidR="00BC05FF" w:rsidRDefault="009F339A">
      <w:pPr>
        <w:spacing w:after="120"/>
      </w:pPr>
      <w:r>
        <w:t xml:space="preserve">[9] A. Nester, “Lessons from dynamic cadaver and invasive bone pin studies: Do we know how the foot really moves during gait?” Journal of Foot and Ankle </w:t>
      </w:r>
      <w:r>
        <w:t>Research, vol. 2, no. 18, 2009.</w:t>
      </w:r>
    </w:p>
    <w:p w:rsidR="00BC05FF" w:rsidRDefault="009F339A">
      <w:pPr>
        <w:spacing w:after="120"/>
      </w:pPr>
      <w:r>
        <w:lastRenderedPageBreak/>
        <w:t>[10] S. Delp et al., “OpenSim: Open-source software to create and analyze dynamic simulations of movement,” IEEE Transactions on Biomedical Engineering, vol. 54, no. 11, pp. 1940–1950, Nov. 2007.</w:t>
      </w:r>
    </w:p>
    <w:sectPr w:rsidR="00BC05FF"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9F339A"/>
    <w:rsid w:val="00AA1D8D"/>
    <w:rsid w:val="00B47730"/>
    <w:rsid w:val="00BC05FF"/>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62FFB30C-4ABD-4DF8-A425-1E99D3FBFE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Arial" w:hAnsi="Arial"/>
      <w:color w:val="333333"/>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ABA8D27-AE6C-40A6-AAFC-CBA7092CD7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12</Pages>
  <Words>3385</Words>
  <Characters>19301</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22641</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MY PC</cp:lastModifiedBy>
  <cp:revision>2</cp:revision>
  <dcterms:created xsi:type="dcterms:W3CDTF">2013-12-23T23:15:00Z</dcterms:created>
  <dcterms:modified xsi:type="dcterms:W3CDTF">2026-07-04T06:49:00Z</dcterms:modified>
  <cp:category/>
</cp:coreProperties>
</file>