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jc w:val="right"/>
      </w:pPr>
      <w:r>
        <w:rPr>
          <w:rFonts w:hint="eastAsia"/>
        </w:rPr>
        <w:t>丰收宝盒</w:t>
      </w:r>
    </w:p>
    <w:p>
      <w:pPr>
        <w:pStyle w:val="30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用例实现规约：&lt;</w:t>
      </w:r>
      <w:r>
        <w:rPr>
          <w:rFonts w:hint="eastAsia" w:ascii="Arial" w:hAnsi="Arial"/>
          <w:lang w:val="en-US" w:eastAsia="zh-CN"/>
        </w:rPr>
        <w:t>用户</w:t>
      </w:r>
      <w:r>
        <w:rPr>
          <w:rFonts w:hint="eastAsia" w:ascii="Arial" w:hAnsi="Arial"/>
        </w:rPr>
        <w:t>订单管理&gt;</w:t>
      </w:r>
      <w:r>
        <w:rPr>
          <w:rFonts w:ascii="Arial" w:hAnsi="Arial"/>
        </w:rPr>
        <w:fldChar w:fldCharType="end"/>
      </w:r>
    </w:p>
    <w:p>
      <w:pPr>
        <w:pStyle w:val="30"/>
        <w:jc w:val="right"/>
      </w:pPr>
    </w:p>
    <w:p>
      <w:pPr>
        <w:pStyle w:val="30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/>
    <w:p/>
    <w:p>
      <w:pPr>
        <w:pStyle w:val="16"/>
      </w:pPr>
    </w:p>
    <w:p>
      <w:pPr>
        <w:pStyle w:val="16"/>
      </w:pPr>
    </w:p>
    <w:p>
      <w:pPr>
        <w:sectPr>
          <w:headerReference r:id="rId5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30"/>
      </w:pPr>
      <w:r>
        <w:rPr>
          <w:rFonts w:hint="eastAsia"/>
        </w:rPr>
        <w:t>修订历史记录</w:t>
      </w:r>
    </w:p>
    <w:tbl>
      <w:tblPr>
        <w:tblStyle w:val="31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8/9/2024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第一次修正，初始设计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侯杰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</w:tr>
    </w:tbl>
    <w:p/>
    <w:p>
      <w:pPr>
        <w:pStyle w:val="30"/>
      </w:pPr>
      <w:r>
        <w:br w:type="page"/>
      </w:r>
      <w:r>
        <w:rPr>
          <w:rFonts w:hint="eastAsia"/>
        </w:rPr>
        <w:t>目录</w:t>
      </w:r>
    </w:p>
    <w:p>
      <w:pPr>
        <w:pStyle w:val="23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用例名称</w:t>
      </w:r>
      <w:r>
        <w:tab/>
      </w:r>
      <w:r>
        <w:fldChar w:fldCharType="begin"/>
      </w:r>
      <w:r>
        <w:instrText xml:space="preserve"> PAGEREF _Toc32017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简要说明</w:t>
      </w:r>
      <w:r>
        <w:tab/>
      </w:r>
      <w:r>
        <w:fldChar w:fldCharType="begin"/>
      </w:r>
      <w:r>
        <w:instrText xml:space="preserve"> PAGEREF _Toc8136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事件流</w:t>
      </w:r>
      <w:r>
        <w:tab/>
      </w:r>
      <w:r>
        <w:fldChar w:fldCharType="begin"/>
      </w:r>
      <w:r>
        <w:instrText xml:space="preserve"> PAGEREF _Toc30544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基本流</w:t>
      </w:r>
      <w:r>
        <w:tab/>
      </w:r>
      <w:r>
        <w:fldChar w:fldCharType="begin"/>
      </w:r>
      <w:r>
        <w:instrText xml:space="preserve"> PAGEREF _Toc27041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备选流</w:t>
      </w:r>
      <w:r>
        <w:tab/>
      </w:r>
      <w:r>
        <w:fldChar w:fldCharType="begin"/>
      </w:r>
      <w:r>
        <w:instrText xml:space="preserve"> PAGEREF _Toc16420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2.2.1 &lt;</w:t>
      </w:r>
      <w:r>
        <w:rPr>
          <w:rFonts w:hint="eastAsia"/>
        </w:rPr>
        <w:t>第一备选流</w:t>
      </w:r>
      <w:r>
        <w:t>&gt;</w:t>
      </w:r>
      <w:r>
        <w:tab/>
      </w:r>
      <w:r>
        <w:fldChar w:fldCharType="begin"/>
      </w:r>
      <w:r>
        <w:instrText xml:space="preserve"> PAGEREF _Toc11174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2.2.2 &lt;</w:t>
      </w:r>
      <w:r>
        <w:rPr>
          <w:rFonts w:hint="eastAsia"/>
        </w:rPr>
        <w:t>第二备选流</w:t>
      </w:r>
      <w:r>
        <w:t>&gt;</w:t>
      </w:r>
      <w:r>
        <w:tab/>
      </w:r>
      <w:r>
        <w:fldChar w:fldCharType="begin"/>
      </w:r>
      <w:r>
        <w:instrText xml:space="preserve"> PAGEREF _Toc30129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2.2.3 &lt;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备选流</w:t>
      </w:r>
      <w:r>
        <w:t>&gt;</w:t>
      </w:r>
      <w:r>
        <w:tab/>
      </w:r>
      <w:r>
        <w:fldChar w:fldCharType="begin"/>
      </w:r>
      <w:r>
        <w:instrText xml:space="preserve"> PAGEREF _Toc9423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2.2.4 &lt;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备选流</w:t>
      </w:r>
      <w:r>
        <w:t>&gt;</w:t>
      </w:r>
      <w:r>
        <w:tab/>
      </w:r>
      <w:r>
        <w:fldChar w:fldCharType="begin"/>
      </w:r>
      <w:r>
        <w:instrText xml:space="preserve"> PAGEREF _Toc5861 \h </w:instrText>
      </w:r>
      <w:r>
        <w:fldChar w:fldCharType="separate"/>
      </w:r>
      <w:r>
        <w:t>5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_Toc3268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3.1 &lt;</w:t>
      </w:r>
      <w:r>
        <w:rPr>
          <w:rFonts w:hint="eastAsia"/>
        </w:rPr>
        <w:t>第一特殊需求</w:t>
      </w:r>
      <w:r>
        <w:t>&gt;</w:t>
      </w:r>
      <w:r>
        <w:tab/>
      </w:r>
      <w:r>
        <w:fldChar w:fldCharType="begin"/>
      </w:r>
      <w:r>
        <w:instrText xml:space="preserve"> PAGEREF _Toc10102 \h </w:instrText>
      </w:r>
      <w:r>
        <w:fldChar w:fldCharType="separate"/>
      </w:r>
      <w:r>
        <w:t>5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_Toc100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4.1 &lt;</w:t>
      </w:r>
      <w:r>
        <w:rPr>
          <w:rFonts w:hint="eastAsia"/>
        </w:rPr>
        <w:t>前置条件一</w:t>
      </w:r>
      <w:r>
        <w:t>&gt;</w:t>
      </w:r>
      <w:r>
        <w:tab/>
      </w:r>
      <w:r>
        <w:fldChar w:fldCharType="begin"/>
      </w:r>
      <w:r>
        <w:instrText xml:space="preserve"> PAGEREF _Toc24766 \h </w:instrText>
      </w:r>
      <w:r>
        <w:fldChar w:fldCharType="separate"/>
      </w:r>
      <w:r>
        <w:t>5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_Toc2992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5.1 &lt;</w:t>
      </w:r>
      <w:r>
        <w:rPr>
          <w:rFonts w:hint="eastAsia"/>
        </w:rPr>
        <w:t>后置条件一</w:t>
      </w:r>
      <w:r>
        <w:t>&gt;</w:t>
      </w:r>
      <w:r>
        <w:tab/>
      </w:r>
      <w:r>
        <w:fldChar w:fldCharType="begin"/>
      </w:r>
      <w:r>
        <w:instrText xml:space="preserve"> PAGEREF _Toc16005 \h </w:instrText>
      </w:r>
      <w:r>
        <w:fldChar w:fldCharType="separate"/>
      </w:r>
      <w:r>
        <w:t>5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扩展点</w:t>
      </w:r>
      <w:r>
        <w:tab/>
      </w:r>
      <w:r>
        <w:fldChar w:fldCharType="begin"/>
      </w:r>
      <w:r>
        <w:instrText xml:space="preserve"> PAGEREF _Toc1018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6.1 &lt;</w:t>
      </w:r>
      <w:r>
        <w:rPr>
          <w:rFonts w:hint="eastAsia"/>
        </w:rPr>
        <w:t>扩展点名称</w:t>
      </w:r>
      <w:r>
        <w:t>&gt;</w:t>
      </w:r>
      <w:r>
        <w:tab/>
      </w:r>
      <w:r>
        <w:fldChar w:fldCharType="begin"/>
      </w:r>
      <w:r>
        <w:instrText xml:space="preserve"> PAGEREF _Toc28401 \h </w:instrText>
      </w:r>
      <w:r>
        <w:fldChar w:fldCharType="separate"/>
      </w:r>
      <w:r>
        <w:t>5</w:t>
      </w:r>
      <w:r>
        <w:fldChar w:fldCharType="end"/>
      </w:r>
    </w:p>
    <w:p>
      <w:pPr>
        <w:pStyle w:val="30"/>
        <w:rPr>
          <w:rFonts w:ascii="Arial" w:hAnsi="Arial"/>
        </w:rPr>
      </w:pPr>
      <w:r>
        <w:rPr>
          <w:rFonts w:ascii="Times New Roman"/>
        </w:rPr>
        <w:fldChar w:fldCharType="end"/>
      </w:r>
      <w:bookmarkStart w:id="17" w:name="_GoBack"/>
      <w:bookmarkEnd w:id="17"/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用例实现规约：&lt;</w:t>
      </w:r>
      <w:r>
        <w:rPr>
          <w:rFonts w:hint="eastAsia" w:ascii="Arial" w:hAnsi="Arial"/>
          <w:lang w:val="en-US" w:eastAsia="zh-CN"/>
        </w:rPr>
        <w:t>用户</w:t>
      </w:r>
      <w:r>
        <w:rPr>
          <w:rFonts w:hint="eastAsia" w:ascii="Arial" w:hAnsi="Arial"/>
        </w:rPr>
        <w:t>订单管理&gt;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46"/>
      </w:pPr>
    </w:p>
    <w:p>
      <w:pPr>
        <w:pStyle w:val="2"/>
        <w:ind w:left="720" w:hanging="720"/>
      </w:pPr>
      <w:bookmarkStart w:id="0" w:name="_Toc32017"/>
      <w:r>
        <w:rPr>
          <w:rFonts w:hint="eastAsia"/>
        </w:rPr>
        <w:t>用例名称</w:t>
      </w:r>
      <w:bookmarkEnd w:id="0"/>
    </w:p>
    <w:p>
      <w:pPr>
        <w:pStyle w:val="3"/>
        <w:ind w:left="720" w:hanging="720"/>
      </w:pPr>
      <w:bookmarkStart w:id="1" w:name="_Toc8136"/>
      <w:r>
        <w:rPr>
          <w:rFonts w:hint="eastAsia"/>
        </w:rPr>
        <w:t>简要说明</w:t>
      </w:r>
      <w:bookmarkEnd w:id="1"/>
    </w:p>
    <w:p>
      <w:pPr>
        <w:ind w:firstLine="720" w:firstLineChars="0"/>
      </w:pPr>
      <w:r>
        <w:rPr>
          <w:rFonts w:hint="eastAsia"/>
        </w:rPr>
        <w:t>用户可以查看订单详情、删除订单、进行付款操作，或选择再次购买</w:t>
      </w:r>
      <w:r>
        <w:t>。</w:t>
      </w:r>
    </w:p>
    <w:p>
      <w:pPr>
        <w:pStyle w:val="2"/>
        <w:widowControl/>
        <w:ind w:left="720" w:hanging="720"/>
      </w:pPr>
      <w:bookmarkStart w:id="2" w:name="_Toc30544"/>
      <w:r>
        <w:rPr>
          <w:rFonts w:hint="eastAsia"/>
        </w:rPr>
        <w:t>事件流</w:t>
      </w:r>
      <w:bookmarkEnd w:id="2"/>
    </w:p>
    <w:p>
      <w:pPr>
        <w:pStyle w:val="3"/>
        <w:widowControl/>
        <w:ind w:left="720" w:hanging="720"/>
      </w:pPr>
      <w:bookmarkStart w:id="3" w:name="_Toc27041"/>
      <w:r>
        <w:rPr>
          <w:rFonts w:hint="eastAsia"/>
        </w:rPr>
        <w:t>基本流</w:t>
      </w:r>
      <w:bookmarkEnd w:id="3"/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用户登录系统并进入“我的订单”页面。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用户选择查看某个订单的详细信息。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系统展示订单详情，包括商品信息、订单状态、配送地址、付款方式等。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用户在订单详情页面可以选择：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删除订单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进行付款操作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再次购买该订单中的商品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系统根据用户的操作反馈相应结果：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删除订单时，系统确认订单状态是否允许删除，并提示操作成功或失败。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进行付款时，系统引导用户进入支付页面，完成支付操作。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/>
        </w:rPr>
      </w:pPr>
      <w:r>
        <w:t>用户选择“再购买”后，系统将该订单中的商品重新添加到购物车，用户可再次进行结算</w:t>
      </w:r>
    </w:p>
    <w:p>
      <w:pPr>
        <w:pStyle w:val="3"/>
        <w:widowControl/>
        <w:ind w:left="720" w:hanging="720"/>
      </w:pPr>
      <w:bookmarkStart w:id="4" w:name="_Toc16420"/>
      <w:r>
        <w:rPr>
          <w:rFonts w:hint="eastAsia"/>
        </w:rPr>
        <w:t>备选流</w:t>
      </w:r>
      <w:bookmarkEnd w:id="4"/>
    </w:p>
    <w:p>
      <w:pPr>
        <w:pStyle w:val="4"/>
        <w:widowControl/>
        <w:ind w:left="720" w:hanging="720"/>
      </w:pPr>
      <w:bookmarkStart w:id="5" w:name="_Toc11174"/>
      <w:r>
        <w:t>&lt;</w:t>
      </w:r>
      <w:r>
        <w:rPr>
          <w:rFonts w:hint="eastAsia"/>
        </w:rPr>
        <w:t>第一备选流</w:t>
      </w:r>
      <w:r>
        <w:t>&gt;</w:t>
      </w:r>
      <w:bookmarkEnd w:id="5"/>
    </w:p>
    <w:p>
      <w:pPr>
        <w:pStyle w:val="6"/>
        <w:numPr>
          <w:ilvl w:val="4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订单已取消</w:t>
      </w:r>
    </w:p>
    <w:p>
      <w:pPr>
        <w:pStyle w:val="14"/>
        <w:rPr>
          <w:rFonts w:hint="eastAsia"/>
        </w:rPr>
      </w:pPr>
      <w:r>
        <w:rPr>
          <w:rFonts w:hint="eastAsia"/>
        </w:rPr>
        <w:t>用户尝试查看或操作已取消的订单。</w:t>
      </w:r>
    </w:p>
    <w:p>
      <w:pPr>
        <w:pStyle w:val="14"/>
      </w:pPr>
      <w:r>
        <w:rPr>
          <w:rFonts w:hint="eastAsia"/>
        </w:rPr>
        <w:t>系统提示“订单已取消，无法执行该操作”，用户需返回订单列表页面</w:t>
      </w:r>
      <w:r>
        <w:t>。</w:t>
      </w:r>
    </w:p>
    <w:p/>
    <w:p/>
    <w:p>
      <w:pPr>
        <w:pStyle w:val="4"/>
        <w:widowControl/>
        <w:ind w:left="720" w:hanging="720"/>
      </w:pPr>
      <w:bookmarkStart w:id="6" w:name="_Toc30129"/>
      <w:r>
        <w:t>&lt;</w:t>
      </w:r>
      <w:r>
        <w:rPr>
          <w:rFonts w:hint="eastAsia"/>
        </w:rPr>
        <w:t>第二备选流</w:t>
      </w:r>
      <w:r>
        <w:t>&gt;</w:t>
      </w:r>
      <w:bookmarkEnd w:id="6"/>
    </w:p>
    <w:p>
      <w:pPr>
        <w:pStyle w:val="6"/>
        <w:numPr>
          <w:ilvl w:val="4"/>
          <w:numId w:val="0"/>
        </w:numPr>
      </w:pPr>
      <w:r>
        <w:rPr>
          <w:rFonts w:hint="eastAsia"/>
        </w:rPr>
        <w:t>无法删除已完成订单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用户尝试删除已完成的订单。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系统提示“已完成订单不可删除”，删除操作失败。</w:t>
      </w:r>
    </w:p>
    <w:p>
      <w:pPr>
        <w:pStyle w:val="4"/>
        <w:widowControl/>
        <w:ind w:left="720" w:hanging="720"/>
      </w:pPr>
      <w:bookmarkStart w:id="7" w:name="_Toc9423"/>
      <w:r>
        <w:t>&lt;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备选流</w:t>
      </w:r>
      <w:r>
        <w:t>&gt;</w:t>
      </w:r>
      <w:bookmarkEnd w:id="7"/>
    </w:p>
    <w:p>
      <w:pPr>
        <w:pStyle w:val="6"/>
        <w:numPr>
          <w:ilvl w:val="4"/>
          <w:numId w:val="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付款失败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用户进行付款操作时，支付平台返回失败信息（如余额不足或网络错误）。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系统提示“付款失败，请稍后重试”，并允许用户重新发起支付。</w:t>
      </w:r>
    </w:p>
    <w:p>
      <w:pPr>
        <w:pStyle w:val="4"/>
        <w:widowControl/>
        <w:ind w:left="720" w:hanging="720"/>
      </w:pPr>
      <w:bookmarkStart w:id="8" w:name="_Toc5861"/>
      <w:r>
        <w:t>&lt;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备选流</w:t>
      </w:r>
      <w:r>
        <w:t>&gt;</w:t>
      </w:r>
      <w:bookmarkEnd w:id="8"/>
    </w:p>
    <w:p>
      <w:pPr>
        <w:pStyle w:val="6"/>
        <w:numPr>
          <w:ilvl w:val="4"/>
          <w:numId w:val="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商品库存不足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用户选择“再购买”时，某商品的库存不足。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系统提示“部分商品库存不足，无法加入购物车”，用户可选择其他商品或等待库存补充。</w:t>
      </w:r>
    </w:p>
    <w:p/>
    <w:p>
      <w:pPr>
        <w:pStyle w:val="2"/>
        <w:ind w:left="720" w:hanging="720"/>
      </w:pPr>
      <w:bookmarkStart w:id="9" w:name="_Toc3268"/>
      <w:r>
        <w:rPr>
          <w:rFonts w:hint="eastAsia"/>
        </w:rPr>
        <w:t>特殊需求</w:t>
      </w:r>
      <w:bookmarkEnd w:id="9"/>
    </w:p>
    <w:p>
      <w:pPr>
        <w:pStyle w:val="3"/>
        <w:widowControl/>
        <w:ind w:left="720" w:hanging="720"/>
      </w:pPr>
      <w:bookmarkStart w:id="10" w:name="_Toc10102"/>
      <w:r>
        <w:t>&lt;</w:t>
      </w:r>
      <w:r>
        <w:rPr>
          <w:rFonts w:hint="eastAsia"/>
        </w:rPr>
        <w:t>第一特殊需求</w:t>
      </w:r>
      <w:r>
        <w:t>&gt;</w:t>
      </w:r>
      <w:bookmarkEnd w:id="10"/>
    </w:p>
    <w:p>
      <w:pPr>
        <w:rPr>
          <w:rFonts w:hint="eastAsia"/>
        </w:rPr>
      </w:pPr>
      <w:r>
        <w:rPr>
          <w:rFonts w:hint="eastAsia"/>
        </w:rPr>
        <w:t>订单详情需实时同步，包括订单状态、商品信息等。</w:t>
      </w:r>
    </w:p>
    <w:p>
      <w:pPr>
        <w:ind w:firstLine="200" w:firstLineChars="100"/>
        <w:rPr>
          <w:rFonts w:hint="eastAsia"/>
        </w:rPr>
      </w:pPr>
      <w:r>
        <w:rPr>
          <w:rFonts w:hint="eastAsia"/>
        </w:rPr>
        <w:t>系统需确保删除订单时不会影响正在进行的订单。</w:t>
      </w:r>
    </w:p>
    <w:p>
      <w:pPr>
        <w:ind w:firstLine="200" w:firstLineChars="100"/>
      </w:pPr>
      <w:r>
        <w:rPr>
          <w:rFonts w:hint="eastAsia"/>
        </w:rPr>
        <w:t>支付操作需与支付平台实时交互，确保安全性和准确性。</w:t>
      </w:r>
    </w:p>
    <w:p>
      <w:pPr>
        <w:pStyle w:val="2"/>
        <w:widowControl/>
        <w:ind w:left="720" w:hanging="720"/>
      </w:pPr>
      <w:bookmarkStart w:id="11" w:name="_Toc100"/>
      <w:r>
        <w:rPr>
          <w:rFonts w:hint="eastAsia"/>
        </w:rPr>
        <w:t>前置条件</w:t>
      </w:r>
      <w:bookmarkEnd w:id="11"/>
    </w:p>
    <w:p>
      <w:pPr>
        <w:pStyle w:val="3"/>
        <w:widowControl/>
        <w:ind w:left="720" w:hanging="720"/>
      </w:pPr>
      <w:bookmarkStart w:id="12" w:name="_Toc24766"/>
      <w:r>
        <w:t>&lt;</w:t>
      </w:r>
      <w:r>
        <w:rPr>
          <w:rFonts w:hint="eastAsia"/>
        </w:rPr>
        <w:t>前置条件一</w:t>
      </w:r>
      <w:r>
        <w:t>&gt;</w:t>
      </w:r>
      <w:bookmarkEnd w:id="12"/>
    </w:p>
    <w:p>
      <w:pPr>
        <w:rPr>
          <w:rFonts w:hint="eastAsia"/>
        </w:rPr>
      </w:pPr>
      <w:r>
        <w:rPr>
          <w:rFonts w:hint="eastAsia"/>
        </w:rPr>
        <w:t>用户已登录并有历史订单记录。</w:t>
      </w:r>
    </w:p>
    <w:p>
      <w:pPr>
        <w:ind w:firstLine="200" w:firstLineChars="100"/>
      </w:pPr>
      <w:r>
        <w:rPr>
          <w:rFonts w:hint="eastAsia"/>
        </w:rPr>
        <w:t>订单需存在且处于可操作状态（如未被取消、未完成）。</w:t>
      </w:r>
    </w:p>
    <w:p>
      <w:pPr>
        <w:pStyle w:val="2"/>
        <w:widowControl/>
        <w:ind w:left="720" w:hanging="720"/>
      </w:pPr>
      <w:bookmarkStart w:id="13" w:name="_Toc2992"/>
      <w:r>
        <w:rPr>
          <w:rFonts w:hint="eastAsia"/>
        </w:rPr>
        <w:t>后置条件</w:t>
      </w:r>
      <w:bookmarkEnd w:id="13"/>
    </w:p>
    <w:p>
      <w:pPr>
        <w:pStyle w:val="3"/>
        <w:widowControl/>
        <w:ind w:left="720" w:hanging="720"/>
      </w:pPr>
      <w:bookmarkStart w:id="14" w:name="_Toc16005"/>
      <w:r>
        <w:t>&lt;</w:t>
      </w:r>
      <w:r>
        <w:rPr>
          <w:rFonts w:hint="eastAsia"/>
        </w:rPr>
        <w:t>后置条件一</w:t>
      </w:r>
      <w:r>
        <w:t>&gt;</w:t>
      </w:r>
      <w:bookmarkEnd w:id="14"/>
    </w:p>
    <w:p>
      <w:r>
        <w:rPr>
          <w:rFonts w:hint="eastAsia"/>
        </w:rPr>
        <w:t>订单状态更新，订单信息（如删除或再次购买）被成功处理。</w:t>
      </w:r>
    </w:p>
    <w:p>
      <w:pPr>
        <w:pStyle w:val="2"/>
        <w:ind w:left="720" w:hanging="720"/>
      </w:pPr>
      <w:bookmarkStart w:id="15" w:name="_Toc1018"/>
      <w:r>
        <w:rPr>
          <w:rFonts w:hint="eastAsia"/>
        </w:rPr>
        <w:t>扩展点</w:t>
      </w:r>
      <w:bookmarkEnd w:id="15"/>
    </w:p>
    <w:p>
      <w:pPr>
        <w:pStyle w:val="3"/>
        <w:ind w:left="720" w:hanging="720"/>
      </w:pPr>
      <w:bookmarkStart w:id="16" w:name="_Toc28401"/>
      <w:r>
        <w:t>&lt;</w:t>
      </w:r>
      <w:r>
        <w:rPr>
          <w:rFonts w:hint="eastAsia"/>
        </w:rPr>
        <w:t>扩展点名称</w:t>
      </w:r>
      <w:r>
        <w:t>&gt;</w:t>
      </w:r>
      <w:bookmarkEnd w:id="16"/>
    </w:p>
    <w:p>
      <w:pPr>
        <w:rPr>
          <w:rFonts w:hint="eastAsia"/>
        </w:rPr>
      </w:pPr>
      <w:r>
        <w:rPr>
          <w:rFonts w:hint="eastAsia"/>
        </w:rPr>
        <w:t>支付流程的扩展点，如与第三方支付平台的集成。</w:t>
      </w:r>
    </w:p>
    <w:p>
      <w:pPr>
        <w:ind w:firstLine="200" w:firstLineChars="100"/>
      </w:pPr>
      <w:r>
        <w:rPr>
          <w:rFonts w:hint="eastAsia"/>
        </w:rPr>
        <w:t>再次购买时的库存校验。</w:t>
      </w:r>
    </w:p>
    <w:p>
      <w:pPr>
        <w:pStyle w:val="46"/>
      </w:pPr>
    </w:p>
    <w:sectPr>
      <w:headerReference r:id="rId6" w:type="default"/>
      <w:footerReference r:id="rId7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int="eastAsia" w:ascii="Times New Roman"/>
            </w:rPr>
            <w:t>二十岁离异带五娃</w:t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3"/>
            </w:rPr>
            <w:fldChar w:fldCharType="begin"/>
          </w:r>
          <w:r>
            <w:rPr>
              <w:rStyle w:val="33"/>
            </w:rPr>
            <w:instrText xml:space="preserve">page </w:instrText>
          </w:r>
          <w:r>
            <w:rPr>
              <w:rStyle w:val="33"/>
            </w:rPr>
            <w:fldChar w:fldCharType="separate"/>
          </w:r>
          <w:r>
            <w:rPr>
              <w:rStyle w:val="33"/>
            </w:rPr>
            <w:t>4</w:t>
          </w:r>
          <w:r>
            <w:rPr>
              <w:rStyle w:val="33"/>
            </w:rPr>
            <w:fldChar w:fldCharType="end"/>
          </w:r>
        </w:p>
      </w:tc>
    </w:tr>
  </w:tbl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hint="eastAsia"/>
        <w:sz w:val="24"/>
      </w:rPr>
    </w:pPr>
    <w:r>
      <w:rPr>
        <w:rFonts w:hint="eastAsia" w:ascii="Arial" w:hAnsi="Arial"/>
        <w:b/>
        <w:sz w:val="36"/>
      </w:rPr>
      <w:t>二十岁离异带五娃</w:t>
    </w:r>
  </w:p>
  <w:p>
    <w:pPr>
      <w:pStyle w:val="22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  <w:noWrap w:val="0"/>
          <w:vAlign w:val="top"/>
        </w:tcPr>
        <w:p>
          <w:r>
            <w:rPr>
              <w:rFonts w:hint="eastAsia" w:ascii="Times New Roman"/>
            </w:rPr>
            <w:t>丰收宝盒</w:t>
          </w:r>
        </w:p>
      </w:tc>
      <w:tc>
        <w:tcPr>
          <w:tcW w:w="3179" w:type="dxa"/>
          <w:noWrap w:val="0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用例实现规约：</w:t>
          </w:r>
          <w:r>
            <w:rPr>
              <w:rFonts w:hint="eastAsia" w:ascii="Arial" w:hAnsi="Arial"/>
              <w:lang w:val="en-US" w:eastAsia="zh-CN"/>
            </w:rPr>
            <w:t>用户</w:t>
          </w:r>
          <w:r>
            <w:rPr>
              <w:rFonts w:hint="eastAsia" w:ascii="Arial" w:hAnsi="Arial"/>
            </w:rPr>
            <w:t>订单管</w:t>
          </w:r>
          <w:r>
            <w:rPr>
              <w:rFonts w:hint="eastAsia" w:ascii="Times New Roman"/>
            </w:rPr>
            <w:t>理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8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9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2024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noWrap w:val="0"/>
          <w:vAlign w:val="top"/>
        </w:tcPr>
        <w:p>
          <w:r>
            <w:t>&lt;document identifier&gt;</w:t>
          </w:r>
        </w:p>
      </w:tc>
    </w:tr>
  </w:tbl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23CD09"/>
    <w:multiLevelType w:val="multilevel"/>
    <w:tmpl w:val="B023CD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94AF87"/>
    <w:multiLevelType w:val="multilevel"/>
    <w:tmpl w:val="BF94AF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A52EBAE"/>
    <w:multiLevelType w:val="singleLevel"/>
    <w:tmpl w:val="CA52EBAE"/>
    <w:lvl w:ilvl="0" w:tentative="0">
      <w:start w:val="1"/>
      <w:numFmt w:val="decimal"/>
      <w:pStyle w:val="1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3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4">
    <w:nsid w:val="1E142321"/>
    <w:multiLevelType w:val="singleLevel"/>
    <w:tmpl w:val="1E142321"/>
    <w:lvl w:ilvl="0" w:tentative="0">
      <w:start w:val="1"/>
      <w:numFmt w:val="bullet"/>
      <w:pStyle w:val="1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ExpandShiftReturn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NjA2MzFhYzFkYTMwNDQwZTI3NWE3YTk1MzI0MWIifQ=="/>
  </w:docVars>
  <w:rsids>
    <w:rsidRoot w:val="6AE13362"/>
    <w:rsid w:val="002959A7"/>
    <w:rsid w:val="002F093E"/>
    <w:rsid w:val="0039786C"/>
    <w:rsid w:val="00464C7F"/>
    <w:rsid w:val="00573976"/>
    <w:rsid w:val="0062685B"/>
    <w:rsid w:val="007E1A93"/>
    <w:rsid w:val="00A1714C"/>
    <w:rsid w:val="00ED767A"/>
    <w:rsid w:val="07263E24"/>
    <w:rsid w:val="13316E84"/>
    <w:rsid w:val="240B6CE8"/>
    <w:rsid w:val="405249B1"/>
    <w:rsid w:val="429507BF"/>
    <w:rsid w:val="5A545B2C"/>
    <w:rsid w:val="62025FFE"/>
    <w:rsid w:val="6AC57396"/>
    <w:rsid w:val="6AE13362"/>
    <w:rsid w:val="79E615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qFormat="1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semiHidden/>
    <w:qFormat/>
    <w:uiPriority w:val="0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List Number"/>
    <w:basedOn w:val="1"/>
    <w:semiHidden/>
    <w:unhideWhenUsed/>
    <w:qFormat/>
    <w:uiPriority w:val="99"/>
    <w:pPr>
      <w:numPr>
        <w:ilvl w:val="0"/>
        <w:numId w:val="2"/>
      </w:numPr>
      <w:tabs>
        <w:tab w:val="left" w:pos="360"/>
        <w:tab w:val="clear" w:pos="780"/>
      </w:tabs>
    </w:pPr>
  </w:style>
  <w:style w:type="paragraph" w:styleId="13">
    <w:name w:val="Normal Indent"/>
    <w:basedOn w:val="1"/>
    <w:semiHidden/>
    <w:qFormat/>
    <w:uiPriority w:val="0"/>
    <w:pPr>
      <w:ind w:left="900" w:hanging="900"/>
    </w:pPr>
  </w:style>
  <w:style w:type="paragraph" w:styleId="14">
    <w:name w:val="List Bullet"/>
    <w:basedOn w:val="1"/>
    <w:semiHidden/>
    <w:unhideWhenUsed/>
    <w:qFormat/>
    <w:uiPriority w:val="99"/>
    <w:pPr>
      <w:numPr>
        <w:ilvl w:val="0"/>
        <w:numId w:val="3"/>
      </w:numPr>
    </w:p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17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</w:style>
  <w:style w:type="paragraph" w:styleId="19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20">
    <w:name w:val="toc 8"/>
    <w:basedOn w:val="1"/>
    <w:next w:val="1"/>
    <w:semiHidden/>
    <w:qFormat/>
    <w:uiPriority w:val="0"/>
    <w:pPr>
      <w:ind w:left="1400"/>
    </w:pPr>
  </w:style>
  <w:style w:type="paragraph" w:styleId="21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2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3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24">
    <w:name w:val="toc 4"/>
    <w:basedOn w:val="1"/>
    <w:next w:val="1"/>
    <w:semiHidden/>
    <w:qFormat/>
    <w:uiPriority w:val="0"/>
    <w:pPr>
      <w:ind w:left="600"/>
    </w:pPr>
  </w:style>
  <w:style w:type="paragraph" w:styleId="25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7">
    <w:name w:val="toc 6"/>
    <w:basedOn w:val="1"/>
    <w:next w:val="1"/>
    <w:semiHidden/>
    <w:qFormat/>
    <w:uiPriority w:val="0"/>
    <w:pPr>
      <w:ind w:left="1000"/>
    </w:pPr>
  </w:style>
  <w:style w:type="paragraph" w:styleId="28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29">
    <w:name w:val="toc 9"/>
    <w:basedOn w:val="1"/>
    <w:next w:val="1"/>
    <w:semiHidden/>
    <w:qFormat/>
    <w:uiPriority w:val="0"/>
    <w:pPr>
      <w:ind w:left="1600"/>
    </w:pPr>
  </w:style>
  <w:style w:type="paragraph" w:styleId="3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3">
    <w:name w:val="page number"/>
    <w:basedOn w:val="32"/>
    <w:semiHidden/>
    <w:qFormat/>
    <w:uiPriority w:val="0"/>
  </w:style>
  <w:style w:type="character" w:styleId="34">
    <w:name w:val="Hyperlink"/>
    <w:semiHidden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38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41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6">
    <w:name w:val="InfoBlue"/>
    <w:basedOn w:val="1"/>
    <w:next w:val="16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paragraph" w:customStyle="1" w:styleId="47">
    <w:name w:val="Normal (Web)"/>
    <w:basedOn w:val="1"/>
    <w:qFormat/>
    <w:uiPriority w:val="0"/>
    <w:pPr>
      <w:widowControl/>
      <w:spacing w:before="100" w:after="100" w:line="240" w:lineRule="auto"/>
    </w:pPr>
    <w:rPr>
      <w:sz w:val="24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26700;&#38754;\&#26032;&#24314;&#25991;&#20214;&#22841;%20(2)\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模板.dot</Template>
  <Pages>4</Pages>
  <Words>250</Words>
  <Characters>291</Characters>
  <Lines>6</Lines>
  <Paragraphs>1</Paragraphs>
  <TotalTime>0</TotalTime>
  <ScaleCrop>false</ScaleCrop>
  <LinksUpToDate>false</LinksUpToDate>
  <CharactersWithSpaces>323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2024-09-08T06:08:00Z</dcterms:created>
  <dc:creator>吴卓宇</dc:creator>
  <cp:lastModifiedBy>吴卓宇</cp:lastModifiedBy>
  <dcterms:modified xsi:type="dcterms:W3CDTF">2024-09-08T07:41:59Z</dcterms:modified>
  <dc:subject>&lt;项目名称&gt;</dc:subject>
  <dc:title>用例实现规约：&lt;用例名称&gt;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2EA0F2D26D6548F29A49564AB7906F16_11</vt:lpwstr>
  </property>
  <property fmtid="{D5CDD505-2E9C-101B-9397-08002B2CF9AE}" pid="3" name="KSOProductBuildVer">
    <vt:lpwstr>2052-12.1.0.15358</vt:lpwstr>
  </property>
</Properties>
</file>