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</Relationships>
</file>

<file path=word/document.xml><?xml version="1.0" encoding="utf-8"?>
<w:document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body>
    <w:p>
      <w:pPr>
        <w:spacing w:after="160" w:line="300" w:lineRule="auto"/>
      </w:pPr>
      <w:r>
        <w:rPr>
          <w:rFonts w:ascii="Times New Roman" w:hAnsi="Times New Roman" w:eastAsia="宋体"/>
        </w:rPr>
      </w:r>
    </w:p>
    <w:p>
      <w:pPr>
        <w:spacing w:after="160" w:line="300" w:lineRule="auto"/>
      </w:pPr>
      <w:r>
        <w:rPr>
          <w:rFonts w:ascii="Times New Roman" w:hAnsi="Times New Roman" w:eastAsia="宋体"/>
        </w:rPr>
      </w:r>
    </w:p>
    <w:p>
      <w:pPr>
        <w:spacing w:after="320"/>
        <w:jc w:val="center"/>
      </w:pPr>
      <w:r>
        <w:drawing>
          <wp:inline xmlns:a="http://schemas.openxmlformats.org/drawingml/2006/main" xmlns:pic="http://schemas.openxmlformats.org/drawingml/2006/picture">
            <wp:extent cx="2103120" cy="57485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2103120" cy="5748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440" w:line="300" w:lineRule="auto"/>
        <w:jc w:val="center"/>
      </w:pPr>
      <w:r>
        <w:rPr>
          <w:rFonts w:ascii="Times New Roman" w:hAnsi="Times New Roman" w:eastAsia="黑体"/>
          <w:sz w:val="52"/>
        </w:rPr>
        <w:t>计算机图形学实验</w:t>
      </w:r>
    </w:p>
    <w:p>
      <w:pPr>
        <w:spacing w:after="840" w:line="300" w:lineRule="auto"/>
        <w:jc w:val="center"/>
      </w:pPr>
      <w:r>
        <w:rPr>
          <w:rFonts w:ascii="Times New Roman" w:hAnsi="Times New Roman" w:eastAsia="黑体"/>
          <w:sz w:val="44"/>
        </w:rPr>
        <w:t>实验3、三维模型显示</w:t>
      </w:r>
    </w:p>
    <w:p>
      <w:pPr>
        <w:spacing w:after="100" w:line="300" w:lineRule="auto"/>
        <w:jc w:val="center"/>
      </w:pPr>
      <w:r>
        <w:rPr>
          <w:rFonts w:ascii="Times New Roman" w:hAnsi="Times New Roman" w:eastAsia="宋体"/>
          <w:sz w:val="32"/>
        </w:rPr>
        <w:t>姓    名：____李富悦_____</w:t>
      </w:r>
    </w:p>
    <w:p>
      <w:pPr>
        <w:spacing w:after="100" w:line="300" w:lineRule="auto"/>
        <w:jc w:val="center"/>
      </w:pPr>
      <w:r>
        <w:rPr>
          <w:rFonts w:ascii="Times New Roman" w:hAnsi="Times New Roman" w:eastAsia="宋体"/>
          <w:sz w:val="32"/>
        </w:rPr>
        <w:t>学    号：_22920242203267_</w:t>
      </w:r>
    </w:p>
    <w:p>
      <w:pPr>
        <w:spacing w:after="100" w:line="300" w:lineRule="auto"/>
        <w:jc w:val="center"/>
      </w:pPr>
      <w:r>
        <w:rPr>
          <w:rFonts w:ascii="Times New Roman" w:hAnsi="Times New Roman" w:eastAsia="宋体"/>
          <w:sz w:val="32"/>
        </w:rPr>
        <w:t>学    院：___信息学院____</w:t>
      </w:r>
    </w:p>
    <w:p>
      <w:pPr>
        <w:spacing w:after="100" w:line="300" w:lineRule="auto"/>
        <w:jc w:val="center"/>
      </w:pPr>
      <w:r>
        <w:rPr>
          <w:rFonts w:ascii="Times New Roman" w:hAnsi="Times New Roman" w:eastAsia="宋体"/>
          <w:sz w:val="32"/>
        </w:rPr>
        <w:t>专    业：___软件工程____</w:t>
      </w:r>
    </w:p>
    <w:p>
      <w:pPr>
        <w:spacing w:after="100" w:line="300" w:lineRule="auto"/>
        <w:jc w:val="center"/>
      </w:pPr>
      <w:r>
        <w:rPr>
          <w:rFonts w:ascii="Times New Roman" w:hAnsi="Times New Roman" w:eastAsia="宋体"/>
          <w:sz w:val="32"/>
        </w:rPr>
        <w:t>年    级：____2024级____</w:t>
      </w:r>
    </w:p>
    <w:p>
      <w:pPr>
        <w:spacing w:after="200" w:line="300" w:lineRule="auto"/>
      </w:pPr>
      <w:r>
        <w:rPr>
          <w:rFonts w:ascii="Times New Roman" w:hAnsi="Times New Roman" w:eastAsia="宋体"/>
        </w:rPr>
      </w:r>
    </w:p>
    <w:p>
      <w:pPr>
        <w:spacing w:after="200" w:line="300" w:lineRule="auto"/>
      </w:pPr>
      <w:r>
        <w:rPr>
          <w:rFonts w:ascii="Times New Roman" w:hAnsi="Times New Roman" w:eastAsia="宋体"/>
        </w:rPr>
      </w:r>
    </w:p>
    <w:p>
      <w:pPr>
        <w:spacing w:after="200" w:line="300" w:lineRule="auto"/>
      </w:pPr>
      <w:r>
        <w:rPr>
          <w:rFonts w:ascii="Times New Roman" w:hAnsi="Times New Roman" w:eastAsia="宋体"/>
        </w:rPr>
      </w:r>
    </w:p>
    <w:p>
      <w:pPr>
        <w:spacing w:after="200" w:line="300" w:lineRule="auto"/>
      </w:pPr>
      <w:r>
        <w:rPr>
          <w:rFonts w:ascii="Times New Roman" w:hAnsi="Times New Roman" w:eastAsia="宋体"/>
        </w:rPr>
      </w:r>
    </w:p>
    <w:p>
      <w:pPr>
        <w:spacing w:after="200" w:line="300" w:lineRule="auto"/>
      </w:pPr>
      <w:r>
        <w:rPr>
          <w:rFonts w:ascii="Times New Roman" w:hAnsi="Times New Roman" w:eastAsia="宋体"/>
        </w:rPr>
      </w:r>
    </w:p>
    <w:p>
      <w:pPr>
        <w:spacing w:after="200" w:line="300" w:lineRule="auto"/>
      </w:pPr>
      <w:r>
        <w:rPr>
          <w:rFonts w:ascii="Times New Roman" w:hAnsi="Times New Roman" w:eastAsia="宋体"/>
        </w:rPr>
      </w:r>
    </w:p>
    <w:p>
      <w:pPr>
        <w:spacing w:after="200" w:line="300" w:lineRule="auto"/>
      </w:pPr>
      <w:r>
        <w:rPr>
          <w:rFonts w:ascii="Times New Roman" w:hAnsi="Times New Roman" w:eastAsia="宋体"/>
        </w:rPr>
      </w:r>
    </w:p>
    <w:p>
      <w:pPr>
        <w:spacing w:after="0" w:line="300" w:lineRule="auto"/>
        <w:jc w:val="center"/>
      </w:pPr>
      <w:r>
        <w:rPr>
          <w:rFonts w:ascii="Times New Roman" w:hAnsi="Times New Roman" w:eastAsia="宋体"/>
          <w:sz w:val="28"/>
        </w:rPr>
        <w:t>2026年4月28日</w:t>
      </w:r>
    </w:p>
    <w:p>
      <w:r>
        <w:br w:type="page"/>
      </w:r>
    </w:p>
    <w:p>
      <w:pPr>
        <w:spacing w:after="360" w:line="300" w:lineRule="auto"/>
        <w:jc w:val="center"/>
      </w:pPr>
      <w:r>
        <w:rPr>
          <w:rFonts w:ascii="Times New Roman" w:hAnsi="Times New Roman" w:eastAsia="黑体"/>
          <w:b/>
          <w:sz w:val="36"/>
        </w:rPr>
        <w:t>目录</w:t>
      </w:r>
    </w:p>
    <w:p>
      <w:pPr>
        <w:tabs>
          <w:tab w:pos="8280" w:val="right" w:leader="dot"/>
        </w:tabs>
        <w:ind w:left="840"/>
      </w:pPr>
      <w:r>
        <w:rPr>
          <w:rFonts w:ascii="Times New Roman" w:hAnsi="Times New Roman" w:eastAsia="宋体"/>
          <w:sz w:val="24"/>
        </w:rPr>
        <w:t>一、实验目的</w:t>
        <w:tab/>
        <w:t>3</w:t>
      </w:r>
    </w:p>
    <w:p>
      <w:pPr>
        <w:tabs>
          <w:tab w:pos="8280" w:val="right" w:leader="dot"/>
        </w:tabs>
        <w:ind w:left="840"/>
      </w:pPr>
      <w:r>
        <w:rPr>
          <w:rFonts w:ascii="Times New Roman" w:hAnsi="Times New Roman" w:eastAsia="宋体"/>
          <w:sz w:val="24"/>
        </w:rPr>
        <w:t>二、实验要求分析</w:t>
        <w:tab/>
        <w:t>3</w:t>
      </w:r>
    </w:p>
    <w:p>
      <w:pPr>
        <w:tabs>
          <w:tab w:pos="8280" w:val="right" w:leader="dot"/>
        </w:tabs>
        <w:ind w:left="840"/>
      </w:pPr>
      <w:r>
        <w:rPr>
          <w:rFonts w:ascii="Times New Roman" w:hAnsi="Times New Roman" w:eastAsia="宋体"/>
          <w:sz w:val="24"/>
        </w:rPr>
        <w:t>三、实验环境与模型数据</w:t>
        <w:tab/>
        <w:t>3</w:t>
      </w:r>
    </w:p>
    <w:p>
      <w:pPr>
        <w:tabs>
          <w:tab w:pos="8280" w:val="right" w:leader="dot"/>
        </w:tabs>
        <w:ind w:left="840"/>
      </w:pPr>
      <w:r>
        <w:rPr>
          <w:rFonts w:ascii="Times New Roman" w:hAnsi="Times New Roman" w:eastAsia="宋体"/>
          <w:sz w:val="24"/>
        </w:rPr>
        <w:t>四、Task1：PLY 模型读取与纯色显示</w:t>
        <w:tab/>
        <w:t>4</w:t>
      </w:r>
    </w:p>
    <w:p>
      <w:pPr>
        <w:tabs>
          <w:tab w:pos="8280" w:val="right" w:leader="dot"/>
        </w:tabs>
        <w:ind w:left="840"/>
      </w:pPr>
      <w:r>
        <w:rPr>
          <w:rFonts w:ascii="Times New Roman" w:hAnsi="Times New Roman" w:eastAsia="宋体"/>
          <w:sz w:val="24"/>
        </w:rPr>
        <w:t>五、附加题1：光照小人与光源旋转动画</w:t>
        <w:tab/>
        <w:t>5</w:t>
      </w:r>
    </w:p>
    <w:p>
      <w:pPr>
        <w:tabs>
          <w:tab w:pos="8280" w:val="right" w:leader="dot"/>
        </w:tabs>
        <w:ind w:left="840"/>
      </w:pPr>
      <w:r>
        <w:rPr>
          <w:rFonts w:ascii="Times New Roman" w:hAnsi="Times New Roman" w:eastAsia="宋体"/>
          <w:sz w:val="24"/>
        </w:rPr>
        <w:t>六、附加题2：旋转立方体明暗计算</w:t>
        <w:tab/>
        <w:t>7</w:t>
      </w:r>
    </w:p>
    <w:p>
      <w:pPr>
        <w:tabs>
          <w:tab w:pos="8280" w:val="right" w:leader="dot"/>
        </w:tabs>
        <w:ind w:left="840"/>
      </w:pPr>
      <w:r>
        <w:rPr>
          <w:rFonts w:ascii="Times New Roman" w:hAnsi="Times New Roman" w:eastAsia="宋体"/>
          <w:sz w:val="24"/>
        </w:rPr>
        <w:t>七、问题处理与结果分析</w:t>
        <w:tab/>
        <w:t>9</w:t>
      </w:r>
    </w:p>
    <w:p>
      <w:pPr>
        <w:tabs>
          <w:tab w:pos="8280" w:val="right" w:leader="dot"/>
        </w:tabs>
        <w:ind w:left="840"/>
      </w:pPr>
      <w:r>
        <w:rPr>
          <w:rFonts w:ascii="Times New Roman" w:hAnsi="Times New Roman" w:eastAsia="宋体"/>
          <w:sz w:val="24"/>
        </w:rPr>
        <w:t>八、实验总结</w:t>
        <w:tab/>
        <w:t>9</w:t>
      </w:r>
    </w:p>
    <w:p>
      <w:r>
        <w:br w:type="page"/>
      </w:r>
    </w:p>
    <w:p>
      <w:pPr>
        <w:tabs>
          <w:tab w:pos="8280" w:val="right" w:leader="dot"/>
        </w:tabs>
        <w:ind w:left="840"/>
      </w:pPr>
      <w:r>
        <w:rPr>
          <w:rFonts w:ascii="Times New Roman" w:hAnsi="Times New Roman" w:eastAsia="宋体"/>
          <w:sz w:val="24"/>
        </w:rPr>
        <w:t>一、实验目的</w:t>
        <w:tab/>
        <w:t>3</w:t>
      </w:r>
    </w:p>
    <w:p>
      <w:pPr>
        <w:spacing w:after="120" w:line="300" w:lineRule="auto"/>
        <w:ind w:firstLine="440"/>
      </w:pPr>
      <w:r>
        <w:rPr>
          <w:rFonts w:ascii="Times New Roman" w:hAnsi="Times New Roman" w:eastAsia="宋体"/>
        </w:rPr>
        <w:t>本次实验围绕“三维模型显示”展开，目标是在 OpenGL 固定函数管线中完成外部三维网格数据的读入、组织和显示。实验重点不只是把模型画到窗口中，还包括理解 PLY 文件中头部、顶点、法向量和面片索引之间的关系，并将这些数据转换为 OpenGL 可以绘制的三角形序列。</w:t>
      </w:r>
    </w:p>
    <w:p>
      <w:pPr>
        <w:spacing w:after="120" w:line="300" w:lineRule="auto"/>
        <w:ind w:firstLine="440"/>
      </w:pPr>
      <w:r>
        <w:rPr>
          <w:rFonts w:ascii="Times New Roman" w:hAnsi="Times New Roman" w:eastAsia="宋体"/>
        </w:rPr>
        <w:t>通过本实验，我重点训练了以下能力：一是解析 ASCII PLY 文件并建立顶点、法向量和三角面片数据结构；二是对模型进行中心化、缩放、观察矩阵和投影矩阵设置，使大尺寸模型能够稳定显示在窗口中；三是使用深度缓冲区保证三维遮挡关系正确；四是加入光照、材质和交互参数，使模型从单纯轮廓显示扩展到具有明暗层次的三维显示。</w:t>
      </w:r>
    </w:p>
    <w:p>
      <w:pPr>
        <w:tabs>
          <w:tab w:pos="8280" w:val="right" w:leader="dot"/>
        </w:tabs>
        <w:ind w:left="840"/>
      </w:pPr>
      <w:r>
        <w:rPr>
          <w:rFonts w:ascii="Times New Roman" w:hAnsi="Times New Roman" w:eastAsia="宋体"/>
          <w:sz w:val="24"/>
        </w:rPr>
        <w:t>二、实验要求分析</w:t>
        <w:tab/>
        <w:t>3</w:t>
      </w:r>
    </w:p>
    <w:p>
      <w:pPr>
        <w:spacing w:after="120" w:line="300" w:lineRule="auto"/>
        <w:ind w:firstLine="440"/>
      </w:pPr>
      <w:r>
        <w:rPr>
          <w:rFonts w:ascii="Times New Roman" w:hAnsi="Times New Roman" w:eastAsia="宋体"/>
        </w:rPr>
        <w:t>根据实验文档和课堂 PPT，本次实验共有 1 个基础任务和 2 个附加题。基础任务要求学习 PLY 文件格式，读入给定模型文件内容，将模型设置为纯色并显示出来；附加题 1 要求设置光照，使小人模型显示出明暗效果，并调整光源位置，使其围绕小人旋转形成动画；附加题 2 要求在实验 2 的旋转立方体基础上实现明暗计算，并通过键盘和滑动条修改材质、光源和相关参数。</w:t>
      </w:r>
    </w:p>
    <w:p>
      <w:pPr>
        <w:spacing w:after="120" w:line="300" w:lineRule="auto"/>
        <w:ind w:firstLine="440"/>
      </w:pPr>
      <w:r>
        <w:rPr>
          <w:rFonts w:ascii="Times New Roman" w:hAnsi="Times New Roman" w:eastAsia="宋体"/>
        </w:rPr>
        <w:t>实验说明还强调报告不能只放最终截图，而应体现探索过程。因此本报告按照“任务要求理解 - 实现原理 - 关键代码 - 运行结果 - 问题分析”的顺序组织内容，尽量说明每一步为什么这样处理，以及这些处理对最终显示效果的影响。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1656"/>
            <w:vAlign w:val="center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  <w:insideH w:val="single" w:sz="6" w:space="0" w:color="888888"/>
              <w:insideV w:val="single" w:sz="6" w:space="0" w:color="888888"/>
            </w:tcBorders>
            <w:shd w:fill="EDEDED"/>
          </w:tcPr>
          <w:p>
            <w:pPr>
              <w:spacing w:after="40"/>
              <w:ind w:firstLine="0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任务</w:t>
            </w:r>
          </w:p>
        </w:tc>
        <w:tc>
          <w:tcPr>
            <w:tcW w:type="dxa" w:w="4032"/>
            <w:vAlign w:val="center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  <w:insideH w:val="single" w:sz="6" w:space="0" w:color="888888"/>
              <w:insideV w:val="single" w:sz="6" w:space="0" w:color="888888"/>
            </w:tcBorders>
            <w:shd w:fill="EDEDED"/>
          </w:tcPr>
          <w:p>
            <w:pPr>
              <w:spacing w:after="40"/>
              <w:ind w:firstLine="0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要求</w:t>
            </w:r>
          </w:p>
        </w:tc>
        <w:tc>
          <w:tcPr>
            <w:tcW w:type="dxa" w:w="3888"/>
            <w:vAlign w:val="center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  <w:insideH w:val="single" w:sz="6" w:space="0" w:color="888888"/>
              <w:insideV w:val="single" w:sz="6" w:space="0" w:color="888888"/>
            </w:tcBorders>
            <w:shd w:fill="EDEDED"/>
          </w:tcPr>
          <w:p>
            <w:pPr>
              <w:spacing w:after="40"/>
              <w:ind w:firstLine="0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报告对应内容</w:t>
            </w:r>
          </w:p>
        </w:tc>
      </w:tr>
      <w:tr>
        <w:tc>
          <w:tcPr>
            <w:tcW w:type="dxa" w:w="1656"/>
            <w:vAlign w:val="center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  <w:insideH w:val="single" w:sz="6" w:space="0" w:color="888888"/>
              <w:insideV w:val="single" w:sz="6" w:space="0" w:color="888888"/>
            </w:tcBorders>
          </w:tcPr>
          <w:p>
            <w:pPr>
              <w:spacing w:after="40"/>
              <w:ind w:firstLine="0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Task1</w:t>
            </w:r>
          </w:p>
        </w:tc>
        <w:tc>
          <w:tcPr>
            <w:tcW w:type="dxa" w:w="4032"/>
            <w:vAlign w:val="center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  <w:insideH w:val="single" w:sz="6" w:space="0" w:color="888888"/>
              <w:insideV w:val="single" w:sz="6" w:space="0" w:color="888888"/>
            </w:tcBorders>
          </w:tcPr>
          <w:p>
            <w:pPr>
              <w:spacing w:after="40"/>
              <w:ind w:firstLine="0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读取 PLY 文件，将小人模型纯色显示</w:t>
            </w:r>
          </w:p>
        </w:tc>
        <w:tc>
          <w:tcPr>
            <w:tcW w:type="dxa" w:w="3888"/>
            <w:vAlign w:val="center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  <w:insideH w:val="single" w:sz="6" w:space="0" w:color="888888"/>
              <w:insideV w:val="single" w:sz="6" w:space="0" w:color="888888"/>
            </w:tcBorders>
          </w:tcPr>
          <w:p>
            <w:pPr>
              <w:spacing w:after="40"/>
              <w:ind w:firstLine="0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PLY 结构解析、模型归一化、三角面片绘制、纯色结果图</w:t>
            </w:r>
          </w:p>
        </w:tc>
      </w:tr>
      <w:tr>
        <w:tc>
          <w:tcPr>
            <w:tcW w:type="dxa" w:w="1656"/>
            <w:vAlign w:val="center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  <w:insideH w:val="single" w:sz="6" w:space="0" w:color="888888"/>
              <w:insideV w:val="single" w:sz="6" w:space="0" w:color="888888"/>
            </w:tcBorders>
          </w:tcPr>
          <w:p>
            <w:pPr>
              <w:spacing w:after="40"/>
              <w:ind w:firstLine="0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附加题1</w:t>
            </w:r>
          </w:p>
        </w:tc>
        <w:tc>
          <w:tcPr>
            <w:tcW w:type="dxa" w:w="4032"/>
            <w:vAlign w:val="center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  <w:insideH w:val="single" w:sz="6" w:space="0" w:color="888888"/>
              <w:insideV w:val="single" w:sz="6" w:space="0" w:color="888888"/>
            </w:tcBorders>
          </w:tcPr>
          <w:p>
            <w:pPr>
              <w:spacing w:after="40"/>
              <w:ind w:firstLine="0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设置光照并让光源绕模型旋转</w:t>
            </w:r>
          </w:p>
        </w:tc>
        <w:tc>
          <w:tcPr>
            <w:tcW w:type="dxa" w:w="3888"/>
            <w:vAlign w:val="center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  <w:insideH w:val="single" w:sz="6" w:space="0" w:color="888888"/>
              <w:insideV w:val="single" w:sz="6" w:space="0" w:color="888888"/>
            </w:tcBorders>
          </w:tcPr>
          <w:p>
            <w:pPr>
              <w:spacing w:after="40"/>
              <w:ind w:firstLine="0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法向量使用、光源位置更新、光照结果和动画帧</w:t>
            </w:r>
          </w:p>
        </w:tc>
      </w:tr>
      <w:tr>
        <w:tc>
          <w:tcPr>
            <w:tcW w:type="dxa" w:w="1656"/>
            <w:vAlign w:val="center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  <w:insideH w:val="single" w:sz="6" w:space="0" w:color="888888"/>
              <w:insideV w:val="single" w:sz="6" w:space="0" w:color="888888"/>
            </w:tcBorders>
          </w:tcPr>
          <w:p>
            <w:pPr>
              <w:spacing w:after="40"/>
              <w:ind w:firstLine="0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附加题2</w:t>
            </w:r>
          </w:p>
        </w:tc>
        <w:tc>
          <w:tcPr>
            <w:tcW w:type="dxa" w:w="4032"/>
            <w:vAlign w:val="center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  <w:insideH w:val="single" w:sz="6" w:space="0" w:color="888888"/>
              <w:insideV w:val="single" w:sz="6" w:space="0" w:color="888888"/>
            </w:tcBorders>
          </w:tcPr>
          <w:p>
            <w:pPr>
              <w:spacing w:after="40"/>
              <w:ind w:firstLine="0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旋转立方体明暗计算，支持材质和光源交互</w:t>
            </w:r>
          </w:p>
        </w:tc>
        <w:tc>
          <w:tcPr>
            <w:tcW w:type="dxa" w:w="3888"/>
            <w:vAlign w:val="center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  <w:insideH w:val="single" w:sz="6" w:space="0" w:color="888888"/>
              <w:insideV w:val="single" w:sz="6" w:space="0" w:color="888888"/>
            </w:tcBorders>
          </w:tcPr>
          <w:p>
            <w:pPr>
              <w:spacing w:after="40"/>
              <w:ind w:firstLine="0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材质参数表、按键说明、滑动条调节设计</w:t>
            </w:r>
          </w:p>
        </w:tc>
      </w:tr>
    </w:tbl>
    <w:p>
      <w:pPr>
        <w:spacing w:after="40" w:line="300" w:lineRule="auto"/>
      </w:pPr>
      <w:r>
        <w:rPr>
          <w:rFonts w:ascii="Times New Roman" w:hAnsi="Times New Roman" w:eastAsia="宋体"/>
        </w:rPr>
      </w:r>
    </w:p>
    <w:p>
      <w:pPr>
        <w:tabs>
          <w:tab w:pos="8280" w:val="right" w:leader="dot"/>
        </w:tabs>
        <w:ind w:left="840"/>
      </w:pPr>
      <w:r>
        <w:rPr>
          <w:rFonts w:ascii="Times New Roman" w:hAnsi="Times New Roman" w:eastAsia="宋体"/>
          <w:sz w:val="24"/>
        </w:rPr>
        <w:t>三、实验环境与模型数据</w:t>
        <w:tab/>
        <w:t>3</w:t>
      </w:r>
    </w:p>
    <w:p>
      <w:pPr>
        <w:spacing w:after="120" w:line="300" w:lineRule="auto"/>
        <w:ind w:firstLine="440"/>
      </w:pPr>
      <w:r>
        <w:rPr>
          <w:rFonts w:ascii="Times New Roman" w:hAnsi="Times New Roman" w:eastAsia="宋体"/>
        </w:rPr>
        <w:t>实验程序采用 C++、OpenGL 和 GLUT 实现，沿用前两次实验中已经建立的窗口初始化、显示回调、键盘回调、空闲回调和 reshape 回调结构。基础绘制仍使用固定函数管线，便于直接观察 glEnable(GL_LIGHTING)、glLightfv、glMaterialfv、glNormal3f 等接口对显示结果的影响。</w:t>
      </w:r>
    </w:p>
    <w:p>
      <w:pPr>
        <w:spacing w:after="120" w:line="300" w:lineRule="auto"/>
        <w:ind w:firstLine="440"/>
      </w:pPr>
      <w:r>
        <w:rPr>
          <w:rFonts w:ascii="Times New Roman" w:hAnsi="Times New Roman" w:eastAsia="宋体"/>
        </w:rPr>
        <w:t>本次读取的模型文件为 lizhenxiout.ply。该文件是 ASCII PLY 1.0 格式，头部给出了顶点数量、顶点属性、面片数量和面片索引格式。模型顶点规模较大，直接用原坐标绘制会超出默认观察范围，因此程序在读入完成后先计算包围盒，再将模型平移到原点附近并按最大边长归一化。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2376"/>
            <w:vAlign w:val="center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  <w:insideH w:val="single" w:sz="6" w:space="0" w:color="888888"/>
              <w:insideV w:val="single" w:sz="6" w:space="0" w:color="888888"/>
            </w:tcBorders>
            <w:shd w:fill="EDEDED"/>
          </w:tcPr>
          <w:p>
            <w:pPr>
              <w:spacing w:after="40"/>
              <w:ind w:firstLine="0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项目</w:t>
            </w:r>
          </w:p>
        </w:tc>
        <w:tc>
          <w:tcPr>
            <w:tcW w:type="dxa" w:w="7128"/>
            <w:vAlign w:val="center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  <w:insideH w:val="single" w:sz="6" w:space="0" w:color="888888"/>
              <w:insideV w:val="single" w:sz="6" w:space="0" w:color="888888"/>
            </w:tcBorders>
            <w:shd w:fill="EDEDED"/>
          </w:tcPr>
          <w:p>
            <w:pPr>
              <w:spacing w:after="40"/>
              <w:ind w:firstLine="0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数值或格式</w:t>
            </w:r>
          </w:p>
        </w:tc>
      </w:tr>
      <w:tr>
        <w:tc>
          <w:tcPr>
            <w:tcW w:type="dxa" w:w="2376"/>
            <w:vAlign w:val="center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  <w:insideH w:val="single" w:sz="6" w:space="0" w:color="888888"/>
              <w:insideV w:val="single" w:sz="6" w:space="0" w:color="888888"/>
            </w:tcBorders>
          </w:tcPr>
          <w:p>
            <w:pPr>
              <w:spacing w:after="40"/>
              <w:ind w:firstLine="0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文件格式</w:t>
            </w:r>
          </w:p>
        </w:tc>
        <w:tc>
          <w:tcPr>
            <w:tcW w:type="dxa" w:w="7128"/>
            <w:vAlign w:val="center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  <w:insideH w:val="single" w:sz="6" w:space="0" w:color="888888"/>
              <w:insideV w:val="single" w:sz="6" w:space="0" w:color="888888"/>
            </w:tcBorders>
          </w:tcPr>
          <w:p>
            <w:pPr>
              <w:spacing w:after="40"/>
              <w:ind w:firstLine="0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PLY ASCII 1.0</w:t>
            </w:r>
          </w:p>
        </w:tc>
      </w:tr>
      <w:tr>
        <w:tc>
          <w:tcPr>
            <w:tcW w:type="dxa" w:w="2376"/>
            <w:vAlign w:val="center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  <w:insideH w:val="single" w:sz="6" w:space="0" w:color="888888"/>
              <w:insideV w:val="single" w:sz="6" w:space="0" w:color="888888"/>
            </w:tcBorders>
          </w:tcPr>
          <w:p>
            <w:pPr>
              <w:spacing w:after="40"/>
              <w:ind w:firstLine="0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顶点数量</w:t>
            </w:r>
          </w:p>
        </w:tc>
        <w:tc>
          <w:tcPr>
            <w:tcW w:type="dxa" w:w="7128"/>
            <w:vAlign w:val="center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  <w:insideH w:val="single" w:sz="6" w:space="0" w:color="888888"/>
              <w:insideV w:val="single" w:sz="6" w:space="0" w:color="888888"/>
            </w:tcBorders>
          </w:tcPr>
          <w:p>
            <w:pPr>
              <w:spacing w:after="40"/>
              <w:ind w:firstLine="0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37702</w:t>
            </w:r>
          </w:p>
        </w:tc>
      </w:tr>
      <w:tr>
        <w:tc>
          <w:tcPr>
            <w:tcW w:type="dxa" w:w="2376"/>
            <w:vAlign w:val="center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  <w:insideH w:val="single" w:sz="6" w:space="0" w:color="888888"/>
              <w:insideV w:val="single" w:sz="6" w:space="0" w:color="888888"/>
            </w:tcBorders>
          </w:tcPr>
          <w:p>
            <w:pPr>
              <w:spacing w:after="40"/>
              <w:ind w:firstLine="0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面片数量</w:t>
            </w:r>
          </w:p>
        </w:tc>
        <w:tc>
          <w:tcPr>
            <w:tcW w:type="dxa" w:w="7128"/>
            <w:vAlign w:val="center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  <w:insideH w:val="single" w:sz="6" w:space="0" w:color="888888"/>
              <w:insideV w:val="single" w:sz="6" w:space="0" w:color="888888"/>
            </w:tcBorders>
          </w:tcPr>
          <w:p>
            <w:pPr>
              <w:spacing w:after="40"/>
              <w:ind w:firstLine="0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75404</w:t>
            </w:r>
          </w:p>
        </w:tc>
      </w:tr>
      <w:tr>
        <w:tc>
          <w:tcPr>
            <w:tcW w:type="dxa" w:w="2376"/>
            <w:vAlign w:val="center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  <w:insideH w:val="single" w:sz="6" w:space="0" w:color="888888"/>
              <w:insideV w:val="single" w:sz="6" w:space="0" w:color="888888"/>
            </w:tcBorders>
          </w:tcPr>
          <w:p>
            <w:pPr>
              <w:spacing w:after="40"/>
              <w:ind w:firstLine="0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顶点属性</w:t>
            </w:r>
          </w:p>
        </w:tc>
        <w:tc>
          <w:tcPr>
            <w:tcW w:type="dxa" w:w="7128"/>
            <w:vAlign w:val="center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  <w:insideH w:val="single" w:sz="6" w:space="0" w:color="888888"/>
              <w:insideV w:val="single" w:sz="6" w:space="0" w:color="888888"/>
            </w:tcBorders>
          </w:tcPr>
          <w:p>
            <w:pPr>
              <w:spacing w:after="40"/>
              <w:ind w:firstLine="0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x, y, z, nx, ny, nz</w:t>
            </w:r>
          </w:p>
        </w:tc>
      </w:tr>
      <w:tr>
        <w:tc>
          <w:tcPr>
            <w:tcW w:type="dxa" w:w="2376"/>
            <w:vAlign w:val="center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  <w:insideH w:val="single" w:sz="6" w:space="0" w:color="888888"/>
              <w:insideV w:val="single" w:sz="6" w:space="0" w:color="888888"/>
            </w:tcBorders>
          </w:tcPr>
          <w:p>
            <w:pPr>
              <w:spacing w:after="40"/>
              <w:ind w:firstLine="0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面片格式</w:t>
            </w:r>
          </w:p>
        </w:tc>
        <w:tc>
          <w:tcPr>
            <w:tcW w:type="dxa" w:w="7128"/>
            <w:vAlign w:val="center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  <w:insideH w:val="single" w:sz="6" w:space="0" w:color="888888"/>
              <w:insideV w:val="single" w:sz="6" w:space="0" w:color="888888"/>
            </w:tcBorders>
          </w:tcPr>
          <w:p>
            <w:pPr>
              <w:spacing w:after="40"/>
              <w:ind w:firstLine="0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每个面片为 3 个顶点索引组成的三角形</w:t>
            </w:r>
          </w:p>
        </w:tc>
      </w:tr>
      <w:tr>
        <w:tc>
          <w:tcPr>
            <w:tcW w:type="dxa" w:w="2376"/>
            <w:vAlign w:val="center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  <w:insideH w:val="single" w:sz="6" w:space="0" w:color="888888"/>
              <w:insideV w:val="single" w:sz="6" w:space="0" w:color="888888"/>
            </w:tcBorders>
          </w:tcPr>
          <w:p>
            <w:pPr>
              <w:spacing w:after="40"/>
              <w:ind w:firstLine="0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包围盒范围</w:t>
            </w:r>
          </w:p>
        </w:tc>
        <w:tc>
          <w:tcPr>
            <w:tcW w:type="dxa" w:w="7128"/>
            <w:vAlign w:val="center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  <w:insideH w:val="single" w:sz="6" w:space="0" w:color="888888"/>
              <w:insideV w:val="single" w:sz="6" w:space="0" w:color="888888"/>
            </w:tcBorders>
          </w:tcPr>
          <w:p>
            <w:pPr>
              <w:spacing w:after="40"/>
              <w:ind w:firstLine="0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x: -282.053 到 383.957；y: -1002.1 到 827.155；z: -1041.42 到 -537.483</w:t>
            </w:r>
          </w:p>
        </w:tc>
      </w:tr>
    </w:tbl>
    <w:p>
      <w:pPr>
        <w:spacing w:after="40" w:line="300" w:lineRule="auto"/>
      </w:pPr>
      <w:r>
        <w:rPr>
          <w:rFonts w:ascii="Times New Roman" w:hAnsi="Times New Roman" w:eastAsia="宋体"/>
        </w:rPr>
      </w:r>
    </w:p>
    <w:p>
      <w:pPr>
        <w:tabs>
          <w:tab w:pos="8280" w:val="right" w:leader="dot"/>
        </w:tabs>
        <w:ind w:left="840"/>
      </w:pPr>
      <w:r>
        <w:rPr>
          <w:rFonts w:ascii="Times New Roman" w:hAnsi="Times New Roman" w:eastAsia="宋体"/>
          <w:sz w:val="24"/>
        </w:rPr>
        <w:t>四、Task1：PLY 模型读取与纯色显示</w:t>
        <w:tab/>
        <w:t>4</w:t>
      </w:r>
    </w:p>
    <w:p>
      <w:pPr>
        <w:pStyle w:val="heading 2"/>
        <w:spacing w:before="100" w:after="120"/>
      </w:pPr>
      <w:r>
        <w:rPr>
          <w:rFonts w:ascii="Times New Roman" w:hAnsi="Times New Roman" w:eastAsia="黑体"/>
          <w:b/>
          <w:sz w:val="26"/>
        </w:rPr>
        <w:t>1. 任务要求理解</w:t>
      </w:r>
    </w:p>
    <w:p>
      <w:pPr>
        <w:spacing w:after="120" w:line="300" w:lineRule="auto"/>
        <w:ind w:firstLine="440"/>
      </w:pPr>
      <w:r>
        <w:rPr>
          <w:rFonts w:ascii="Times New Roman" w:hAnsi="Times New Roman" w:eastAsia="宋体"/>
        </w:rPr>
        <w:t>Task1 的核心是把 PLY 文件中的网格数据真正转化为三维显示结果。PLY 文件并不是简单的点列表，顶点部分保存空间位置和法向量，面片部分保存三角形顶点索引。只有先保存全部顶点，再按照面片索引取出对应三个顶点，才能完整恢复模型表面。</w:t>
      </w:r>
    </w:p>
    <w:p>
      <w:pPr>
        <w:pStyle w:val="heading 2"/>
        <w:spacing w:before="100" w:after="120"/>
      </w:pPr>
      <w:r>
        <w:rPr>
          <w:rFonts w:ascii="Times New Roman" w:hAnsi="Times New Roman" w:eastAsia="黑体"/>
          <w:b/>
          <w:sz w:val="26"/>
        </w:rPr>
        <w:t>2. 实现原理</w:t>
      </w:r>
    </w:p>
    <w:p>
      <w:pPr>
        <w:spacing w:after="120" w:line="300" w:lineRule="auto"/>
        <w:ind w:firstLine="440"/>
      </w:pPr>
      <w:r>
        <w:rPr>
          <w:rFonts w:ascii="Times New Roman" w:hAnsi="Times New Roman" w:eastAsia="宋体"/>
        </w:rPr>
        <w:t>程序读文件时先逐行解析头部，记录 vertex 和 face 的数量，并在遇到 end_header 后进入数据区。顶点数据保存到结构体数组中，结构体包含位置坐标和法向量；面片数据保存为三个整数索引。绘制时遍历面片数组，根据索引查到三个顶点，依次送入 glVertex3f。</w:t>
      </w:r>
    </w:p>
    <w:p>
      <w:pPr>
        <w:spacing w:after="120" w:line="300" w:lineRule="auto"/>
        <w:ind w:firstLine="440"/>
      </w:pPr>
      <w:r>
        <w:rPr>
          <w:rFonts w:ascii="Times New Roman" w:hAnsi="Times New Roman" w:eastAsia="宋体"/>
        </w:rPr>
        <w:t>为了得到稳定的显示效果，初始化阶段启用深度测试，显示阶段每帧同时清除颜色缓冲区和深度缓冲区。模型读入后计算中心点和最大尺寸，在绘制前进行平移和缩放，这样无论原始 PLY 坐标范围多大，都能放入统一观察体积中。纯色显示部分关闭光照或使用固定颜色，所有三角面片采用同一种颜色绘制，从而满足“纯色小人”的要求。</w:t>
      </w:r>
    </w:p>
    <w:p>
      <w:pPr>
        <w:pStyle w:val="heading 2"/>
        <w:spacing w:before="100" w:after="120"/>
      </w:pPr>
      <w:r>
        <w:rPr>
          <w:rFonts w:ascii="Times New Roman" w:hAnsi="Times New Roman" w:eastAsia="黑体"/>
          <w:b/>
          <w:sz w:val="26"/>
        </w:rPr>
        <w:t>3. 关键代码</w:t>
      </w:r>
    </w:p>
    <w:p>
      <w:pPr>
        <w:pStyle w:val="CodeBlock"/>
        <w:spacing w:after="0" w:line="240" w:lineRule="auto"/>
        <w:ind w:firstLine="0"/>
      </w:pPr>
      <w:r>
        <w:rPr>
          <w:rFonts w:ascii="Menlo" w:hAnsi="Menlo" w:eastAsia="Menlo"/>
          <w:sz w:val="17"/>
        </w:rPr>
        <w:t>struct Vertex { float x, y, z, nx, ny, nz; };</w:t>
      </w:r>
    </w:p>
    <w:p>
      <w:pPr>
        <w:pStyle w:val="CodeBlock"/>
        <w:spacing w:after="0" w:line="240" w:lineRule="auto"/>
        <w:ind w:firstLine="0"/>
      </w:pPr>
      <w:r>
        <w:rPr>
          <w:rFonts w:ascii="Menlo" w:hAnsi="Menlo" w:eastAsia="Menlo"/>
          <w:sz w:val="17"/>
        </w:rPr>
        <w:t>struct Face { int v0, v1, v2; };</w:t>
      </w:r>
    </w:p>
    <w:p>
      <w:pPr>
        <w:pStyle w:val="CodeBlock"/>
        <w:spacing w:after="0" w:line="240" w:lineRule="auto"/>
        <w:ind w:firstLine="0"/>
      </w:pPr>
      <w:r>
        <w:rPr>
          <w:rFonts w:ascii="Menlo" w:hAnsi="Menlo" w:eastAsia="Menlo"/>
          <w:sz w:val="17"/>
        </w:rPr>
      </w:r>
    </w:p>
    <w:p>
      <w:pPr>
        <w:pStyle w:val="CodeBlock"/>
        <w:spacing w:after="0" w:line="240" w:lineRule="auto"/>
        <w:ind w:firstLine="0"/>
      </w:pPr>
      <w:r>
        <w:rPr>
          <w:rFonts w:ascii="Menlo" w:hAnsi="Menlo" w:eastAsia="Menlo"/>
          <w:sz w:val="17"/>
        </w:rPr>
        <w:t>while (getline(fin, line)) {</w:t>
      </w:r>
    </w:p>
    <w:p>
      <w:pPr>
        <w:pStyle w:val="CodeBlock"/>
        <w:spacing w:after="0" w:line="240" w:lineRule="auto"/>
        <w:ind w:firstLine="0"/>
      </w:pPr>
      <w:r>
        <w:rPr>
          <w:rFonts w:ascii="Menlo" w:hAnsi="Menlo" w:eastAsia="Menlo"/>
          <w:sz w:val="17"/>
        </w:rPr>
        <w:t xml:space="preserve">    if (line.find("element vertex") == 0) vertexCount = readCount(line);</w:t>
      </w:r>
    </w:p>
    <w:p>
      <w:pPr>
        <w:pStyle w:val="CodeBlock"/>
        <w:spacing w:after="0" w:line="240" w:lineRule="auto"/>
        <w:ind w:firstLine="0"/>
      </w:pPr>
      <w:r>
        <w:rPr>
          <w:rFonts w:ascii="Menlo" w:hAnsi="Menlo" w:eastAsia="Menlo"/>
          <w:sz w:val="17"/>
        </w:rPr>
        <w:t xml:space="preserve">    else if (line.find("element face") == 0) faceCount = readCount(line);</w:t>
      </w:r>
    </w:p>
    <w:p>
      <w:pPr>
        <w:pStyle w:val="CodeBlock"/>
        <w:spacing w:after="0" w:line="240" w:lineRule="auto"/>
        <w:ind w:firstLine="0"/>
      </w:pPr>
      <w:r>
        <w:rPr>
          <w:rFonts w:ascii="Menlo" w:hAnsi="Menlo" w:eastAsia="Menlo"/>
          <w:sz w:val="17"/>
        </w:rPr>
        <w:t xml:space="preserve">    else if (line == "end_header") break;</w:t>
      </w:r>
    </w:p>
    <w:p>
      <w:pPr>
        <w:pStyle w:val="CodeBlock"/>
        <w:spacing w:after="0" w:line="240" w:lineRule="auto"/>
        <w:ind w:firstLine="0"/>
      </w:pPr>
      <w:r>
        <w:rPr>
          <w:rFonts w:ascii="Menlo" w:hAnsi="Menlo" w:eastAsia="Menlo"/>
          <w:sz w:val="17"/>
        </w:rPr>
        <w:t>}</w:t>
      </w:r>
    </w:p>
    <w:p>
      <w:pPr>
        <w:pStyle w:val="CodeBlock"/>
        <w:spacing w:after="0" w:line="240" w:lineRule="auto"/>
        <w:ind w:firstLine="0"/>
      </w:pPr>
      <w:r>
        <w:rPr>
          <w:rFonts w:ascii="Menlo" w:hAnsi="Menlo" w:eastAsia="Menlo"/>
          <w:sz w:val="17"/>
        </w:rPr>
      </w:r>
    </w:p>
    <w:p>
      <w:pPr>
        <w:pStyle w:val="CodeBlock"/>
        <w:spacing w:after="0" w:line="240" w:lineRule="auto"/>
        <w:ind w:firstLine="0"/>
      </w:pPr>
      <w:r>
        <w:rPr>
          <w:rFonts w:ascii="Menlo" w:hAnsi="Menlo" w:eastAsia="Menlo"/>
          <w:sz w:val="17"/>
        </w:rPr>
        <w:t>vertices.resize(vertexCount);</w:t>
      </w:r>
    </w:p>
    <w:p>
      <w:pPr>
        <w:pStyle w:val="CodeBlock"/>
        <w:spacing w:after="0" w:line="240" w:lineRule="auto"/>
        <w:ind w:firstLine="0"/>
      </w:pPr>
      <w:r>
        <w:rPr>
          <w:rFonts w:ascii="Menlo" w:hAnsi="Menlo" w:eastAsia="Menlo"/>
          <w:sz w:val="17"/>
        </w:rPr>
        <w:t>for (int i = 0; i &lt; vertexCount; ++i) {</w:t>
      </w:r>
    </w:p>
    <w:p>
      <w:pPr>
        <w:pStyle w:val="CodeBlock"/>
        <w:spacing w:after="0" w:line="240" w:lineRule="auto"/>
        <w:ind w:firstLine="0"/>
      </w:pPr>
      <w:r>
        <w:rPr>
          <w:rFonts w:ascii="Menlo" w:hAnsi="Menlo" w:eastAsia="Menlo"/>
          <w:sz w:val="17"/>
        </w:rPr>
        <w:t xml:space="preserve">    fin &gt;&gt; vertices[i].x &gt;&gt; vertices[i].y &gt;&gt; vertices[i].z</w:t>
      </w:r>
    </w:p>
    <w:p>
      <w:pPr>
        <w:pStyle w:val="CodeBlock"/>
        <w:spacing w:after="0" w:line="240" w:lineRule="auto"/>
        <w:ind w:firstLine="0"/>
      </w:pPr>
      <w:r>
        <w:rPr>
          <w:rFonts w:ascii="Menlo" w:hAnsi="Menlo" w:eastAsia="Menlo"/>
          <w:sz w:val="17"/>
        </w:rPr>
        <w:t xml:space="preserve">        &gt;&gt; vertices[i].nx &gt;&gt; vertices[i].ny &gt;&gt; vertices[i].nz;</w:t>
      </w:r>
    </w:p>
    <w:p>
      <w:pPr>
        <w:pStyle w:val="CodeBlock"/>
        <w:spacing w:after="0" w:line="240" w:lineRule="auto"/>
        <w:ind w:firstLine="0"/>
      </w:pPr>
      <w:r>
        <w:rPr>
          <w:rFonts w:ascii="Menlo" w:hAnsi="Menlo" w:eastAsia="Menlo"/>
          <w:sz w:val="17"/>
        </w:rPr>
        <w:t>}</w:t>
      </w:r>
    </w:p>
    <w:p>
      <w:pPr>
        <w:pStyle w:val="CodeBlock"/>
        <w:spacing w:after="0" w:line="240" w:lineRule="auto"/>
        <w:ind w:firstLine="0"/>
      </w:pPr>
      <w:r>
        <w:rPr>
          <w:rFonts w:ascii="Menlo" w:hAnsi="Menlo" w:eastAsia="Menlo"/>
          <w:sz w:val="17"/>
        </w:rPr>
      </w:r>
    </w:p>
    <w:p>
      <w:pPr>
        <w:pStyle w:val="CodeBlock"/>
        <w:spacing w:after="0" w:line="240" w:lineRule="auto"/>
        <w:ind w:firstLine="0"/>
      </w:pPr>
      <w:r>
        <w:rPr>
          <w:rFonts w:ascii="Menlo" w:hAnsi="Menlo" w:eastAsia="Menlo"/>
          <w:sz w:val="17"/>
        </w:rPr>
        <w:t>faces.resize(faceCount);</w:t>
      </w:r>
    </w:p>
    <w:p>
      <w:pPr>
        <w:pStyle w:val="CodeBlock"/>
        <w:spacing w:after="0" w:line="240" w:lineRule="auto"/>
        <w:ind w:firstLine="0"/>
      </w:pPr>
      <w:r>
        <w:rPr>
          <w:rFonts w:ascii="Menlo" w:hAnsi="Menlo" w:eastAsia="Menlo"/>
          <w:sz w:val="17"/>
        </w:rPr>
        <w:t>for (int i = 0; i &lt; faceCount; ++i) {</w:t>
      </w:r>
    </w:p>
    <w:p>
      <w:pPr>
        <w:pStyle w:val="CodeBlock"/>
        <w:spacing w:after="0" w:line="240" w:lineRule="auto"/>
        <w:ind w:firstLine="0"/>
      </w:pPr>
      <w:r>
        <w:rPr>
          <w:rFonts w:ascii="Menlo" w:hAnsi="Menlo" w:eastAsia="Menlo"/>
          <w:sz w:val="17"/>
        </w:rPr>
        <w:t xml:space="preserve">    int n;</w:t>
      </w:r>
    </w:p>
    <w:p>
      <w:pPr>
        <w:pStyle w:val="CodeBlock"/>
        <w:spacing w:after="0" w:line="240" w:lineRule="auto"/>
        <w:ind w:firstLine="0"/>
      </w:pPr>
      <w:r>
        <w:rPr>
          <w:rFonts w:ascii="Menlo" w:hAnsi="Menlo" w:eastAsia="Menlo"/>
          <w:sz w:val="17"/>
        </w:rPr>
        <w:t xml:space="preserve">    fin &gt;&gt; n &gt;&gt; faces[i].v0 &gt;&gt; faces[i].v1 &gt;&gt; faces[i].v2;</w:t>
      </w:r>
    </w:p>
    <w:p>
      <w:pPr>
        <w:pStyle w:val="CodeBlock"/>
        <w:spacing w:after="0" w:line="240" w:lineRule="auto"/>
        <w:ind w:firstLine="0"/>
      </w:pPr>
      <w:r>
        <w:rPr>
          <w:rFonts w:ascii="Menlo" w:hAnsi="Menlo" w:eastAsia="Menlo"/>
          <w:sz w:val="17"/>
        </w:rPr>
        <w:t>}</w:t>
      </w:r>
    </w:p>
    <w:p>
      <w:pPr>
        <w:spacing w:after="40" w:line="300" w:lineRule="auto"/>
      </w:pPr>
      <w:r>
        <w:rPr>
          <w:rFonts w:ascii="Times New Roman" w:hAnsi="Times New Roman" w:eastAsia="宋体"/>
        </w:rPr>
      </w:r>
    </w:p>
    <w:p>
      <w:pPr>
        <w:pStyle w:val="heading 2"/>
        <w:spacing w:before="100" w:after="120"/>
      </w:pPr>
      <w:r>
        <w:rPr>
          <w:rFonts w:ascii="Times New Roman" w:hAnsi="Times New Roman" w:eastAsia="黑体"/>
          <w:b/>
          <w:sz w:val="26"/>
        </w:rPr>
        <w:t>4. 运行结果与分析</w:t>
      </w:r>
    </w:p>
    <w:p>
      <w:pPr>
        <w:spacing w:after="120" w:line="300" w:lineRule="auto"/>
        <w:ind w:firstLine="440"/>
      </w:pPr>
      <w:r>
        <w:rPr>
          <w:rFonts w:ascii="Times New Roman" w:hAnsi="Times New Roman" w:eastAsia="宋体"/>
        </w:rPr>
        <w:t>纯色显示结果可以看出，PLY 文件中的三角面片已经被正确连接，小人模型的整体轮廓、头部、躯干和四肢位置都能稳定显示。由于该阶段不启用光照，模型内部细节不会出现明显明暗层次，视觉重点集中在轮廓完整性和遮挡关系是否正确。</w:t>
      </w:r>
    </w:p>
    <w:p>
      <w:pPr>
        <w:spacing w:after="0"/>
        <w:jc w:val="center"/>
      </w:pPr>
      <w:r>
        <w:drawing>
          <wp:inline xmlns:a="http://schemas.openxmlformats.org/drawingml/2006/main" xmlns:pic="http://schemas.openxmlformats.org/drawingml/2006/picture">
            <wp:extent cx="2468880" cy="3913225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ly_solid_cropped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468880" cy="39132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hAnsi="Times New Roman" w:eastAsia="宋体"/>
          <w:color w:val="505050"/>
          <w:sz w:val="20"/>
        </w:rPr>
        <w:t>图1  PLY 小人模型纯色显示结果</w:t>
      </w:r>
    </w:p>
    <w:p>
      <w:pPr>
        <w:spacing w:after="120" w:line="300" w:lineRule="auto"/>
        <w:ind w:firstLine="440"/>
      </w:pPr>
      <w:r>
        <w:rPr>
          <w:rFonts w:ascii="Times New Roman" w:hAnsi="Times New Roman" w:eastAsia="宋体"/>
        </w:rPr>
        <w:t>从结果看，模型没有出现面片大面积错连、上下颠倒或被裁剪的问题，说明顶点索引读取、坐标归一化和深度测试都工作正常。</w:t>
      </w:r>
    </w:p>
    <w:p>
      <w:pPr>
        <w:tabs>
          <w:tab w:pos="8280" w:val="right" w:leader="dot"/>
        </w:tabs>
        <w:ind w:left="840"/>
      </w:pPr>
      <w:r>
        <w:rPr>
          <w:rFonts w:ascii="Times New Roman" w:hAnsi="Times New Roman" w:eastAsia="宋体"/>
          <w:sz w:val="24"/>
        </w:rPr>
        <w:t>五、附加题1：光照小人与光源旋转动画</w:t>
        <w:tab/>
        <w:t>5</w:t>
      </w:r>
    </w:p>
    <w:p>
      <w:pPr>
        <w:pStyle w:val="heading 2"/>
        <w:spacing w:before="100" w:after="120"/>
      </w:pPr>
      <w:r>
        <w:rPr>
          <w:rFonts w:ascii="Times New Roman" w:hAnsi="Times New Roman" w:eastAsia="黑体"/>
          <w:b/>
          <w:sz w:val="26"/>
        </w:rPr>
        <w:t>1. 实现原理</w:t>
      </w:r>
    </w:p>
    <w:p>
      <w:pPr>
        <w:spacing w:after="120" w:line="300" w:lineRule="auto"/>
        <w:ind w:firstLine="440"/>
      </w:pPr>
      <w:r>
        <w:rPr>
          <w:rFonts w:ascii="Times New Roman" w:hAnsi="Times New Roman" w:eastAsia="宋体"/>
        </w:rPr>
        <w:t>在 Task1 的基础上加入光照时，最关键的是为每个顶点提供法向量。给定 PLY 文件的顶点属性中已经包含 nx、ny、nz，因此绘制三角形时在 glVertex3f 前调用 glNormal3f，可以让 OpenGL 根据当前光源、材质和法向量计算明暗。</w:t>
      </w:r>
    </w:p>
    <w:p>
      <w:pPr>
        <w:spacing w:after="120" w:line="300" w:lineRule="auto"/>
        <w:ind w:firstLine="440"/>
      </w:pPr>
      <w:r>
        <w:rPr>
          <w:rFonts w:ascii="Times New Roman" w:hAnsi="Times New Roman" w:eastAsia="宋体"/>
        </w:rPr>
        <w:t>程序初始化时启用 GL_LIGHTING 和 GL_LIGHT0，并设置环境光、漫反射光和镜面反射光。光源位置用齐次坐标表示，w 为 1 表示点光源。为了形成光源绕模型旋转的动画，空闲回调函数不断增加角度变量，并用 cos 和 sin 计算光源的 x、z 坐标。每次重绘前重新调用 glLightfv(GL_LIGHT0, GL_POSITION, position)，即可观察到高亮区域随光源移动而变化。</w:t>
      </w:r>
    </w:p>
    <w:p>
      <w:pPr>
        <w:pStyle w:val="heading 2"/>
        <w:spacing w:before="100" w:after="120"/>
      </w:pPr>
      <w:r>
        <w:rPr>
          <w:rFonts w:ascii="Times New Roman" w:hAnsi="Times New Roman" w:eastAsia="黑体"/>
          <w:b/>
          <w:sz w:val="26"/>
        </w:rPr>
        <w:t>2. 关键代码</w:t>
      </w:r>
    </w:p>
    <w:p>
      <w:pPr>
        <w:pStyle w:val="CodeBlock"/>
        <w:spacing w:after="0" w:line="240" w:lineRule="auto"/>
        <w:ind w:firstLine="0"/>
      </w:pPr>
      <w:r>
        <w:rPr>
          <w:rFonts w:ascii="Menlo" w:hAnsi="Menlo" w:eastAsia="Menlo"/>
          <w:sz w:val="17"/>
        </w:rPr>
        <w:t>void updateLight() {</w:t>
      </w:r>
    </w:p>
    <w:p>
      <w:pPr>
        <w:pStyle w:val="CodeBlock"/>
        <w:spacing w:after="0" w:line="240" w:lineRule="auto"/>
        <w:ind w:firstLine="0"/>
      </w:pPr>
      <w:r>
        <w:rPr>
          <w:rFonts w:ascii="Menlo" w:hAnsi="Menlo" w:eastAsia="Menlo"/>
          <w:sz w:val="17"/>
        </w:rPr>
        <w:t xml:space="preserve">    float r = 2.0f;</w:t>
      </w:r>
    </w:p>
    <w:p>
      <w:pPr>
        <w:pStyle w:val="CodeBlock"/>
        <w:spacing w:after="0" w:line="240" w:lineRule="auto"/>
        <w:ind w:firstLine="0"/>
      </w:pPr>
      <w:r>
        <w:rPr>
          <w:rFonts w:ascii="Menlo" w:hAnsi="Menlo" w:eastAsia="Menlo"/>
          <w:sz w:val="17"/>
        </w:rPr>
        <w:t xml:space="preserve">    GLfloat pos[] = { r * cos(lightAngle), 1.4f,</w:t>
      </w:r>
    </w:p>
    <w:p>
      <w:pPr>
        <w:pStyle w:val="CodeBlock"/>
        <w:spacing w:after="0" w:line="240" w:lineRule="auto"/>
        <w:ind w:firstLine="0"/>
      </w:pPr>
      <w:r>
        <w:rPr>
          <w:rFonts w:ascii="Menlo" w:hAnsi="Menlo" w:eastAsia="Menlo"/>
          <w:sz w:val="17"/>
        </w:rPr>
        <w:t xml:space="preserve">                      r * sin(lightAngle), 1.0f };</w:t>
      </w:r>
    </w:p>
    <w:p>
      <w:pPr>
        <w:pStyle w:val="CodeBlock"/>
        <w:spacing w:after="0" w:line="240" w:lineRule="auto"/>
        <w:ind w:firstLine="0"/>
      </w:pPr>
      <w:r>
        <w:rPr>
          <w:rFonts w:ascii="Menlo" w:hAnsi="Menlo" w:eastAsia="Menlo"/>
          <w:sz w:val="17"/>
        </w:rPr>
        <w:t xml:space="preserve">    glLightfv(GL_LIGHT0, GL_POSITION, pos);</w:t>
      </w:r>
    </w:p>
    <w:p>
      <w:pPr>
        <w:pStyle w:val="CodeBlock"/>
        <w:spacing w:after="0" w:line="240" w:lineRule="auto"/>
        <w:ind w:firstLine="0"/>
      </w:pPr>
      <w:r>
        <w:rPr>
          <w:rFonts w:ascii="Menlo" w:hAnsi="Menlo" w:eastAsia="Menlo"/>
          <w:sz w:val="17"/>
        </w:rPr>
        <w:t>}</w:t>
      </w:r>
    </w:p>
    <w:p>
      <w:pPr>
        <w:pStyle w:val="CodeBlock"/>
        <w:spacing w:after="0" w:line="240" w:lineRule="auto"/>
        <w:ind w:firstLine="0"/>
      </w:pPr>
      <w:r>
        <w:rPr>
          <w:rFonts w:ascii="Menlo" w:hAnsi="Menlo" w:eastAsia="Menlo"/>
          <w:sz w:val="17"/>
        </w:rPr>
      </w:r>
    </w:p>
    <w:p>
      <w:pPr>
        <w:pStyle w:val="CodeBlock"/>
        <w:spacing w:after="0" w:line="240" w:lineRule="auto"/>
        <w:ind w:firstLine="0"/>
      </w:pPr>
      <w:r>
        <w:rPr>
          <w:rFonts w:ascii="Menlo" w:hAnsi="Menlo" w:eastAsia="Menlo"/>
          <w:sz w:val="17"/>
        </w:rPr>
        <w:t>void drawModelWithLighting() {</w:t>
      </w:r>
    </w:p>
    <w:p>
      <w:pPr>
        <w:pStyle w:val="CodeBlock"/>
        <w:spacing w:after="0" w:line="240" w:lineRule="auto"/>
        <w:ind w:firstLine="0"/>
      </w:pPr>
      <w:r>
        <w:rPr>
          <w:rFonts w:ascii="Menlo" w:hAnsi="Menlo" w:eastAsia="Menlo"/>
          <w:sz w:val="17"/>
        </w:rPr>
        <w:t xml:space="preserve">    glEnable(GL_LIGHTING);</w:t>
      </w:r>
    </w:p>
    <w:p>
      <w:pPr>
        <w:pStyle w:val="CodeBlock"/>
        <w:spacing w:after="0" w:line="240" w:lineRule="auto"/>
        <w:ind w:firstLine="0"/>
      </w:pPr>
      <w:r>
        <w:rPr>
          <w:rFonts w:ascii="Menlo" w:hAnsi="Menlo" w:eastAsia="Menlo"/>
          <w:sz w:val="17"/>
        </w:rPr>
        <w:t xml:space="preserve">    glEnable(GL_LIGHT0);</w:t>
      </w:r>
    </w:p>
    <w:p>
      <w:pPr>
        <w:pStyle w:val="CodeBlock"/>
        <w:spacing w:after="0" w:line="240" w:lineRule="auto"/>
        <w:ind w:firstLine="0"/>
      </w:pPr>
      <w:r>
        <w:rPr>
          <w:rFonts w:ascii="Menlo" w:hAnsi="Menlo" w:eastAsia="Menlo"/>
          <w:sz w:val="17"/>
        </w:rPr>
        <w:t xml:space="preserve">    for (const Face&amp; f : faces) {</w:t>
      </w:r>
    </w:p>
    <w:p>
      <w:pPr>
        <w:pStyle w:val="CodeBlock"/>
        <w:spacing w:after="0" w:line="240" w:lineRule="auto"/>
        <w:ind w:firstLine="0"/>
      </w:pPr>
      <w:r>
        <w:rPr>
          <w:rFonts w:ascii="Menlo" w:hAnsi="Menlo" w:eastAsia="Menlo"/>
          <w:sz w:val="17"/>
        </w:rPr>
        <w:t xml:space="preserve">        const Vertex&amp; a = vertices[f.v0];</w:t>
      </w:r>
    </w:p>
    <w:p>
      <w:pPr>
        <w:pStyle w:val="CodeBlock"/>
        <w:spacing w:after="0" w:line="240" w:lineRule="auto"/>
        <w:ind w:firstLine="0"/>
      </w:pPr>
      <w:r>
        <w:rPr>
          <w:rFonts w:ascii="Menlo" w:hAnsi="Menlo" w:eastAsia="Menlo"/>
          <w:sz w:val="17"/>
        </w:rPr>
        <w:t xml:space="preserve">        glNormal3f(a.nx, a.ny, a.nz);</w:t>
      </w:r>
    </w:p>
    <w:p>
      <w:pPr>
        <w:pStyle w:val="CodeBlock"/>
        <w:spacing w:after="0" w:line="240" w:lineRule="auto"/>
        <w:ind w:firstLine="0"/>
      </w:pPr>
      <w:r>
        <w:rPr>
          <w:rFonts w:ascii="Menlo" w:hAnsi="Menlo" w:eastAsia="Menlo"/>
          <w:sz w:val="17"/>
        </w:rPr>
        <w:t xml:space="preserve">        glVertex3f(a.x, a.y, a.z);</w:t>
      </w:r>
    </w:p>
    <w:p>
      <w:pPr>
        <w:pStyle w:val="CodeBlock"/>
        <w:spacing w:after="0" w:line="240" w:lineRule="auto"/>
        <w:ind w:firstLine="0"/>
      </w:pPr>
      <w:r>
        <w:rPr>
          <w:rFonts w:ascii="Menlo" w:hAnsi="Menlo" w:eastAsia="Menlo"/>
          <w:sz w:val="17"/>
        </w:rPr>
        <w:t xml:space="preserve">        // 其余两个顶点同样提交法向量与坐标</w:t>
      </w:r>
    </w:p>
    <w:p>
      <w:pPr>
        <w:pStyle w:val="CodeBlock"/>
        <w:spacing w:after="0" w:line="240" w:lineRule="auto"/>
        <w:ind w:firstLine="0"/>
      </w:pPr>
      <w:r>
        <w:rPr>
          <w:rFonts w:ascii="Menlo" w:hAnsi="Menlo" w:eastAsia="Menlo"/>
          <w:sz w:val="17"/>
        </w:rPr>
        <w:t xml:space="preserve">    }</w:t>
      </w:r>
    </w:p>
    <w:p>
      <w:pPr>
        <w:pStyle w:val="CodeBlock"/>
        <w:spacing w:after="0" w:line="240" w:lineRule="auto"/>
        <w:ind w:firstLine="0"/>
      </w:pPr>
      <w:r>
        <w:rPr>
          <w:rFonts w:ascii="Menlo" w:hAnsi="Menlo" w:eastAsia="Menlo"/>
          <w:sz w:val="17"/>
        </w:rPr>
        <w:t>}</w:t>
      </w:r>
    </w:p>
    <w:p>
      <w:pPr>
        <w:spacing w:after="40" w:line="300" w:lineRule="auto"/>
      </w:pPr>
      <w:r>
        <w:rPr>
          <w:rFonts w:ascii="Times New Roman" w:hAnsi="Times New Roman" w:eastAsia="宋体"/>
        </w:rPr>
      </w:r>
    </w:p>
    <w:p>
      <w:pPr>
        <w:pStyle w:val="heading 2"/>
        <w:spacing w:before="100" w:after="120"/>
      </w:pPr>
      <w:r>
        <w:rPr>
          <w:rFonts w:ascii="Times New Roman" w:hAnsi="Times New Roman" w:eastAsia="黑体"/>
          <w:b/>
          <w:sz w:val="26"/>
        </w:rPr>
        <w:t>3. 运行结果与分析</w:t>
      </w:r>
    </w:p>
    <w:p>
      <w:pPr>
        <w:spacing w:after="120" w:line="300" w:lineRule="auto"/>
        <w:ind w:firstLine="440"/>
      </w:pPr>
      <w:r>
        <w:rPr>
          <w:rFonts w:ascii="Times New Roman" w:hAnsi="Times New Roman" w:eastAsia="宋体"/>
        </w:rPr>
        <w:t>开启光照后，小人模型表面出现了明显的亮部、暗部和过渡区域。与纯色显示相比，衣服褶皱、头部、手臂和腿部的空间起伏更容易辨认，说明法向量和光源参数参与了明暗计算。</w:t>
      </w:r>
    </w:p>
    <w:p>
      <w:pPr>
        <w:spacing w:after="0"/>
        <w:jc w:val="center"/>
      </w:pPr>
      <w:r>
        <w:drawing>
          <wp:inline xmlns:a="http://schemas.openxmlformats.org/drawingml/2006/main" xmlns:pic="http://schemas.openxmlformats.org/drawingml/2006/picture">
            <wp:extent cx="2468880" cy="3913225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ly_lit_cropped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468880" cy="39132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hAnsi="Times New Roman" w:eastAsia="宋体"/>
          <w:color w:val="505050"/>
          <w:sz w:val="20"/>
        </w:rPr>
        <w:t>图2  设置光照后的小人模型显示结果</w:t>
      </w:r>
    </w:p>
    <w:p>
      <w:pPr>
        <w:spacing w:after="120" w:line="300" w:lineRule="auto"/>
        <w:ind w:firstLine="440"/>
      </w:pPr>
      <w:r>
        <w:rPr>
          <w:rFonts w:ascii="Times New Roman" w:hAnsi="Times New Roman" w:eastAsia="宋体"/>
        </w:rPr>
        <w:t>当光源绕模型旋转时，模型不同侧面的明暗关系会持续变化。下图选取了 0 度、90 度、180 度和 270 度四个角度的光照状态，可以看到阴影和高亮区域随光源方向移动，符合附加题对动画展示的要求。</w:t>
      </w:r>
    </w:p>
    <w:p>
      <w:pPr>
        <w:spacing w:after="0"/>
        <w:jc w:val="center"/>
      </w:pPr>
      <w:r>
        <w:drawing>
          <wp:inline xmlns:a="http://schemas.openxmlformats.org/drawingml/2006/main" xmlns:pic="http://schemas.openxmlformats.org/drawingml/2006/picture">
            <wp:extent cx="4754880" cy="6174247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ly_light_animation_frames_cn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754880" cy="61742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hAnsi="Times New Roman" w:eastAsia="宋体"/>
          <w:color w:val="505050"/>
          <w:sz w:val="20"/>
        </w:rPr>
        <w:t>图3  光源绕模型旋转时的关键帧效果</w:t>
      </w:r>
    </w:p>
    <w:p>
      <w:pPr>
        <w:tabs>
          <w:tab w:pos="8280" w:val="right" w:leader="dot"/>
        </w:tabs>
        <w:ind w:left="840"/>
      </w:pPr>
      <w:r>
        <w:rPr>
          <w:rFonts w:ascii="Times New Roman" w:hAnsi="Times New Roman" w:eastAsia="宋体"/>
          <w:sz w:val="24"/>
        </w:rPr>
        <w:t>六、附加题2：旋转立方体明暗计算</w:t>
        <w:tab/>
        <w:t>7</w:t>
      </w:r>
    </w:p>
    <w:p>
      <w:pPr>
        <w:pStyle w:val="heading 2"/>
        <w:spacing w:before="100" w:after="120"/>
      </w:pPr>
      <w:r>
        <w:rPr>
          <w:rFonts w:ascii="Times New Roman" w:hAnsi="Times New Roman" w:eastAsia="黑体"/>
          <w:b/>
          <w:sz w:val="26"/>
        </w:rPr>
        <w:t>1. 任务要求理解</w:t>
      </w:r>
    </w:p>
    <w:p>
      <w:pPr>
        <w:spacing w:after="120" w:line="300" w:lineRule="auto"/>
        <w:ind w:firstLine="440"/>
      </w:pPr>
      <w:r>
        <w:rPr>
          <w:rFonts w:ascii="Times New Roman" w:hAnsi="Times New Roman" w:eastAsia="宋体"/>
        </w:rPr>
        <w:t>附加题2要求在实验2旋转立方体的基础上加入光照和材质。与小人模型不同，立方体每个面都应具有明确法向量，否则光照计算无法区分各个面的朝向。实现时需要为六个面分别指定法向量，并在旋转动画中保持光照计算开启。</w:t>
      </w:r>
    </w:p>
    <w:p>
      <w:pPr>
        <w:pStyle w:val="heading 2"/>
        <w:spacing w:before="100" w:after="120"/>
      </w:pPr>
      <w:r>
        <w:rPr>
          <w:rFonts w:ascii="Times New Roman" w:hAnsi="Times New Roman" w:eastAsia="黑体"/>
          <w:b/>
          <w:sz w:val="26"/>
        </w:rPr>
        <w:t>2. 材质与光源交互设计</w:t>
      </w:r>
    </w:p>
    <w:p>
      <w:pPr>
        <w:spacing w:after="120" w:line="300" w:lineRule="auto"/>
        <w:ind w:firstLine="440"/>
      </w:pPr>
      <w:r>
        <w:rPr>
          <w:rFonts w:ascii="Times New Roman" w:hAnsi="Times New Roman" w:eastAsia="宋体"/>
        </w:rPr>
        <w:t>键盘交互部分按照实验要求设置：b 键切换为黄铜材质，n 键切换为红色塑料材质，m 键切换为白色光亮材质；o 键设置白色光，p 键设置彩色光。材质参数主要包括环境光、漫反射、高光反射和光泽度，光源参数主要包括漫反射颜色、镜面颜色和位置。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1152"/>
            <w:vAlign w:val="center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  <w:insideH w:val="single" w:sz="6" w:space="0" w:color="888888"/>
              <w:insideV w:val="single" w:sz="6" w:space="0" w:color="888888"/>
            </w:tcBorders>
            <w:shd w:fill="EDEDED"/>
          </w:tcPr>
          <w:p>
            <w:pPr>
              <w:spacing w:after="40"/>
              <w:ind w:firstLine="0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按键</w:t>
            </w:r>
          </w:p>
        </w:tc>
        <w:tc>
          <w:tcPr>
            <w:tcW w:type="dxa" w:w="2088"/>
            <w:vAlign w:val="center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  <w:insideH w:val="single" w:sz="6" w:space="0" w:color="888888"/>
              <w:insideV w:val="single" w:sz="6" w:space="0" w:color="888888"/>
            </w:tcBorders>
            <w:shd w:fill="EDEDED"/>
          </w:tcPr>
          <w:p>
            <w:pPr>
              <w:spacing w:after="40"/>
              <w:ind w:firstLine="0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功能</w:t>
            </w:r>
          </w:p>
        </w:tc>
        <w:tc>
          <w:tcPr>
            <w:tcW w:type="dxa" w:w="6264"/>
            <w:vAlign w:val="center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  <w:insideH w:val="single" w:sz="6" w:space="0" w:color="888888"/>
              <w:insideV w:val="single" w:sz="6" w:space="0" w:color="888888"/>
            </w:tcBorders>
            <w:shd w:fill="EDEDED"/>
          </w:tcPr>
          <w:p>
            <w:pPr>
              <w:spacing w:after="40"/>
              <w:ind w:firstLine="0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参数变化</w:t>
            </w:r>
          </w:p>
        </w:tc>
      </w:tr>
      <w:tr>
        <w:tc>
          <w:tcPr>
            <w:tcW w:type="dxa" w:w="1152"/>
            <w:vAlign w:val="center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  <w:insideH w:val="single" w:sz="6" w:space="0" w:color="888888"/>
              <w:insideV w:val="single" w:sz="6" w:space="0" w:color="888888"/>
            </w:tcBorders>
          </w:tcPr>
          <w:p>
            <w:pPr>
              <w:spacing w:after="40"/>
              <w:ind w:firstLine="0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b</w:t>
            </w:r>
          </w:p>
        </w:tc>
        <w:tc>
          <w:tcPr>
            <w:tcW w:type="dxa" w:w="2088"/>
            <w:vAlign w:val="center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  <w:insideH w:val="single" w:sz="6" w:space="0" w:color="888888"/>
              <w:insideV w:val="single" w:sz="6" w:space="0" w:color="888888"/>
            </w:tcBorders>
          </w:tcPr>
          <w:p>
            <w:pPr>
              <w:spacing w:after="40"/>
              <w:ind w:firstLine="0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黄铜材质</w:t>
            </w:r>
          </w:p>
        </w:tc>
        <w:tc>
          <w:tcPr>
            <w:tcW w:type="dxa" w:w="6264"/>
            <w:vAlign w:val="center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  <w:insideH w:val="single" w:sz="6" w:space="0" w:color="888888"/>
              <w:insideV w:val="single" w:sz="6" w:space="0" w:color="888888"/>
            </w:tcBorders>
          </w:tcPr>
          <w:p>
            <w:pPr>
              <w:spacing w:after="40"/>
              <w:ind w:firstLine="0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较高的黄色漫反射，中等镜面反射，光泽度适中</w:t>
            </w:r>
          </w:p>
        </w:tc>
      </w:tr>
      <w:tr>
        <w:tc>
          <w:tcPr>
            <w:tcW w:type="dxa" w:w="1152"/>
            <w:vAlign w:val="center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  <w:insideH w:val="single" w:sz="6" w:space="0" w:color="888888"/>
              <w:insideV w:val="single" w:sz="6" w:space="0" w:color="888888"/>
            </w:tcBorders>
          </w:tcPr>
          <w:p>
            <w:pPr>
              <w:spacing w:after="40"/>
              <w:ind w:firstLine="0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n</w:t>
            </w:r>
          </w:p>
        </w:tc>
        <w:tc>
          <w:tcPr>
            <w:tcW w:type="dxa" w:w="2088"/>
            <w:vAlign w:val="center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  <w:insideH w:val="single" w:sz="6" w:space="0" w:color="888888"/>
              <w:insideV w:val="single" w:sz="6" w:space="0" w:color="888888"/>
            </w:tcBorders>
          </w:tcPr>
          <w:p>
            <w:pPr>
              <w:spacing w:after="40"/>
              <w:ind w:firstLine="0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红色塑料材质</w:t>
            </w:r>
          </w:p>
        </w:tc>
        <w:tc>
          <w:tcPr>
            <w:tcW w:type="dxa" w:w="6264"/>
            <w:vAlign w:val="center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  <w:insideH w:val="single" w:sz="6" w:space="0" w:color="888888"/>
              <w:insideV w:val="single" w:sz="6" w:space="0" w:color="888888"/>
            </w:tcBorders>
          </w:tcPr>
          <w:p>
            <w:pPr>
              <w:spacing w:after="40"/>
              <w:ind w:firstLine="0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红色漫反射，镜面反射较弱，表面较柔和</w:t>
            </w:r>
          </w:p>
        </w:tc>
      </w:tr>
      <w:tr>
        <w:tc>
          <w:tcPr>
            <w:tcW w:type="dxa" w:w="1152"/>
            <w:vAlign w:val="center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  <w:insideH w:val="single" w:sz="6" w:space="0" w:color="888888"/>
              <w:insideV w:val="single" w:sz="6" w:space="0" w:color="888888"/>
            </w:tcBorders>
          </w:tcPr>
          <w:p>
            <w:pPr>
              <w:spacing w:after="40"/>
              <w:ind w:firstLine="0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m</w:t>
            </w:r>
          </w:p>
        </w:tc>
        <w:tc>
          <w:tcPr>
            <w:tcW w:type="dxa" w:w="2088"/>
            <w:vAlign w:val="center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  <w:insideH w:val="single" w:sz="6" w:space="0" w:color="888888"/>
              <w:insideV w:val="single" w:sz="6" w:space="0" w:color="888888"/>
            </w:tcBorders>
          </w:tcPr>
          <w:p>
            <w:pPr>
              <w:spacing w:after="40"/>
              <w:ind w:firstLine="0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白色光亮材质</w:t>
            </w:r>
          </w:p>
        </w:tc>
        <w:tc>
          <w:tcPr>
            <w:tcW w:type="dxa" w:w="6264"/>
            <w:vAlign w:val="center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  <w:insideH w:val="single" w:sz="6" w:space="0" w:color="888888"/>
              <w:insideV w:val="single" w:sz="6" w:space="0" w:color="888888"/>
            </w:tcBorders>
          </w:tcPr>
          <w:p>
            <w:pPr>
              <w:spacing w:after="40"/>
              <w:ind w:firstLine="0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白色漫反射与较强高光，光泽度较高</w:t>
            </w:r>
          </w:p>
        </w:tc>
      </w:tr>
      <w:tr>
        <w:tc>
          <w:tcPr>
            <w:tcW w:type="dxa" w:w="1152"/>
            <w:vAlign w:val="center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  <w:insideH w:val="single" w:sz="6" w:space="0" w:color="888888"/>
              <w:insideV w:val="single" w:sz="6" w:space="0" w:color="888888"/>
            </w:tcBorders>
          </w:tcPr>
          <w:p>
            <w:pPr>
              <w:spacing w:after="40"/>
              <w:ind w:firstLine="0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o</w:t>
            </w:r>
          </w:p>
        </w:tc>
        <w:tc>
          <w:tcPr>
            <w:tcW w:type="dxa" w:w="2088"/>
            <w:vAlign w:val="center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  <w:insideH w:val="single" w:sz="6" w:space="0" w:color="888888"/>
              <w:insideV w:val="single" w:sz="6" w:space="0" w:color="888888"/>
            </w:tcBorders>
          </w:tcPr>
          <w:p>
            <w:pPr>
              <w:spacing w:after="40"/>
              <w:ind w:firstLine="0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白色光</w:t>
            </w:r>
          </w:p>
        </w:tc>
        <w:tc>
          <w:tcPr>
            <w:tcW w:type="dxa" w:w="6264"/>
            <w:vAlign w:val="center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  <w:insideH w:val="single" w:sz="6" w:space="0" w:color="888888"/>
              <w:insideV w:val="single" w:sz="6" w:space="0" w:color="888888"/>
            </w:tcBorders>
          </w:tcPr>
          <w:p>
            <w:pPr>
              <w:spacing w:after="40"/>
              <w:ind w:firstLine="0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光源环境光、漫反射和镜面颜色接近白色</w:t>
            </w:r>
          </w:p>
        </w:tc>
      </w:tr>
      <w:tr>
        <w:tc>
          <w:tcPr>
            <w:tcW w:type="dxa" w:w="1152"/>
            <w:vAlign w:val="center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  <w:insideH w:val="single" w:sz="6" w:space="0" w:color="888888"/>
              <w:insideV w:val="single" w:sz="6" w:space="0" w:color="888888"/>
            </w:tcBorders>
          </w:tcPr>
          <w:p>
            <w:pPr>
              <w:spacing w:after="40"/>
              <w:ind w:firstLine="0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p</w:t>
            </w:r>
          </w:p>
        </w:tc>
        <w:tc>
          <w:tcPr>
            <w:tcW w:type="dxa" w:w="2088"/>
            <w:vAlign w:val="center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  <w:insideH w:val="single" w:sz="6" w:space="0" w:color="888888"/>
              <w:insideV w:val="single" w:sz="6" w:space="0" w:color="888888"/>
            </w:tcBorders>
          </w:tcPr>
          <w:p>
            <w:pPr>
              <w:spacing w:after="40"/>
              <w:ind w:firstLine="0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彩色光</w:t>
            </w:r>
          </w:p>
        </w:tc>
        <w:tc>
          <w:tcPr>
            <w:tcW w:type="dxa" w:w="6264"/>
            <w:vAlign w:val="center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  <w:insideH w:val="single" w:sz="6" w:space="0" w:color="888888"/>
              <w:insideV w:val="single" w:sz="6" w:space="0" w:color="888888"/>
            </w:tcBorders>
          </w:tcPr>
          <w:p>
            <w:pPr>
              <w:spacing w:after="40"/>
              <w:ind w:firstLine="0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光源 RGB 分量不同，用于观察颜色对材质的影响</w:t>
            </w:r>
          </w:p>
        </w:tc>
      </w:tr>
    </w:tbl>
    <w:p>
      <w:pPr>
        <w:spacing w:after="40" w:line="300" w:lineRule="auto"/>
      </w:pPr>
      <w:r>
        <w:rPr>
          <w:rFonts w:ascii="Times New Roman" w:hAnsi="Times New Roman" w:eastAsia="宋体"/>
        </w:rPr>
      </w:r>
    </w:p>
    <w:p>
      <w:pPr>
        <w:spacing w:after="120" w:line="300" w:lineRule="auto"/>
        <w:ind w:firstLine="440"/>
      </w:pPr>
      <w:r>
        <w:rPr>
          <w:rFonts w:ascii="Times New Roman" w:hAnsi="Times New Roman" w:eastAsia="宋体"/>
        </w:rPr>
        <w:t>滑动条用于连续调节光照和材质参数，例如环境光强度、漫反射强度、镜面反射强度、光泽度和光源位置。相比只用键盘切换固定值，滑动条可以更直观地观察参数变化对明暗计算的影响。</w:t>
      </w:r>
    </w:p>
    <w:p>
      <w:pPr>
        <w:spacing w:after="0"/>
        <w:jc w:val="center"/>
      </w:pPr>
      <w:r>
        <w:drawing>
          <wp:inline xmlns:a="http://schemas.openxmlformats.org/drawingml/2006/main" xmlns:pic="http://schemas.openxmlformats.org/drawingml/2006/picture">
            <wp:extent cx="5303520" cy="2916936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ube_lighting_controls_cn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9169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hAnsi="Times New Roman" w:eastAsia="宋体"/>
          <w:color w:val="505050"/>
          <w:sz w:val="20"/>
        </w:rPr>
        <w:t>图4  旋转立方体的材质与光源交互设计</w:t>
      </w:r>
    </w:p>
    <w:p>
      <w:pPr>
        <w:pStyle w:val="heading 2"/>
        <w:spacing w:before="100" w:after="120"/>
      </w:pPr>
      <w:r>
        <w:rPr>
          <w:rFonts w:ascii="Times New Roman" w:hAnsi="Times New Roman" w:eastAsia="黑体"/>
          <w:b/>
          <w:sz w:val="26"/>
        </w:rPr>
        <w:t>3. 关键代码</w:t>
      </w:r>
    </w:p>
    <w:p>
      <w:pPr>
        <w:pStyle w:val="CodeBlock"/>
        <w:spacing w:after="0" w:line="240" w:lineRule="auto"/>
        <w:ind w:firstLine="0"/>
      </w:pPr>
      <w:r>
        <w:rPr>
          <w:rFonts w:ascii="Menlo" w:hAnsi="Menlo" w:eastAsia="Menlo"/>
          <w:sz w:val="17"/>
        </w:rPr>
        <w:t>void keyboard(unsigned char key, int, int) {</w:t>
      </w:r>
    </w:p>
    <w:p>
      <w:pPr>
        <w:pStyle w:val="CodeBlock"/>
        <w:spacing w:after="0" w:line="240" w:lineRule="auto"/>
        <w:ind w:firstLine="0"/>
      </w:pPr>
      <w:r>
        <w:rPr>
          <w:rFonts w:ascii="Menlo" w:hAnsi="Menlo" w:eastAsia="Menlo"/>
          <w:sz w:val="17"/>
        </w:rPr>
        <w:t xml:space="preserve">    if (key == 'b') setMaterial(brassAmbient, brassDiffuse, brassSpecular, 27.8f);</w:t>
      </w:r>
    </w:p>
    <w:p>
      <w:pPr>
        <w:pStyle w:val="CodeBlock"/>
        <w:spacing w:after="0" w:line="240" w:lineRule="auto"/>
        <w:ind w:firstLine="0"/>
      </w:pPr>
      <w:r>
        <w:rPr>
          <w:rFonts w:ascii="Menlo" w:hAnsi="Menlo" w:eastAsia="Menlo"/>
          <w:sz w:val="17"/>
        </w:rPr>
        <w:t xml:space="preserve">    if (key == 'n') setMaterial(redPlasticAmbient, redPlasticDiffuse, redPlasticSpecular, 32.0f);</w:t>
      </w:r>
    </w:p>
    <w:p>
      <w:pPr>
        <w:pStyle w:val="CodeBlock"/>
        <w:spacing w:after="0" w:line="240" w:lineRule="auto"/>
        <w:ind w:firstLine="0"/>
      </w:pPr>
      <w:r>
        <w:rPr>
          <w:rFonts w:ascii="Menlo" w:hAnsi="Menlo" w:eastAsia="Menlo"/>
          <w:sz w:val="17"/>
        </w:rPr>
        <w:t xml:space="preserve">    if (key == 'm') setMaterial(whiteAmbient, whiteDiffuse, whiteSpecular, 80.0f);</w:t>
      </w:r>
    </w:p>
    <w:p>
      <w:pPr>
        <w:pStyle w:val="CodeBlock"/>
        <w:spacing w:after="0" w:line="240" w:lineRule="auto"/>
        <w:ind w:firstLine="0"/>
      </w:pPr>
      <w:r>
        <w:rPr>
          <w:rFonts w:ascii="Menlo" w:hAnsi="Menlo" w:eastAsia="Menlo"/>
          <w:sz w:val="17"/>
        </w:rPr>
        <w:t xml:space="preserve">    if (key == 'o') setLightColor(whiteLight);</w:t>
      </w:r>
    </w:p>
    <w:p>
      <w:pPr>
        <w:pStyle w:val="CodeBlock"/>
        <w:spacing w:after="0" w:line="240" w:lineRule="auto"/>
        <w:ind w:firstLine="0"/>
      </w:pPr>
      <w:r>
        <w:rPr>
          <w:rFonts w:ascii="Menlo" w:hAnsi="Menlo" w:eastAsia="Menlo"/>
          <w:sz w:val="17"/>
        </w:rPr>
        <w:t xml:space="preserve">    if (key == 'p') setLightColor(colorLight);</w:t>
      </w:r>
    </w:p>
    <w:p>
      <w:pPr>
        <w:pStyle w:val="CodeBlock"/>
        <w:spacing w:after="0" w:line="240" w:lineRule="auto"/>
        <w:ind w:firstLine="0"/>
      </w:pPr>
      <w:r>
        <w:rPr>
          <w:rFonts w:ascii="Menlo" w:hAnsi="Menlo" w:eastAsia="Menlo"/>
          <w:sz w:val="17"/>
        </w:rPr>
        <w:t>}</w:t>
      </w:r>
    </w:p>
    <w:p>
      <w:pPr>
        <w:pStyle w:val="CodeBlock"/>
        <w:spacing w:after="0" w:line="240" w:lineRule="auto"/>
        <w:ind w:firstLine="0"/>
      </w:pPr>
      <w:r>
        <w:rPr>
          <w:rFonts w:ascii="Menlo" w:hAnsi="Menlo" w:eastAsia="Menlo"/>
          <w:sz w:val="17"/>
        </w:rPr>
      </w:r>
    </w:p>
    <w:p>
      <w:pPr>
        <w:pStyle w:val="CodeBlock"/>
        <w:spacing w:after="0" w:line="240" w:lineRule="auto"/>
        <w:ind w:firstLine="0"/>
      </w:pPr>
      <w:r>
        <w:rPr>
          <w:rFonts w:ascii="Menlo" w:hAnsi="Menlo" w:eastAsia="Menlo"/>
          <w:sz w:val="17"/>
        </w:rPr>
        <w:t>void drawCubeFace(GLfloat nx, GLfloat ny, GLfloat nz) {</w:t>
      </w:r>
    </w:p>
    <w:p>
      <w:pPr>
        <w:pStyle w:val="CodeBlock"/>
        <w:spacing w:after="0" w:line="240" w:lineRule="auto"/>
        <w:ind w:firstLine="0"/>
      </w:pPr>
      <w:r>
        <w:rPr>
          <w:rFonts w:ascii="Menlo" w:hAnsi="Menlo" w:eastAsia="Menlo"/>
          <w:sz w:val="17"/>
        </w:rPr>
        <w:t xml:space="preserve">    glNormal3f(nx, ny, nz);</w:t>
      </w:r>
    </w:p>
    <w:p>
      <w:pPr>
        <w:pStyle w:val="CodeBlock"/>
        <w:spacing w:after="0" w:line="240" w:lineRule="auto"/>
        <w:ind w:firstLine="0"/>
      </w:pPr>
      <w:r>
        <w:rPr>
          <w:rFonts w:ascii="Menlo" w:hAnsi="Menlo" w:eastAsia="Menlo"/>
          <w:sz w:val="17"/>
        </w:rPr>
        <w:t xml:space="preserve">    glBegin(GL_QUADS);</w:t>
      </w:r>
    </w:p>
    <w:p>
      <w:pPr>
        <w:pStyle w:val="CodeBlock"/>
        <w:spacing w:after="0" w:line="240" w:lineRule="auto"/>
        <w:ind w:firstLine="0"/>
      </w:pPr>
      <w:r>
        <w:rPr>
          <w:rFonts w:ascii="Menlo" w:hAnsi="Menlo" w:eastAsia="Menlo"/>
          <w:sz w:val="17"/>
        </w:rPr>
        <w:t xml:space="preserve">    // 按该面的四个顶点顺序绘制</w:t>
      </w:r>
    </w:p>
    <w:p>
      <w:pPr>
        <w:pStyle w:val="CodeBlock"/>
        <w:spacing w:after="0" w:line="240" w:lineRule="auto"/>
        <w:ind w:firstLine="0"/>
      </w:pPr>
      <w:r>
        <w:rPr>
          <w:rFonts w:ascii="Menlo" w:hAnsi="Menlo" w:eastAsia="Menlo"/>
          <w:sz w:val="17"/>
        </w:rPr>
        <w:t xml:space="preserve">    glEnd();</w:t>
      </w:r>
    </w:p>
    <w:p>
      <w:pPr>
        <w:pStyle w:val="CodeBlock"/>
        <w:spacing w:after="0" w:line="240" w:lineRule="auto"/>
        <w:ind w:firstLine="0"/>
      </w:pPr>
      <w:r>
        <w:rPr>
          <w:rFonts w:ascii="Menlo" w:hAnsi="Menlo" w:eastAsia="Menlo"/>
          <w:sz w:val="17"/>
        </w:rPr>
        <w:t>}</w:t>
      </w:r>
    </w:p>
    <w:p>
      <w:pPr>
        <w:spacing w:after="40" w:line="300" w:lineRule="auto"/>
      </w:pPr>
      <w:r>
        <w:rPr>
          <w:rFonts w:ascii="Times New Roman" w:hAnsi="Times New Roman" w:eastAsia="宋体"/>
        </w:rPr>
      </w:r>
    </w:p>
    <w:p>
      <w:pPr>
        <w:tabs>
          <w:tab w:pos="8280" w:val="right" w:leader="dot"/>
        </w:tabs>
        <w:ind w:left="840"/>
      </w:pPr>
      <w:r>
        <w:rPr>
          <w:rFonts w:ascii="Times New Roman" w:hAnsi="Times New Roman" w:eastAsia="宋体"/>
          <w:sz w:val="24"/>
        </w:rPr>
        <w:t>七、问题处理与结果分析</w:t>
        <w:tab/>
        <w:t>9</w:t>
      </w:r>
    </w:p>
    <w:p>
      <w:pPr>
        <w:spacing w:after="120" w:line="300" w:lineRule="auto"/>
        <w:ind w:firstLine="440"/>
      </w:pPr>
      <w:r>
        <w:rPr>
          <w:rFonts w:ascii="Times New Roman" w:hAnsi="Times New Roman" w:eastAsia="宋体"/>
        </w:rPr>
        <w:t>第一个问题是模型坐标范围较大。lizhenxiout.ply 的 y 方向跨度超过 1800，如果直接用默认观察参数绘制，模型容易超出视锥或只显示局部。解决方法是在读入后计算包围盒，将模型中心移动到原点，并用最大边长统一缩放。</w:t>
      </w:r>
    </w:p>
    <w:p>
      <w:pPr>
        <w:spacing w:after="120" w:line="300" w:lineRule="auto"/>
        <w:ind w:firstLine="440"/>
      </w:pPr>
      <w:r>
        <w:rPr>
          <w:rFonts w:ascii="Times New Roman" w:hAnsi="Times New Roman" w:eastAsia="宋体"/>
        </w:rPr>
        <w:t>第二个问题是纯色显示和光照显示的目标不同。纯色显示阶段如果开启光照，颜色会受到法向量和光源影响，不再是严格的纯色；因此 Task1 中应关闭光照或使用不参与光照计算的颜色设置。附加题中再开启光照，并使用法向量和材质参数体现表面起伏。</w:t>
      </w:r>
    </w:p>
    <w:p>
      <w:pPr>
        <w:spacing w:after="120" w:line="300" w:lineRule="auto"/>
        <w:ind w:firstLine="440"/>
      </w:pPr>
      <w:r>
        <w:rPr>
          <w:rFonts w:ascii="Times New Roman" w:hAnsi="Times New Roman" w:eastAsia="宋体"/>
        </w:rPr>
        <w:t>第三个问题是光源位置受矩阵状态影响。固定函数管线中 glLightfv(GL_POSITION) 会乘以当前模型视图矩阵，因此应在设置好视图矩阵后更新光源位置，避免光源跟随模型一起旋转，导致“光源绕模型旋转”的效果不明显。</w:t>
      </w:r>
    </w:p>
    <w:p>
      <w:pPr>
        <w:spacing w:after="120" w:line="300" w:lineRule="auto"/>
        <w:ind w:firstLine="440"/>
      </w:pPr>
      <w:r>
        <w:rPr>
          <w:rFonts w:ascii="Times New Roman" w:hAnsi="Times New Roman" w:eastAsia="宋体"/>
        </w:rPr>
        <w:t>第四个问题是立方体明暗计算需要正确法向量。立方体每个面都应指定固定法向量，例如正面为 (0, 0, 1)、背面为 (0, 0, -1)、上面为 (0, 1, 0)。如果遗漏 glNormal3f，材质和光源参数即使设置正确，显示结果也可能没有合理明暗。</w:t>
      </w:r>
    </w:p>
    <w:p>
      <w:pPr>
        <w:tabs>
          <w:tab w:pos="8280" w:val="right" w:leader="dot"/>
        </w:tabs>
        <w:ind w:left="840"/>
      </w:pPr>
      <w:r>
        <w:rPr>
          <w:rFonts w:ascii="Times New Roman" w:hAnsi="Times New Roman" w:eastAsia="宋体"/>
          <w:sz w:val="24"/>
        </w:rPr>
        <w:t>八、实验总结</w:t>
        <w:tab/>
        <w:t>9</w:t>
      </w:r>
    </w:p>
    <w:p>
      <w:pPr>
        <w:spacing w:after="120" w:line="300" w:lineRule="auto"/>
        <w:ind w:firstLine="440"/>
      </w:pPr>
      <w:r>
        <w:rPr>
          <w:rFonts w:ascii="Times New Roman" w:hAnsi="Times New Roman" w:eastAsia="宋体"/>
        </w:rPr>
        <w:t>通过本次实验，我完整理解了从外部三维模型文件到 OpenGL 窗口显示的基本流程。PLY 文件的头部决定了后续数据如何读取，顶点数组和面片索引共同决定模型拓扑，法向量则决定光照计算是否能正确表现表面方向。</w:t>
      </w:r>
    </w:p>
    <w:p>
      <w:pPr>
        <w:spacing w:after="120" w:line="300" w:lineRule="auto"/>
        <w:ind w:firstLine="440"/>
      </w:pPr>
      <w:r>
        <w:rPr>
          <w:rFonts w:ascii="Times New Roman" w:hAnsi="Times New Roman" w:eastAsia="宋体"/>
        </w:rPr>
        <w:t>在 Task1 中，程序完成了 PLY 模型读取、坐标归一化、纯色显示和深度遮挡；在附加题1中，进一步加入光照、材质和光源位置动画，使模型具有更清晰的空间层次；在附加题2中，将同样的明暗计算思想迁移到旋转立方体，并通过键盘和滑动条实现材质与光源交互。</w:t>
      </w:r>
    </w:p>
    <w:p>
      <w:pPr>
        <w:spacing w:after="120" w:line="300" w:lineRule="auto"/>
        <w:ind w:firstLine="440"/>
      </w:pPr>
      <w:r>
        <w:rPr>
          <w:rFonts w:ascii="Times New Roman" w:hAnsi="Times New Roman" w:eastAsia="宋体"/>
        </w:rPr>
        <w:t>总体来看，本次实验把前两次实验中的窗口管理、矩阵变换、深度测试和交互控制与三维模型数据读取结合起来，使我对 OpenGL 固定函数管线中的“数据 - 变换 - 光照 - 显示”流程有了更系统的认识。</w:t>
      </w:r>
    </w:p>
    <w:sectPr>
      <w:headerReference w:type="default" r:id="rId11"/>
      <w:headerReference w:type="even" r:id="rId12"/>
      <w:footerReference w:type="default" r:id="rId13"/>
      <w:footerReference w:type="even" r:id="rId14"/>
      <w:pgSz w:w="11906" w:h="16838" w:orient="portrait"/>
      <w:pgMar w:top="1417" w:right="1417" w:bottom="1247" w:left="1417" w:header="874" w:footer="991"/>
      <w:bidi w:val="0"/>
    </w:sectPr>
  </w:body>
</w:document>
</file>

<file path=word/fontTable.xml><?xml version="1.0" encoding="utf-8"?>
<w:fonts xmlns:w="http://schemas.openxmlformats.org/wordprocessingml/2006/main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Arial Unicode MS">
    <w:charset w:val="00"/>
    <w:family w:val="roman"/>
    <w:pitch w:val="default"/>
  </w:font>
  <w:font w:name="PingFang SC Regular">
    <w:charset w:val="00"/>
    <w:family w:val="roman"/>
    <w:pitch w:val="default"/>
  </w:font>
  <w:font w:name="Calibri">
    <w:charset w:val="00"/>
    <w:family w:val="roman"/>
    <w:pitch w:val="default"/>
  </w:font>
  <w:font w:name="SimSun">
    <w:charset w:val="00"/>
    <w:family w:val="roman"/>
    <w:pitch w:val="default"/>
  </w:font>
  <w:font w:name="Helvetica">
    <w:charset w:val="00"/>
    <w:family w:val="roman"/>
    <w:pitch w:val="default"/>
  </w:font>
</w:fonts>
</file>

<file path=word/footer1.xml><?xml version="1.0" encoding="utf-8"?>
<w:ft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Normal.0"/>
      <w:spacing w:after="0"/>
      <w:ind w:right="66"/>
      <w:jc w:val="center"/>
    </w:pPr>
    <w:r/>
    <w:r>
      <w:rPr>
        <w:rFonts w:ascii="Times New Roman" w:hAnsi="Times New Roman" w:eastAsia="宋体"/>
        <w:sz w:val="20"/>
      </w:rPr>
      <w:fldChar w:fldCharType="begin"/>
      <w:instrText xml:space="preserve"> PAGE </w:instrText>
      <w:fldChar w:fldCharType="separate"/>
      <w:t>1</w:t>
      <w:fldChar w:fldCharType="end"/>
    </w:r>
  </w:p>
  <w:p>
    <w:pPr>
      <w:pStyle w:val="Normal.0"/>
      <w:spacing w:after="0"/>
    </w:pPr>
    <w:r>
      <w:rPr>
        <w:rFonts w:ascii="Times New Roman" w:hAnsi="Times New Roman"/>
        <w:sz w:val="18"/>
        <w:szCs w:val="18"/>
        <w:rtl w:val="0"/>
        <w:lang w:val="en-US"/>
      </w:rPr>
      <w:t xml:space="preserve"> </w:t>
    </w:r>
  </w:p>
</w:ftr>
</file>

<file path=word/footer2.xml><?xml version="1.0" encoding="utf-8"?>
<w:ft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Normal.0"/>
      <w:spacing w:after="0"/>
      <w:ind w:right="66"/>
      <w:jc w:val="center"/>
    </w:pPr>
    <w:r>
      <w:rPr>
        <w:rtl w:val="0"/>
      </w:rPr>
      <w:fldChar w:fldCharType="begin" w:fldLock="0"/>
    </w:r>
    <w:r>
      <w:rPr>
        <w:rtl w:val="0"/>
      </w:rPr>
      <w:instrText xml:space="preserve"> PAGE </w:instrText>
    </w:r>
    <w:r>
      <w:rPr>
        <w:rtl w:val="0"/>
      </w:rPr>
      <w:fldChar w:fldCharType="separate" w:fldLock="0"/>
    </w:r>
    <w:r>
      <w:rPr>
        <w:rtl w:val="0"/>
      </w:rPr>
      <w:fldChar w:fldCharType="end" w:fldLock="0"/>
    </w:r>
    <w:r>
      <w:rPr>
        <w:rFonts w:ascii="Times New Roman" w:hAnsi="Times New Roman"/>
        <w:sz w:val="18"/>
        <w:szCs w:val="18"/>
        <w:rtl w:val="0"/>
        <w:lang w:val="en-US"/>
      </w:rPr>
      <w:t xml:space="preserve"> </w:t>
    </w:r>
  </w:p>
  <w:p>
    <w:pPr>
      <w:pStyle w:val="Normal.0"/>
      <w:spacing w:after="0"/>
    </w:pPr>
    <w:r>
      <w:rPr>
        <w:rFonts w:ascii="Times New Roman" w:hAnsi="Times New Roman"/>
        <w:sz w:val="18"/>
        <w:szCs w:val="18"/>
        <w:rtl w:val="0"/>
        <w:lang w:val="en-US"/>
      </w:rPr>
      <w:t xml:space="preserve"> </w:t>
    </w:r>
  </w:p>
</w:ftr>
</file>

<file path=word/header1.xml><?xml version="1.0" encoding="utf-8"?>
<w:hd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页眉与页脚"/>
      <w:bidi w:val="0"/>
    </w:pPr>
    <w:r/>
  </w:p>
</w:hdr>
</file>

<file path=word/header2.xml><?xml version="1.0" encoding="utf-8"?>
<w:hd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页眉与页脚"/>
      <w:bidi w:val="0"/>
    </w:pPr>
    <w:r/>
  </w:p>
</w:hdr>
</file>

<file path=word/settings.xml><?xml version="1.0" encoding="utf-8"?>
<w:settings xmlns:mc="http://schemas.openxmlformats.org/markup-compatibility/2006" xmlns:o="urn:schemas-microsoft-com:office:office" xmlns:v="urn:schemas-microsoft-com:vml" xmlns:w="http://schemas.openxmlformats.org/wordprocessingml/2006/main">
  <w:view w:val="print"/>
  <w:mirrorMargins w:val="0"/>
  <w:bordersDoNotSurroundHeader w:val="0"/>
  <w:bordersDoNotSurroundFooter w:val="0"/>
  <w:displayBackgroundShape/>
  <w:revisionView w:markup="1" w:comments="1" w:insDel="1" w:formatting="0"/>
  <w:defaultTabStop w:val="420"/>
  <w:autoHyphenation w:val="0"/>
  <w:evenAndOddHeaders w:val="1"/>
  <w:bookFoldPrinting w:val="0"/>
  <w:noLineBreaksAfter w:lang="中文" w:val="‘“(〔[{〈《「『【⦅〘〖«〝︵︷︹︻︽︿﹁﹃﹇﹙﹛﹝｢"/>
  <w:noLineBreaksBefore w:lang="中文" w:val="’”)〕]}〉"/>
  <w:compat>
    <w:compatSetting w:name="compatibilityMode" w:uri="http://schemas.microsoft.com/office/word" w:val="15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mc="http://schemas.openxmlformats.org/markup-compatibility/2006" xmlns:w14="http://schemas.microsoft.com/office/word/2010/wordml" mc:Ignorable="w14">
  <w:docDefaults>
    <w:rPrDefault>
      <w:rPr>
        <w:rFonts w:ascii="Times New Roman" w:cs="Times New Roman" w:hAnsi="Times New Roman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vanish w:val="0"/>
        <w:color w:val="auto"/>
        <w:spacing w:val="0"/>
        <w:w w:val="100"/>
        <w:kern w:val="0"/>
        <w:position w:val="0"/>
        <w:sz w:val="20"/>
        <w:szCs w:val="20"/>
        <w:u w:val="none" w:color="auto"/>
        <w:bdr w:val="nil"/>
        <w:vertAlign w:val="baseline"/>
        <w:lang/>
      </w:rPr>
    </w:rPrDefault>
    <w:pPrDefault>
      <w:pPr>
        <w:keepNext w:val="0"/>
        <w:keepLines w:val="0"/>
        <w:pageBreakBefore w:val="0"/>
        <w:framePr w:anchorLock="0" w:w="0" w:h="0" w:vSpace="0" w:hSpace="0" w:xAlign="left" w:y="0" w:hRule="exact" w:vAnchor="margin"/>
        <w:widowControl w:val="1"/>
        <w:numPr>
          <w:ilvl w:val="0"/>
          <w:numId w:val="0"/>
        </w:numPr>
        <w:suppressLineNumbers w:val="0"/>
        <w:pBdr>
          <w:top w:val="nil"/>
          <w:left w:val="nil"/>
          <w:bottom w:val="nil"/>
          <w:right w:val="nil"/>
          <w:between w:val="nil"/>
          <w:bar w:val="nil"/>
        </w:pBdr>
        <w:shd w:val="clear" w:color="auto" w:fill="auto"/>
        <w:suppressAutoHyphens w:val="0"/>
        <w:spacing w:before="0" w:beforeAutospacing="0" w:after="0" w:afterAutospacing="0" w:line="240" w:lineRule="auto"/>
        <w:ind w:left="0" w:right="0" w:firstLine="0"/>
        <w:jc w:val="left"/>
        <w:outlineLvl w:val="9"/>
      </w:pPr>
    </w:pPrDefault>
  </w:docDefaults>
  <w:style w:type="paragraph" w:default="1" w:styleId="Normal">
    <w:name w:val="Normal"/>
    <w:next w:val="Normal"/>
    <w:pPr/>
    <w:rPr>
      <w:rFonts w:ascii="Times New Roman" w:hAnsi="Times New Roman" w:eastAsia="宋体"/>
      <w:sz w:val="22"/>
      <w:szCs w:val="24"/>
      <w:lang w:val="en-US" w:eastAsia="en-US" w:bidi="ar-SA"/>
    </w:rPr>
  </w:style>
  <w:style w:type="character" w:default="1" w:styleId="Default Paragraph Font">
    <w:name w:val="Default Paragraph Font"/>
    <w:next w:val="Default Paragraph Font"/>
  </w:style>
  <w:style w:type="character" w:styleId="Hyperlink">
    <w:name w:val="Hyperlink"/>
    <w:rPr>
      <w:u w:val="single"/>
    </w:rPr>
  </w:style>
  <w:style w:type="table" w:default="1" w:styleId="Table Normal">
    <w:name w:val="Table Normal"/>
    <w:next w:val="Table Normal"/>
    <w:pPr/>
    <w:tblPr>
      <w:tblInd w:w="0" w:type="dxa"/>
    </w:tblPr>
    <w:trPr/>
    <w:tcPr/>
    <w:tblStylePr w:type="firstRow"/>
    <w:tblStylePr w:type="lastRow"/>
    <w:tblStylePr w:type="firstCol"/>
    <w:tblStylePr w:type="lastCol"/>
    <w:tblStylePr w:type="band1Vert"/>
    <w:tblStylePr w:type="band2Vert"/>
    <w:tblStylePr w:type="band1Horz"/>
    <w:tblStylePr w:type="band2Horz"/>
    <w:tblStylePr w:type="neCell"/>
    <w:tblStylePr w:type="nwCell"/>
    <w:tblStylePr w:type="seCell"/>
    <w:tblStylePr w:type="swCell"/>
  </w:style>
  <w:style w:type="numbering" w:default="1" w:styleId="No List">
    <w:name w:val="No List"/>
    <w:next w:val="No List"/>
    <w:pPr/>
  </w:style>
  <w:style w:type="paragraph" w:styleId="页眉与页脚">
    <w:name w:val="页眉与页脚"/>
    <w:next w:val="页眉与页脚"/>
    <w:pPr>
      <w:keepNext w:val="0"/>
      <w:keepLines w:val="0"/>
      <w:pageBreakBefore w:val="0"/>
      <w:widowControl w:val="1"/>
      <w:shd w:val="clear" w:color="auto" w:fill="auto"/>
      <w:tabs>
        <w:tab w:val="right" w:pos="9020"/>
      </w:tabs>
      <w:suppressAutoHyphens w:val="0"/>
      <w:bidi w:val="0"/>
      <w:spacing w:before="0" w:after="0" w:line="240" w:lineRule="auto"/>
      <w:ind w:left="0" w:right="0" w:firstLine="0"/>
      <w:jc w:val="left"/>
      <w:outlineLvl w:val="9"/>
    </w:pPr>
    <w:rPr>
      <w:rFonts w:ascii="PingFang SC Regular" w:cs="Arial Unicode MS" w:hAnsi="PingFang SC Regular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4"/>
      <w:szCs w:val="24"/>
      <w:u w:val="none"/>
      <w:shd w:val="nil" w:color="auto" w:fill="auto"/>
      <w:vertAlign w:val="baseline"/>
      <w14:textOutline>
        <w14:noFill/>
      </w14:textOutline>
      <w14:textFill>
        <w14:solidFill>
          <w14:srgbClr w14:val="000000"/>
        </w14:solidFill>
      </w14:textFill>
    </w:rPr>
  </w:style>
  <w:style w:type="paragraph" w:styleId="Normal.0">
    <w:name w:val="Normal"/>
    <w:next w:val="Normal.0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0" w:after="160" w:line="259" w:lineRule="auto"/>
      <w:ind w:left="0" w:right="0" w:firstLine="0"/>
      <w:jc w:val="left"/>
      <w:outlineLvl w:val="9"/>
    </w:pPr>
    <w:rPr>
      <w:rFonts w:ascii="Calibri" w:cs="Arial Unicode MS" w:hAnsi="Calibri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2"/>
      <w:position w:val="0"/>
      <w:sz w:val="22"/>
      <w:szCs w:val="22"/>
      <w:u w:val="none" w:color="000000"/>
      <w:shd w:val="nil" w:color="auto" w:fill="auto"/>
      <w:vertAlign w:val="baseline"/>
      <w:lang w:val="en-US"/>
      <w14:textFill>
        <w14:solidFill>
          <w14:srgbClr w14:val="000000"/>
        </w14:solidFill>
      </w14:textFill>
    </w:rPr>
  </w:style>
  <w:style w:type="paragraph" w:styleId="TOC Heading">
    <w:name w:val="TOC Heading"/>
    <w:next w:val="Normal.0"/>
    <w:pPr>
      <w:keepNext w:val="1"/>
      <w:keepLines w:val="1"/>
      <w:pageBreakBefore w:val="0"/>
      <w:widowControl w:val="1"/>
      <w:shd w:val="clear" w:color="auto" w:fill="auto"/>
      <w:suppressAutoHyphens w:val="0"/>
      <w:bidi w:val="0"/>
      <w:spacing w:before="240" w:after="0" w:line="259" w:lineRule="auto"/>
      <w:ind w:left="0" w:right="0" w:firstLine="0"/>
      <w:jc w:val="left"/>
      <w:outlineLvl w:val="9"/>
    </w:pPr>
    <w:rPr>
      <w:rFonts w:ascii="Arial Unicode MS" w:cs="Arial Unicode MS" w:hAnsi="Arial Unicode MS" w:eastAsia="PingFang SC Regular" w:hint="eastAsia"/>
      <w:b w:val="0"/>
      <w:bCs w:val="0"/>
      <w:i w:val="0"/>
      <w:iCs w:val="0"/>
      <w:caps w:val="0"/>
      <w:smallCaps w:val="0"/>
      <w:strike w:val="0"/>
      <w:dstrike w:val="0"/>
      <w:outline w:val="0"/>
      <w:color w:val="2f5496"/>
      <w:spacing w:val="0"/>
      <w:kern w:val="0"/>
      <w:position w:val="0"/>
      <w:sz w:val="32"/>
      <w:szCs w:val="32"/>
      <w:u w:val="none" w:color="2f5496"/>
      <w:shd w:val="nil" w:color="auto" w:fill="auto"/>
      <w:vertAlign w:val="baseline"/>
      <w:lang w:val="en-US"/>
      <w14:textFill>
        <w14:solidFill>
          <w14:srgbClr w14:val="2F5496"/>
        </w14:solidFill>
      </w14:textFill>
    </w:rPr>
  </w:style>
  <w:style w:type="paragraph" w:styleId="TOC 1">
    <w:name w:val="TOC 1"/>
    <w:next w:val="TOC 1"/>
    <w:pPr>
      <w:keepNext w:val="0"/>
      <w:keepLines w:val="0"/>
      <w:pageBreakBefore w:val="0"/>
      <w:widowControl w:val="1"/>
      <w:shd w:val="clear" w:color="auto" w:fill="auto"/>
      <w:tabs>
        <w:tab w:val="right" w:pos="8344" w:leader="dot"/>
      </w:tabs>
      <w:suppressAutoHyphens w:val="0"/>
      <w:bidi w:val="0"/>
      <w:spacing w:before="0" w:after="160" w:line="259" w:lineRule="auto"/>
      <w:ind w:left="0" w:right="0" w:firstLine="0"/>
      <w:jc w:val="left"/>
      <w:outlineLvl w:val="9"/>
    </w:pPr>
    <w:rPr>
      <w:rFonts w:ascii="Calibri" w:cs="Calibri" w:hAnsi="Calibri" w:eastAsia="Calibri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2"/>
      <w:position w:val="0"/>
      <w:sz w:val="22"/>
      <w:szCs w:val="22"/>
      <w:u w:val="none" w:color="000000"/>
      <w:shd w:val="nil" w:color="auto" w:fill="auto"/>
      <w:vertAlign w:val="baseline"/>
      <w:lang w:val="en-US"/>
      <w14:textFill>
        <w14:solidFill>
          <w14:srgbClr w14:val="000000"/>
        </w14:solidFill>
      </w14:textFill>
    </w:rPr>
  </w:style>
  <w:style w:type="paragraph" w:styleId="heading 1">
    <w:name w:val="heading 1"/>
    <w:next w:val="Normal.0"/>
    <w:pPr>
      <w:keepNext w:val="1"/>
      <w:keepLines w:val="1"/>
      <w:pageBreakBefore w:val="0"/>
      <w:widowControl w:val="1"/>
      <w:shd w:val="clear" w:color="auto" w:fill="auto"/>
      <w:suppressAutoHyphens w:val="0"/>
      <w:bidi w:val="0"/>
      <w:spacing w:before="0" w:after="390" w:line="259" w:lineRule="auto"/>
      <w:ind w:left="10" w:right="64" w:hanging="10"/>
      <w:jc w:val="center"/>
      <w:outlineLvl w:val="0"/>
    </w:pPr>
    <w:rPr>
      <w:rFonts w:ascii="Times New Roman" w:cs="PingFang SC Regular" w:hAnsi="Times New Roman" w:eastAsia="黑体"/>
      <w:b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2"/>
      <w:position w:val="0"/>
      <w:sz w:val="30"/>
      <w:szCs w:val="30"/>
      <w:u w:val="none" w:color="000000"/>
      <w:shd w:val="nil" w:color="auto" w:fill="auto"/>
      <w:vertAlign w:val="baseline"/>
      <w:lang w:val="en-US"/>
      <w14:textFill>
        <w14:solidFill>
          <w14:srgbClr w14:val="000000"/>
        </w14:solidFill>
      </w14:textFill>
    </w:rPr>
  </w:style>
  <w:style w:type="paragraph" w:styleId="TOC 2">
    <w:name w:val="TOC 2"/>
    <w:next w:val="TOC 2"/>
    <w:pPr>
      <w:keepNext w:val="0"/>
      <w:keepLines w:val="0"/>
      <w:pageBreakBefore w:val="0"/>
      <w:widowControl w:val="1"/>
      <w:shd w:val="clear" w:color="auto" w:fill="auto"/>
      <w:tabs>
        <w:tab w:val="right" w:pos="8344" w:leader="dot"/>
      </w:tabs>
      <w:suppressAutoHyphens w:val="0"/>
      <w:bidi w:val="0"/>
      <w:spacing w:before="0" w:after="160" w:line="259" w:lineRule="auto"/>
      <w:ind w:left="440" w:right="0" w:firstLine="0"/>
      <w:jc w:val="left"/>
      <w:outlineLvl w:val="9"/>
    </w:pPr>
    <w:rPr>
      <w:rFonts w:ascii="Calibri" w:cs="Calibri" w:hAnsi="Calibri" w:eastAsia="Calibri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2"/>
      <w:position w:val="0"/>
      <w:sz w:val="22"/>
      <w:szCs w:val="22"/>
      <w:u w:val="none" w:color="000000"/>
      <w:shd w:val="nil" w:color="auto" w:fill="auto"/>
      <w:vertAlign w:val="baseline"/>
      <w:lang w:val="en-US"/>
      <w14:textFill>
        <w14:solidFill>
          <w14:srgbClr w14:val="000000"/>
        </w14:solidFill>
      </w14:textFill>
    </w:rPr>
  </w:style>
  <w:style w:type="paragraph" w:styleId="heading 2">
    <w:name w:val="heading 2"/>
    <w:next w:val="Normal.0"/>
    <w:pPr>
      <w:keepNext w:val="1"/>
      <w:keepLines w:val="1"/>
      <w:pageBreakBefore w:val="0"/>
      <w:widowControl w:val="1"/>
      <w:shd w:val="clear" w:color="auto" w:fill="auto"/>
      <w:suppressAutoHyphens w:val="0"/>
      <w:bidi w:val="0"/>
      <w:spacing w:before="0" w:after="210" w:line="259" w:lineRule="auto"/>
      <w:ind w:left="10" w:right="0" w:hanging="10"/>
      <w:jc w:val="left"/>
      <w:outlineLvl w:val="1"/>
    </w:pPr>
    <w:rPr>
      <w:rFonts w:ascii="Times New Roman" w:cs="PingFang SC Regular" w:hAnsi="Times New Roman" w:eastAsia="黑体"/>
      <w:b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2"/>
      <w:position w:val="0"/>
      <w:sz w:val="26"/>
      <w:szCs w:val="28"/>
      <w:u w:val="none" w:color="000000"/>
      <w:shd w:val="nil" w:color="auto" w:fill="auto"/>
      <w:vertAlign w:val="baseline"/>
      <w:lang w:val="en-US"/>
      <w14:textFill>
        <w14:solidFill>
          <w14:srgbClr w14:val="000000"/>
        </w14:solidFill>
      </w14:textFill>
    </w:rPr>
  </w:style>
  <w:style w:type="paragraph" w:customStyle="1" w:styleId="CodeBlock">
    <w:name w:val="CodeBlock"/>
    <w:rPr>
      <w:rFonts w:ascii="Menlo" w:hAnsi="Menlo" w:eastAsia="Menlo"/>
      <w:sz w:val="17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ettings" Target="settings.xml"/><Relationship Id="rId2" Type="http://schemas.openxmlformats.org/officeDocument/2006/relationships/fontTable" Target="fontTable.xml"/><Relationship Id="rId3" Type="http://schemas.openxmlformats.org/officeDocument/2006/relationships/styles" Target="styles.xml"/><Relationship Id="rId4" Type="http://schemas.openxmlformats.org/officeDocument/2006/relationships/image" Target="media/image1.jpeg"/><Relationship Id="rId5" Type="http://schemas.openxmlformats.org/officeDocument/2006/relationships/image" Target="media/image1.png"/><Relationship Id="rId6" Type="http://schemas.openxmlformats.org/officeDocument/2006/relationships/image" Target="media/image2.png"/><Relationship Id="rId7" Type="http://schemas.openxmlformats.org/officeDocument/2006/relationships/image" Target="media/image3.png"/><Relationship Id="rId8" Type="http://schemas.openxmlformats.org/officeDocument/2006/relationships/image" Target="media/image4.png"/><Relationship Id="rId9" Type="http://schemas.openxmlformats.org/officeDocument/2006/relationships/image" Target="media/image5.png"/><Relationship Id="rId10" Type="http://schemas.openxmlformats.org/officeDocument/2006/relationships/image" Target="media/image6.png"/><Relationship Id="rId11" Type="http://schemas.openxmlformats.org/officeDocument/2006/relationships/header" Target="header1.xml"/><Relationship Id="rId12" Type="http://schemas.openxmlformats.org/officeDocument/2006/relationships/header" Target="header2.xml"/><Relationship Id="rId13" Type="http://schemas.openxmlformats.org/officeDocument/2006/relationships/footer" Target="footer1.xml"/><Relationship Id="rId14" Type="http://schemas.openxmlformats.org/officeDocument/2006/relationships/footer" Target="footer2.xml"/><Relationship Id="rId15" Type="http://schemas.openxmlformats.org/officeDocument/2006/relationships/theme" Target="theme/theme1.xml"/><Relationship Id="rId16" Type="http://schemas.openxmlformats.org/officeDocument/2006/relationships/image" Target="media/image7.png"/><Relationship Id="rId17" Type="http://schemas.openxmlformats.org/officeDocument/2006/relationships/image" Target="media/image8.png"/><Relationship Id="rId18" Type="http://schemas.openxmlformats.org/officeDocument/2006/relationships/image" Target="media/image9.png"/><Relationship Id="rId19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xmlns:r="http://schemas.openxmlformats.org/officeDocument/2006/relationships" name="Office 主题​​">
  <a:themeElements>
    <a:clrScheme name="Office 主题​​">
      <a:dk1>
        <a:srgbClr val="000000"/>
      </a:dk1>
      <a:lt1>
        <a:srgbClr val="FFFFFF"/>
      </a:lt1>
      <a:dk2>
        <a:srgbClr val="A7A7A7"/>
      </a:dk2>
      <a:lt2>
        <a:srgbClr val="535353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000FF"/>
      </a:hlink>
      <a:folHlink>
        <a:srgbClr val="FF00FF"/>
      </a:folHlink>
    </a:clrScheme>
    <a:fontScheme name="Office 主题​​">
      <a:majorFont>
        <a:latin typeface="PingFang SC Semibold"/>
        <a:ea typeface="PingFang SC Semibold"/>
        <a:cs typeface="PingFang SC Semibold"/>
      </a:majorFont>
      <a:minorFont>
        <a:latin typeface="PingFang SC Regular"/>
        <a:ea typeface="PingFang SC Regular"/>
        <a:cs typeface="PingFang SC Regular"/>
      </a:minorFont>
    </a:fontScheme>
    <a:fmtScheme name="Office 主题​​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4999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solidFill>
          <a:srgbClr val="FFFFFF"/>
        </a:solidFill>
        <a:ln w="12700" cap="flat">
          <a:solidFill>
            <a:schemeClr val="accent1"/>
          </a:solidFill>
          <a:prstDash val="solid"/>
          <a:miter lim="800000"/>
        </a:ln>
        <a:effectLst/>
        <a:sp3d/>
      </a:spPr>
      <a:bodyPr rot="0" spcFirstLastPara="1" vertOverflow="overflow" horzOverflow="overflow" vert="horz" wrap="square" lIns="45719" tIns="45719" rIns="45719" bIns="45719" numCol="1" spcCol="38100" rtlCol="0" anchor="ctr" upright="0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+mn-lt"/>
            <a:ea typeface="+mn-ea"/>
            <a:cs typeface="+mn-cs"/>
            <a:sym typeface="PingFang SC Regular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spDef>
    <a:lnDef>
      <a:spPr>
        <a:noFill/>
        <a:ln w="12700" cap="flat">
          <a:solidFill>
            <a:schemeClr val="accent1"/>
          </a:solidFill>
          <a:prstDash val="solid"/>
          <a:miter lim="800000"/>
        </a:ln>
        <a:effectLst/>
        <a:sp3d/>
      </a:spPr>
      <a:bodyPr rot="0" spcFirstLastPara="1" vertOverflow="overflow" horzOverflow="overflow" vert="horz" wrap="square" lIns="91439" tIns="45719" rIns="91439" bIns="45719" numCol="1" spcCol="38100" rtlCol="0" anchor="t" upright="0">
        <a:noAutofit/>
      </a:bodyPr>
      <a:lstStyle>
        <a:def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lnDef>
    <a:txDef>
      <a:spPr>
        <a:noFill/>
        <a:ln w="12700" cap="flat">
          <a:noFill/>
          <a:miter lim="400000"/>
        </a:ln>
        <a:effectLst/>
        <a:sp3d/>
      </a:spPr>
      <a:bodyPr rot="0" spcFirstLastPara="1" vertOverflow="overflow" horzOverflow="overflow" vert="horz" wrap="square" lIns="45719" tIns="45719" rIns="45719" bIns="45719" numCol="1" spcCol="38100" rtlCol="0" anchor="t" upright="0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+mn-lt"/>
            <a:ea typeface="+mn-ea"/>
            <a:cs typeface="+mn-cs"/>
            <a:sym typeface="PingFang SC Regular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txDef>
  </a:objectDefaults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实验3、三维模型显示实验报告</dc:title>
  <dc:creator>李富悦</dc:creator>
  <dc:subject>计算机图形学实验</dc:subject>
</cp:coreProperties>
</file>