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spacing w:after="160" w:line="300" w:lineRule="auto"/>
      </w:pPr>
      <w:r>
        <w:rPr>
          <w:rFonts w:ascii="Times New Roman" w:hAnsi="Times New Roman" w:eastAsia="宋体"/>
        </w:rPr>
      </w:r>
    </w:p>
    <w:p>
      <w:pPr>
        <w:spacing w:after="160" w:line="300" w:lineRule="auto"/>
      </w:pPr>
      <w:r>
        <w:rPr>
          <w:rFonts w:ascii="Times New Roman" w:hAnsi="Times New Roman" w:eastAsia="宋体"/>
        </w:rPr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2103120" cy="574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74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 w:line="300" w:lineRule="auto"/>
        <w:jc w:val="center"/>
      </w:pPr>
      <w:r>
        <w:rPr>
          <w:rFonts w:ascii="Times New Roman" w:hAnsi="Times New Roman" w:eastAsia="黑体"/>
          <w:sz w:val="52"/>
        </w:rPr>
        <w:t>计算机图形学实验</w:t>
      </w:r>
    </w:p>
    <w:p>
      <w:pPr>
        <w:spacing w:after="840" w:line="300" w:lineRule="auto"/>
        <w:jc w:val="center"/>
      </w:pPr>
      <w:r>
        <w:rPr>
          <w:rFonts w:ascii="Times New Roman" w:hAnsi="Times New Roman" w:eastAsia="黑体"/>
          <w:sz w:val="44"/>
        </w:rPr>
        <w:t>实验3、三维模型显示</w:t>
      </w:r>
    </w:p>
    <w:p>
      <w:pPr>
        <w:spacing w:after="100" w:line="300" w:lineRule="auto"/>
        <w:jc w:val="center"/>
      </w:pPr>
      <w:r>
        <w:rPr>
          <w:rFonts w:ascii="Times New Roman" w:hAnsi="Times New Roman" w:eastAsia="宋体"/>
          <w:sz w:val="32"/>
        </w:rPr>
        <w:t>姓    名：____李富悦_____</w:t>
      </w:r>
    </w:p>
    <w:p>
      <w:pPr>
        <w:spacing w:after="100" w:line="300" w:lineRule="auto"/>
        <w:jc w:val="center"/>
      </w:pPr>
      <w:r>
        <w:rPr>
          <w:rFonts w:ascii="Times New Roman" w:hAnsi="Times New Roman" w:eastAsia="宋体"/>
          <w:sz w:val="32"/>
        </w:rPr>
        <w:t>学    号：_22920242203267_</w:t>
      </w:r>
    </w:p>
    <w:p>
      <w:pPr>
        <w:spacing w:after="100" w:line="300" w:lineRule="auto"/>
        <w:jc w:val="center"/>
      </w:pPr>
      <w:r>
        <w:rPr>
          <w:rFonts w:ascii="Times New Roman" w:hAnsi="Times New Roman" w:eastAsia="宋体"/>
          <w:sz w:val="32"/>
        </w:rPr>
        <w:t>学    院：___信息学院____</w:t>
      </w:r>
    </w:p>
    <w:p>
      <w:pPr>
        <w:spacing w:after="100" w:line="300" w:lineRule="auto"/>
        <w:jc w:val="center"/>
      </w:pPr>
      <w:r>
        <w:rPr>
          <w:rFonts w:ascii="Times New Roman" w:hAnsi="Times New Roman" w:eastAsia="宋体"/>
          <w:sz w:val="32"/>
        </w:rPr>
        <w:t>专    业：___软件工程____</w:t>
      </w:r>
    </w:p>
    <w:p>
      <w:pPr>
        <w:spacing w:after="100" w:line="300" w:lineRule="auto"/>
        <w:jc w:val="center"/>
      </w:pPr>
      <w:r>
        <w:rPr>
          <w:rFonts w:ascii="Times New Roman" w:hAnsi="Times New Roman" w:eastAsia="宋体"/>
          <w:sz w:val="32"/>
        </w:rPr>
        <w:t>年    级：____2024级____</w:t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200" w:line="300" w:lineRule="auto"/>
      </w:pPr>
      <w:r>
        <w:rPr>
          <w:rFonts w:ascii="Times New Roman" w:hAnsi="Times New Roman" w:eastAsia="宋体"/>
        </w:rPr>
      </w:r>
    </w:p>
    <w:p>
      <w:pPr>
        <w:spacing w:after="0" w:line="300" w:lineRule="auto"/>
        <w:jc w:val="center"/>
      </w:pPr>
      <w:r>
        <w:rPr>
          <w:rFonts w:ascii="Times New Roman" w:hAnsi="Times New Roman" w:eastAsia="宋体"/>
          <w:sz w:val="28"/>
        </w:rPr>
        <w:t>2026年4月28日</w:t>
      </w:r>
    </w:p>
    <w:p>
      <w:r>
        <w:br w:type="page"/>
      </w:r>
    </w:p>
    <w:p>
      <w:pPr>
        <w:spacing w:after="36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目录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一、实验目的</w:t>
        <w:tab/>
        <w:t>3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二、实验要求分析</w:t>
        <w:tab/>
        <w:t>3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三、实验环境与模型数据</w:t>
        <w:tab/>
        <w:t>3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四、Task1：PLY 模型读取与纯色显示</w:t>
        <w:tab/>
        <w:t>4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五、附加题1：光照小人与光源旋转动画</w:t>
        <w:tab/>
        <w:t>5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六、附加题2：旋转立方体明暗计算</w:t>
        <w:tab/>
        <w:t>7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七、问题处理与结果分析</w:t>
        <w:tab/>
        <w:t>9</w:t>
      </w:r>
    </w:p>
    <w:p>
      <w:pPr>
        <w:tabs>
          <w:tab w:pos="8280" w:val="right" w:leader="dot"/>
        </w:tabs>
        <w:ind w:left="840"/>
      </w:pPr>
      <w:r>
        <w:rPr>
          <w:rFonts w:ascii="Times New Roman" w:hAnsi="Times New Roman" w:eastAsia="宋体"/>
          <w:sz w:val="24"/>
        </w:rPr>
        <w:t>八、实验总结</w:t>
        <w:tab/>
        <w:t>9</w:t>
      </w:r>
    </w:p>
    <w:p>
      <w:r>
        <w:br w:type="page"/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一、实验目的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本次实验围绕“三维模型显示”展开，目标是在 OpenGL 固定函数管线中完成外部三维网格数据的读入、组织和显示。实验重点不只是把模型画到窗口中，还包括理解 PLY 文件中头部、顶点、法向量和面片索引之间的关系，并将这些数据转换为 OpenGL 可以绘制的三角形序列。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通过本实验，我重点训练了以下能力：一是解析 ASCII PLY 文件并建立顶点、法向量和三角面片数据结构；二是对模型进行中心化、缩放、观察矩阵和投影矩阵设置，使大尺寸模型能够稳定显示在窗口中；三是使用深度缓冲区保证三维遮挡关系正确；四是加入光照、材质和交互参数，使模型从单纯轮廓显示扩展到具有明暗层次的三维显示。</w:t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二、实验要求分析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根据实验文档和课堂 PPT，本次实验共有 1 个基础任务和 2 个附加题。基础任务要求学习 PLY 文件格式，读入给定模型文件内容，将模型设置为纯色并显示出来；附加题 1 要求设置光照，使小人模型显示出明暗效果，并调整光源位置，使其围绕小人旋转形成动画；附加题 2 要求在实验 2 的旋转立方体基础上实现明暗计算，并通过键盘和滑动条修改材质、光源和相关参数。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实验说明还强调报告不能只放最终截图，而应体现探索过程。因此本报告按照“任务要求理解 - 实现原理 - 关键代码 - 运行结果 - 问题分析”的顺序组织内容，尽量说明每一步为什么这样处理，以及这些处理对最终显示效果的影响。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65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403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  <w:tc>
          <w:tcPr>
            <w:tcW w:type="dxa" w:w="38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报告对应内容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Task1</w:t>
            </w:r>
          </w:p>
        </w:tc>
        <w:tc>
          <w:tcPr>
            <w:tcW w:type="dxa" w:w="403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读取 PLY 文件，将小人模型纯色显示</w:t>
            </w:r>
          </w:p>
        </w:tc>
        <w:tc>
          <w:tcPr>
            <w:tcW w:type="dxa" w:w="38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PLY 结构解析、模型归一化、三角面片绘制、纯色结果图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附加题1</w:t>
            </w:r>
          </w:p>
        </w:tc>
        <w:tc>
          <w:tcPr>
            <w:tcW w:type="dxa" w:w="403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设置光照并让光源绕模型旋转</w:t>
            </w:r>
          </w:p>
        </w:tc>
        <w:tc>
          <w:tcPr>
            <w:tcW w:type="dxa" w:w="38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法向量使用、光源位置更新、光照结果和动画帧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附加题2</w:t>
            </w:r>
          </w:p>
        </w:tc>
        <w:tc>
          <w:tcPr>
            <w:tcW w:type="dxa" w:w="403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旋转立方体明暗计算，支持材质和光源交互</w:t>
            </w:r>
          </w:p>
        </w:tc>
        <w:tc>
          <w:tcPr>
            <w:tcW w:type="dxa" w:w="38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材质参数表、按键说明、滑动条调节设计</w:t>
            </w:r>
          </w:p>
        </w:tc>
      </w:tr>
    </w:tbl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三、实验环境与模型数据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实验程序采用 C++、OpenGL 和 GLUT 实现，沿用前两次实验中已经建立的窗口初始化、显示回调、键盘回调、空闲回调和 reshape 回调结构。基础绘制仍使用固定函数管线，便于直接观察 glEnable(GL_LIGHTING)、glLightfv、glMaterialfv、glNormal3f 等接口对显示结果的影响。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本次读取的模型文件为 lizhenxiout.ply。该文件是 ASCII PLY 1.0 格式，头部给出了顶点数量、顶点属性、面片数量和面片索引格式。模型顶点规模较大，直接用原坐标绘制会超出默认观察范围，因此程序在读入完成后先计算包围盒，再将模型平移到原点附近并按最大边长归一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数值或格式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文件格式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PLY ASCII 1.0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顶点数量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37702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面片数量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75404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顶点属性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x, y, z, nx, ny, nz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面片格式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每个面片为 3 个顶点索引组成的三角形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包围盒范围</w:t>
            </w:r>
          </w:p>
        </w:tc>
        <w:tc>
          <w:tcPr>
            <w:tcW w:type="dxa" w:w="712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x: -282.053 到 383.957；y: -1002.1 到 827.155；z: -1041.42 到 -537.483</w:t>
            </w:r>
          </w:p>
        </w:tc>
      </w:tr>
    </w:tbl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四、Task1：PLY 模型读取与纯色显示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1. 任务要求理解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Task1 的核心是把 PLY 文件中的网格数据真正转化为三维显示结果。PLY 文件并不是简单的点列表，顶点部分保存空间位置和法向量，面片部分保存三角形顶点索引。只有先保存全部顶点，再按照面片索引取出对应三个顶点，才能完整恢复模型表面。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2. 实现原理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程序读文件时先逐行解析头部，记录 vertex 和 face 的数量，并在遇到 end_header 后进入数据区。顶点数据保存到结构体数组中，结构体包含位置坐标和法向量；面片数据保存为三个整数索引。绘制时遍历面片数组，根据索引查到三个顶点，依次送入 glVertex3f。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为了得到稳定的显示效果，初始化阶段启用深度测试，显示阶段每帧同时清除颜色缓冲区和深度缓冲区。模型读入后计算中心点和最大尺寸，在绘制前进行平移和缩放，这样无论原始 PLY 坐标范围多大，都能放入统一观察体积中。纯色显示部分关闭光照或使用固定颜色，所有三角面片采用同一种颜色绘制，从而满足“纯色小人”的要求。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3. 关键代码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struct Vertex { float x, y, z, nx, ny, nz; };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struct Face { int v0, v1, v2; };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while (getline(fin, line))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(line.find("element vertex") == 0) vertexCount = readCount(line);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else if (line.find("element face") == 0) faceCount = readCount(line);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else if (line == "end_header") break;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vertices.resize(vertexCount);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for (int i = 0; i &lt; vertexCount; ++i)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fin &gt;&gt; vertices[i].x &gt;&gt; vertices[i].y &gt;&gt; vertices[i].z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&gt;&gt; vertices[i].nx &gt;&gt; vertices[i].ny &gt;&gt; vertices[i].nz;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faces.resize(faceCount);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for (int i = 0; i &lt; faceCount; ++i)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int n;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fin &gt;&gt; n &gt;&gt; faces[i].v0 &gt;&gt; faces[i].v1 &gt;&gt; faces[i].v2;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4. 运行结果与分析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纯色显示结果可以看出，PLY 文件中的三角面片已经被正确连接，小人模型的整体轮廓、头部、躯干和四肢位置都能稳定显示。由于该阶段不启用光照，模型内部细节不会出现明显明暗层次，视觉重点集中在轮廓完整性和遮挡关系是否正确。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468880" cy="3913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y_solid_cropp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91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05050"/>
          <w:sz w:val="20"/>
        </w:rPr>
        <w:t>图1  PLY 小人模型纯色显示结果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从结果看，模型没有出现面片大面积错连、上下颠倒或被裁剪的问题，说明顶点索引读取、坐标归一化和深度测试都工作正常。</w:t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五、附加题1：光照小人与光源旋转动画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1. 实现原理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在 Task1 的基础上加入光照时，最关键的是为每个顶点提供法向量。给定 PLY 文件的顶点属性中已经包含 nx、ny、nz，因此绘制三角形时在 glVertex3f 前调用 glNormal3f，可以让 OpenGL 根据当前光源、材质和法向量计算明暗。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程序初始化时启用 GL_LIGHTING 和 GL_LIGHT0，并设置环境光、漫反射光和镜面反射光。光源位置用齐次坐标表示，w 为 1 表示点光源。为了形成光源绕模型旋转的动画，空闲回调函数不断增加角度变量，并用 cos 和 sin 计算光源的 x、z 坐标。每次重绘前重新调用 glLightfv(GL_LIGHT0, GL_POSITION, position)，即可观察到高亮区域随光源移动而变化。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2. 关键代码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void updateLight()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float r = 2.0f;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GLfloat pos[] = { r * cos(lightAngle), 1.4f,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              r * sin(lightAngle), 1.0f };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glLightfv(GL_LIGHT0, GL_POSITION, pos);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void drawModelWithLighting()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glEnable(GL_LIGHTING);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glEnable(GL_LIGHT0);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for (const Face&amp; f : faces)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const Vertex&amp; a = vertices[f.v0];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glNormal3f(a.nx, a.ny, a.nz);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glVertex3f(a.x, a.y, a.z);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    // 其余两个顶点同样提交法向量与坐标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}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3. 运行结果与分析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开启光照后，小人模型表面出现了明显的亮部、暗部和过渡区域。与纯色显示相比，衣服褶皱、头部、手臂和腿部的空间起伏更容易辨认，说明法向量和光源参数参与了明暗计算。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468880" cy="3913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y_lit_crop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91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05050"/>
          <w:sz w:val="20"/>
        </w:rPr>
        <w:t>图2  设置光照后的小人模型显示结果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当光源绕模型旋转时，模型不同侧面的明暗关系会持续变化。下图选取了 0 度、90 度、180 度和 270 度四个角度的光照状态，可以看到阴影和高亮区域随光源方向移动，符合附加题对动画展示的要求。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6174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y_light_animation_frames_c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17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05050"/>
          <w:sz w:val="20"/>
        </w:rPr>
        <w:t>图3  光源绕模型旋转时的关键帧效果</w:t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六、附加题2：旋转立方体明暗计算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1. 任务要求理解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附加题2要求在实验2旋转立方体的基础上加入光照和材质。与小人模型不同，立方体每个面都应具有明确法向量，否则光照计算无法区分各个面的朝向。实现时需要为六个面分别指定法向量，并在旋转动画中保持光照计算开启。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2. 材质与光源交互设计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键盘交互部分按照实验要求设置：b 键切换为黄铜材质，n 键切换为红色塑料材质，m 键切换为白色光亮材质；o 键设置白色光，p 键设置彩色光。材质参数主要包括环境光、漫反射、高光反射和光泽度，光源参数主要包括漫反射颜色、镜面颜色和位置。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按键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  <w:shd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参数变化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黄铜材质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较高的黄色漫反射，中等镜面反射，光泽度适中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红色塑料材质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红色漫反射，镜面反射较弱，表面较柔和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白色光亮材质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白色漫反射与较强高光，光泽度较高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白色光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光源环境光、漫反射和镜面颜色接近白色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</w:t>
            </w:r>
          </w:p>
        </w:tc>
        <w:tc>
          <w:tcPr>
            <w:tcW w:type="dxa" w:w="2088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彩色光</w:t>
            </w:r>
          </w:p>
        </w:tc>
        <w:tc>
          <w:tcPr>
            <w:tcW w:type="dxa" w:w="6264"/>
            <w:vAlign w:val="center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  <w:insideH w:val="single" w:sz="6" w:space="0" w:color="888888"/>
              <w:insideV w:val="single" w:sz="6" w:space="0" w:color="888888"/>
            </w:tcBorders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光源 RGB 分量不同，用于观察颜色对材质的影响</w:t>
            </w:r>
          </w:p>
        </w:tc>
      </w:tr>
    </w:tbl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spacing w:line="300" w:lineRule="auto"/>
        <w:ind w:firstLine="440"/>
      </w:pPr>
      <w:r>
        <w:rPr>
          <w:rFonts w:ascii="Times New Roman" w:hAnsi="Times New Roman" w:eastAsia="宋体"/>
          <w:sz w:val="22"/>
        </w:rPr>
        <w:t>滑动条用于连续调节光照和材质参数，源码中设置了 Ambient、Diffuse、Specular 和 Shininess 四个滑动条，分别控制环境光系数、漫反射系数、镜面反射系数和光泽度。光源位置由程序根据角度变量自动绕模型旋转，键盘 o/p 负责切换白色光和彩色光。相比只用键盘切换固定值，滑动条可以更直观地观察参数变化对明暗计算的影响。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6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lighting_controls_c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color w:val="505050"/>
          <w:sz w:val="20"/>
        </w:rPr>
        <w:t>图4  旋转立方体的材质与光源交互设计</w:t>
      </w:r>
    </w:p>
    <w:p>
      <w:pPr>
        <w:pStyle w:val="heading 2"/>
        <w:spacing w:before="100" w:after="120"/>
      </w:pPr>
      <w:r>
        <w:rPr>
          <w:rFonts w:ascii="Times New Roman" w:hAnsi="Times New Roman" w:eastAsia="黑体"/>
          <w:b/>
          <w:sz w:val="26"/>
        </w:rPr>
        <w:t>3. 关键代码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void keyboard(unsigned char key, int, int)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(key == 'b') setMaterial(brassAmbient, brassDiffuse, brassSpecular, 27.8f);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(key == 'n') setMaterial(redPlasticAmbient, redPlasticDiffuse, redPlasticSpecular, 32.0f);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(key == 'm') setMaterial(whiteAmbient, whiteDiffuse, whiteSpecular, 80.0f);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(key == 'o') setLightColor(whiteLight);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if (key == 'p') setLightColor(colorLight);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void drawCubeFace(GLfloat nx, GLfloat ny, GLfloat nz) {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glNormal3f(nx, ny, nz);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glBegin(GL_QUADS);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// 按该面的四个顶点顺序绘制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 xml:space="preserve">    glEnd();</w:t>
      </w:r>
    </w:p>
    <w:p>
      <w:pPr>
        <w:pStyle w:val="CodeBlock"/>
        <w:spacing w:after="0" w:line="240" w:lineRule="auto"/>
        <w:ind w:firstLine="0"/>
      </w:pPr>
      <w:r>
        <w:rPr>
          <w:rFonts w:ascii="Menlo" w:hAnsi="Menlo" w:eastAsia="Menlo"/>
          <w:sz w:val="17"/>
        </w:rPr>
        <w:t>}</w:t>
      </w:r>
    </w:p>
    <w:p>
      <w:pPr>
        <w:spacing w:after="40" w:line="300" w:lineRule="auto"/>
      </w:pPr>
      <w:r>
        <w:rPr>
          <w:rFonts w:ascii="Times New Roman" w:hAnsi="Times New Roman" w:eastAsia="宋体"/>
        </w:rPr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七、问题处理与结果分析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第一个问题是模型坐标范围较大。lizhenxiout.ply 的 y 方向跨度超过 1800，如果直接用默认观察参数绘制，模型容易超出视锥或只显示局部。解决方法是在读入后计算包围盒，将模型中心移动到原点，并用最大边长统一缩放。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第二个问题是纯色显示和光照显示的目标不同。纯色显示阶段如果开启光照，颜色会受到法向量和光源影响，不再是严格的纯色；因此 Task1 中应关闭光照或使用不参与光照计算的颜色设置。附加题中再开启光照，并使用法向量和材质参数体现表面起伏。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第三个问题是光源位置受矩阵状态影响。固定函数管线中 glLightfv(GL_POSITION) 会乘以当前模型视图矩阵，因此应在设置好视图矩阵后更新光源位置，避免光源跟随模型一起旋转，导致“光源绕模型旋转”的效果不明显。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第四个问题是立方体明暗计算需要正确法向量。立方体每个面都应指定固定法向量，例如正面为 (0, 0, 1)、背面为 (0, 0, -1)、上面为 (0, 1, 0)。如果遗漏 glNormal3f，材质和光源参数即使设置正确，显示结果也可能没有合理明暗。</w:t>
      </w:r>
    </w:p>
    <w:p>
      <w:pPr>
        <w:pStyle w:val="heading 1"/>
        <w:spacing w:before="160" w:after="120"/>
        <w:ind w:left="0" w:firstLine="0"/>
        <w:jc w:val="center"/>
      </w:pPr>
      <w:r>
        <w:rPr>
          <w:rFonts w:ascii="Times New Roman" w:hAnsi="Times New Roman" w:eastAsia="黑体"/>
          <w:b/>
          <w:sz w:val="30"/>
        </w:rPr>
        <w:t>八、实验总结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通过本次实验，我完整理解了从外部三维模型文件到 OpenGL 窗口显示的基本流程。PLY 文件的头部决定了后续数据如何读取，顶点数组和面片索引共同决定模型拓扑，法向量则决定光照计算是否能正确表现表面方向。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在 Task1 中，程序完成了 PLY 模型读取、坐标归一化、纯色显示和深度遮挡；在附加题1中，进一步加入光照、材质和光源位置动画，使模型具有更清晰的空间层次；在附加题2中，将同样的明暗计算思想迁移到旋转立方体，并通过键盘和滑动条实现材质与光源交互。</w:t>
      </w:r>
    </w:p>
    <w:p>
      <w:pPr>
        <w:spacing w:after="120" w:line="300" w:lineRule="auto"/>
        <w:ind w:firstLine="440"/>
      </w:pPr>
      <w:r>
        <w:rPr>
          <w:rFonts w:ascii="Times New Roman" w:hAnsi="Times New Roman" w:eastAsia="宋体"/>
        </w:rPr>
        <w:t>总体来看，本次实验把前两次实验中的窗口管理、矩阵变换、深度测试和交互控制与三维模型数据读取结合起来，使我对 OpenGL 固定函数管线中的“数据 - 变换 - 光照 - 显示”流程有了更系统的认识。</w:t>
      </w:r>
    </w:p>
    <w:sectPr>
      <w:headerReference w:type="default" r:id="rId11"/>
      <w:headerReference w:type="even" r:id="rId12"/>
      <w:footerReference w:type="default" r:id="rId13"/>
      <w:footerReference w:type="even" r:id="rId14"/>
      <w:pgSz w:w="11906" w:h="16838" w:orient="portrait"/>
      <w:pgMar w:top="1417" w:right="1417" w:bottom="1247" w:left="1417" w:header="874" w:footer="99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SimSu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after="0"/>
      <w:ind w:right="66"/>
      <w:jc w:val="center"/>
    </w:pPr>
    <w:r/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</w:p>
  <w:p>
    <w:pPr>
      <w:pStyle w:val="Normal.0"/>
      <w:spacing w:after="0"/>
    </w:pPr>
    <w:r>
      <w:rPr>
        <w:rFonts w:ascii="Times New Roman" w:hAnsi="Times New Roman"/>
        <w:sz w:val="18"/>
        <w:szCs w:val="18"/>
        <w:rtl w:val="0"/>
        <w:lang w:val="en-US"/>
      </w:rPr>
      <w:t xml:space="preserve"> </w:t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after="0"/>
      <w:ind w:right="66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  <w:r>
      <w:rPr>
        <w:rFonts w:ascii="Times New Roman" w:hAnsi="Times New Roman"/>
        <w:sz w:val="18"/>
        <w:szCs w:val="18"/>
        <w:rtl w:val="0"/>
        <w:lang w:val="en-US"/>
      </w:rPr>
      <w:t xml:space="preserve"> </w:t>
    </w:r>
  </w:p>
  <w:p>
    <w:pPr>
      <w:pStyle w:val="Normal.0"/>
      <w:spacing w:after="0"/>
    </w:pPr>
    <w:r>
      <w:rPr>
        <w:rFonts w:ascii="Times New Roman" w:hAnsi="Times New Roman"/>
        <w:sz w:val="18"/>
        <w:szCs w:val="18"/>
        <w:rtl w:val="0"/>
        <w:lang w:val="en-US"/>
      </w:rPr>
      <w:t xml:space="preserve">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1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rFonts w:ascii="Times New Roman" w:hAnsi="Times New Roman" w:eastAsia="宋体"/>
      <w:sz w:val="22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en-US"/>
      <w14:textFill>
        <w14:solidFill>
          <w14:srgbClr w14:val="2F5496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8344" w:leader="dot"/>
      </w:tabs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390" w:line="259" w:lineRule="auto"/>
      <w:ind w:left="10" w:right="64" w:hanging="10"/>
      <w:jc w:val="center"/>
      <w:outlineLvl w:val="0"/>
    </w:pPr>
    <w:rPr>
      <w:rFonts w:ascii="Times New Roman" w:cs="PingFang SC Regular" w:hAnsi="Times New Roman" w:eastAsia="黑体"/>
      <w:b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0"/>
      <w:szCs w:val="3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8344" w:leader="dot"/>
      </w:tabs>
      <w:suppressAutoHyphens w:val="0"/>
      <w:bidi w:val="0"/>
      <w:spacing w:before="0" w:after="160" w:line="259" w:lineRule="auto"/>
      <w:ind w:left="44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10" w:line="259" w:lineRule="auto"/>
      <w:ind w:left="10" w:right="0" w:hanging="10"/>
      <w:jc w:val="left"/>
      <w:outlineLvl w:val="1"/>
    </w:pPr>
    <w:rPr>
      <w:rFonts w:ascii="Times New Roman" w:cs="PingFang SC Regular" w:hAnsi="Times New Roman" w:eastAsia="黑体"/>
      <w:b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6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customStyle="1" w:styleId="CodeBlock">
    <w:name w:val="CodeBlock"/>
    <w:rPr>
      <w:rFonts w:ascii="Menlo" w:hAnsi="Menlo" w:eastAsia="Menlo"/>
      <w:sz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实验3、三维模型显示实验报告</dc:title>
  <dc:creator>李富悦</dc:creator>
  <dc:subject>计算机图形学实验</dc:subject>
</cp:coreProperties>
</file>