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STAR Analysis Note</w:t>
      </w:r>
    </w:p>
    <w:p>
      <w:pPr>
        <w:spacing w:after="60"/>
      </w:pPr>
      <w:r>
        <w:rPr>
          <w:rFonts w:ascii="Arial" w:cs="Arial" w:eastAsia="Arial" w:hAnsi="Arial"/>
          <w:b/>
          <w:bCs/>
          <w:color w:val="1F3864"/>
          <w:sz w:val="30"/>
          <w:szCs w:val="30"/>
        </w:rPr>
        <w:t xml:space="preserve">Identified π/K/p Spectra in O+O Collisions at √sNN = 200 GeV (ColliderCenter Geometry)</w:t>
      </w:r>
    </w:p>
    <w:p>
      <w:pPr>
        <w:spacing w:after="300"/>
      </w:pPr>
      <w:r>
        <w:rPr>
          <w:rFonts w:ascii="Arial" w:cs="Arial" w:eastAsia="Arial" w:hAnsi="Arial"/>
          <w:i/>
          <w:iCs/>
          <w:color w:val="444444"/>
          <w:sz w:val="22"/>
          <w:szCs w:val="22"/>
        </w:rPr>
        <w:t xml:space="preserve">Repository: lightflavorspectra_OO200</w:t>
      </w:r>
    </w:p>
    <w:p>
      <w:pPr>
        <w:pBdr>
          <w:top w:val="single" w:color="1F3864" w:sz="4" w:space="4"/>
          <w:bottom w:val="single" w:color="1F3864" w:sz="4" w:space="4"/>
        </w:pBdr>
        <w:spacing w:after="40"/>
      </w:pPr>
      <w:r>
        <w:rPr>
          <w:rFonts w:ascii="Arial" w:cs="Arial" w:eastAsia="Arial" w:hAnsi="Arial"/>
        </w:rPr>
        <w:t xml:space="preserve"> </w:t>
      </w:r>
    </w:p>
    <w:p>
      <w:pPr>
        <w:spacing w:after="100" w:before="160"/>
      </w:pPr>
      <w:r>
        <w:rPr>
          <w:rFonts w:ascii="Arial" w:cs="Arial" w:eastAsia="Arial" w:hAnsi="Arial"/>
          <w:b/>
          <w:bCs/>
        </w:rPr>
        <w:t xml:space="preserve">Status: </w:t>
      </w:r>
      <w:r>
        <w:rPr>
          <w:rFonts w:ascii="Arial" w:cs="Arial" w:eastAsia="Arial" w:hAnsi="Arial"/>
          <w:i/>
          <w:iCs/>
        </w:rPr>
        <w:t xml:space="preserve">DRAFT — framework, cuts, and build/software pipeline are documented and validated (SDCC build confirmed working as of 2026-07-02). No production data has been processed and no physics results (spectra, yields, dN/dy) exist yet. Sections 10–12 are placeholders to be completed once real output is available.</w:t>
      </w:r>
    </w:p>
    <w:p>
      <w:pPr>
        <w:spacing w:after="400" w:before="0"/>
      </w:pPr>
      <w:r>
        <w:rPr>
          <w:rFonts w:ascii="Arial" w:cs="Arial" w:eastAsia="Arial" w:hAnsi="Arial"/>
          <w:i/>
          <w:iCs/>
          <w:sz w:val="20"/>
          <w:szCs w:val="20"/>
        </w:rPr>
        <w:t xml:space="preserve">Document date: 2026-07-02</w:t>
      </w:r>
    </w:p>
    <w:p>
      <w:pPr>
        <w:pStyle w:val="Heading1"/>
        <w:spacing w:after="200" w:before="360"/>
      </w:pPr>
      <w:r>
        <w:rPr>
          <w:rFonts w:ascii="Arial" w:cs="Arial" w:eastAsia="Arial" w:hAnsi="Arial"/>
        </w:rPr>
        <w:t xml:space="preserve">1. Introduction and Motivation</w:t>
      </w:r>
    </w:p>
    <w:p>
      <w:pPr>
        <w:spacing w:after="160" w:before="0"/>
      </w:pPr>
      <w:r>
        <w:rPr>
          <w:rFonts w:ascii="Arial" w:cs="Arial" w:eastAsia="Arial" w:hAnsi="Arial"/>
        </w:rPr>
        <w:t xml:space="preserve">This note documents the analysis framework for measuring identified charged-pion, charged-kaon, and (anti)proton transverse-momentum spectra in O+O collisions at √sNN = 200 GeV, recorded by STAR in the ColliderCenter geometry. The analysis targets bulk particle production observables — invariant yields (d²N/(2πpT dpT dy)) and rapidity densities (dN/dy) — as a function of centrality, differentially for each of the three species and both charge signs.</w:t>
      </w:r>
    </w:p>
    <w:p>
      <w:pPr>
        <w:spacing w:after="160" w:before="0"/>
      </w:pPr>
      <w:r>
        <w:rPr>
          <w:rFonts w:ascii="Arial" w:cs="Arial" w:eastAsia="Arial" w:hAnsi="Arial"/>
        </w:rPr>
        <w:t xml:space="preserve">O+O collisions occupy an intermediate system-size regime between small (p+p, p+A) and large (Au+Au, Pb+Pb) collision systems. Comparing identified-particle spectra and yields in O+O to the existing large- and small-system baselines at the same energy helps probe how bulk particle production (radial flow, chemical freeze-out conditions, and any onset of collectivity) scales with system size. This is the first dedicated pi/K/p spectra analysis for this specific O+O 200 GeV dataset within the lightflavorspectra analysis family.</w:t>
      </w:r>
    </w:p>
    <w:p>
      <w:pPr>
        <w:spacing w:after="160" w:before="0"/>
      </w:pPr>
      <w:r>
        <w:rPr>
          <w:rFonts w:ascii="Arial" w:cs="Arial" w:eastAsia="Arial" w:hAnsi="Arial"/>
        </w:rPr>
        <w:t xml:space="preserve">This repository, lightflavorspectra_OO200, is a deliberately narrowed fork of an existing multi-energy, multi-geometry analysis codebase (lightflavorspectra_etof), restricted to exactly one physics configuration — O+O at 200 GeV, ColliderCenter geometry, pion/kaon/proton only — so that the full local (laptop) run chain stays fast and simple, while an SDCC/RCF batch path is added for the one stage (raw-yield extraction from PicoDsts) that is too large to run locally against a full production dataset.</w:t>
      </w:r>
    </w:p>
    <w:p>
      <w:pPr>
        <w:pStyle w:val="Heading1"/>
        <w:spacing w:after="200" w:before="360"/>
      </w:pPr>
      <w:r>
        <w:rPr>
          <w:rFonts w:ascii="Arial" w:cs="Arial" w:eastAsia="Arial" w:hAnsi="Arial"/>
        </w:rPr>
        <w:t xml:space="preserve">2. Dataset</w:t>
      </w:r>
    </w:p>
    <w:p>
      <w:pPr>
        <w:spacing w:after="160" w:before="0"/>
      </w:pPr>
      <w:r>
        <w:rPr>
          <w:rFonts w:ascii="Arial" w:cs="Arial" w:eastAsia="Arial" w:hAnsi="Arial"/>
        </w:rPr>
        <w:t xml:space="preserve">The analysis targets the O+O 200 GeV production dataset via the following STAR catalog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468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Collision system</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O+O</w:t>
            </w:r>
          </w:p>
        </w:tc>
      </w:tr>
      <w:tr>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Energy</w:t>
            </w:r>
          </w:p>
        </w:tc>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√sNN = 200 GeV</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Trigger setup</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production_OO_200GeV_2021</w:t>
            </w:r>
          </w:p>
        </w:tc>
      </w:tr>
      <w:tr>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Production tag</w:t>
            </w:r>
          </w:p>
        </w:tc>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P24iy</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STAR library</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SL24y</w:t>
            </w:r>
          </w:p>
        </w:tc>
      </w:tr>
      <w:tr>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Geometry / event config</w:t>
            </w:r>
          </w:p>
        </w:tc>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ColliderCenter</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File type</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daq_reco_picoDst</w:t>
            </w:r>
          </w:p>
        </w:tc>
      </w:tr>
    </w:tbl>
    <w:p>
      <w:pPr>
        <w:pBdr>
          <w:left w:val="single" w:color="999999" w:sz="12" w:space="8"/>
        </w:pBdr>
        <w:spacing w:after="200" w:before="80"/>
        <w:ind w:left="360"/>
      </w:pPr>
      <w:r>
        <w:rPr>
          <w:rFonts w:ascii="Arial" w:cs="Arial" w:eastAsia="Arial" w:hAnsi="Arial"/>
          <w:i/>
          <w:iCs/>
          <w:color w:val="555555"/>
          <w:sz w:val="20"/>
          <w:szCs w:val="20"/>
        </w:rPr>
        <w:t xml:space="preserve">The production=P24iy / library=SL24y pairing was set to match this dataset’s real production library, replacing an earlier placeholder pairing (production=P23ic / library=SL23c) copied from a different-energy analysis this repo was forked from. This pairing has not been independently re-verified against the live StarCatalog at the time of writing — confirm it resolves to a non-empty file set before submitting a full production job, since an incorrect pairing fails silently (returns zero files) rather than erroring.</w:t>
      </w:r>
    </w:p>
    <w:p>
      <w:pPr>
        <w:spacing w:after="160" w:before="0"/>
      </w:pPr>
      <w:r>
        <w:rPr>
          <w:rFonts w:ascii="Arial" w:cs="Arial" w:eastAsia="Arial" w:hAnsi="Arial"/>
        </w:rPr>
        <w:t xml:space="preserve">Event selection uses trigger ID 860001 with a Z-vertex range of ‒70 cm to +70 cm, a radial vertex cut of 2.0 cm, and requires a TOF-based T0 match (nToFT0 ≥ 3, tofMatch ≥ 3) for event-level timing calibration. Centrality is defined from the raw (uncorrected) reference multiplicity, refMult — StRefMultCorr-based centrality is not used for this configuration (matching the parent analysis’s convention for this dataset).</w:t>
      </w:r>
    </w:p>
    <w:p>
      <w:pPr>
        <w:pStyle w:val="Heading1"/>
        <w:spacing w:after="200" w:before="360"/>
      </w:pPr>
      <w:r>
        <w:rPr>
          <w:rFonts w:ascii="Arial" w:cs="Arial" w:eastAsia="Arial" w:hAnsi="Arial"/>
        </w:rPr>
        <w:t xml:space="preserve">3. Software Framework and Repository Structure</w:t>
      </w:r>
    </w:p>
    <w:p>
      <w:pPr>
        <w:spacing w:after="160" w:before="0"/>
      </w:pPr>
      <w:r>
        <w:rPr>
          <w:rFonts w:ascii="Arial" w:cs="Arial" w:eastAsia="Arial" w:hAnsi="Arial"/>
        </w:rPr>
        <w:t xml:space="preserve">lightflavorspectra_OO200 is a fork of lightflavorspectra_etof, narrowed to this single physics configuration. Physics and fit logic in every ported class (PicoBinner, ZFitter, RawSpectraModifier, SpectraFitter, and their shared utility dependencies) is carried over byte-for-byte from the parent repository wherever the original code had no energy- or species-specific branching to remove; every place a run macro needed to change (dropping the multi-energy scan, dropping unrelated SDCC paths, restricting to pi/K/p) is documented in a header comment in that macro, including exactly which values were fixed verbatim versus exposed as new function arguments.</w:t>
      </w:r>
    </w:p>
    <w:p>
      <w:pPr>
        <w:spacing w:after="160" w:before="0"/>
      </w:pPr>
      <w:r>
        <w:rPr>
          <w:rFonts w:ascii="Arial" w:cs="Arial" w:eastAsia="Arial" w:hAnsi="Arial"/>
        </w:rPr>
        <w:t xml:space="preserve">The internal PID-contamination-modeling machinery (which tracks all 9 STAR-catalogued particle species, not just pi/K/p, for cross-contamination corrections between adjacent dE/dx and time-of-flight bands) is left fully intact throughout the ported classes. Only the driver macros — the Run*.C entry points actually invoked — are restricted to pi/K/p and to this one energy/geometry.</w:t>
      </w:r>
    </w:p>
    <w:p>
      <w:pPr>
        <w:pStyle w:val="Heading2"/>
        <w:spacing w:after="160" w:before="260"/>
      </w:pPr>
      <w:r>
        <w:rPr>
          <w:rFonts w:ascii="Arial" w:cs="Arial" w:eastAsia="Arial" w:hAnsi="Arial"/>
        </w:rPr>
        <w:t xml:space="preserve">3.1 PicoDst Reader Version</w:t>
      </w:r>
    </w:p>
    <w:p>
      <w:pPr>
        <w:spacing w:after="160" w:before="0"/>
      </w:pPr>
      <w:r>
        <w:rPr>
          <w:rFonts w:ascii="Arial" w:cs="Arial" w:eastAsia="Arial" w:hAnsi="Arial"/>
        </w:rPr>
        <w:t xml:space="preserve">The vendored PicoDst class definitions (submodule/PicoDstReader_SL24y/) are STAR library version SL24y, re-vendored directly from STAR’s own public source (star-bnl/star-sw, tag SL24y_3) to match this dataset’s real production library (replacing an earlier SL23a-based vendored copy carried over from the parent repository, which targeted a different dataset). The only functionally significant difference between STAR’s SL23a and SL24y PicoDst schemas is the eTOF good-event-flag API: the flag array grew from 108 entries (per-counter) to 1728 (per-Get4-subcounter, 16× finer granularity), and the accessor gained a required 4th argument. PicoBinner’s only call site for this flag now treats a counter as “good” if any of its 16 Get4 sub-flags are good, as the closest match to the coarser legacy semantics.</w:t>
      </w:r>
    </w:p>
    <w:p>
      <w:pPr>
        <w:pStyle w:val="Heading1"/>
        <w:spacing w:after="200" w:before="360"/>
      </w:pPr>
      <w:r>
        <w:rPr>
          <w:rFonts w:ascii="Arial" w:cs="Arial" w:eastAsia="Arial" w:hAnsi="Arial"/>
        </w:rPr>
        <w:t xml:space="preserve">4. Event and Track Selection</w:t>
      </w:r>
    </w:p>
    <w:p>
      <w:pPr>
        <w:pStyle w:val="Heading2"/>
        <w:spacing w:after="160" w:before="260"/>
      </w:pPr>
      <w:r>
        <w:rPr>
          <w:rFonts w:ascii="Arial" w:cs="Arial" w:eastAsia="Arial" w:hAnsi="Arial"/>
        </w:rPr>
        <w:t xml:space="preserve">4.1 Event-Level 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Cut</w:t>
            </w:r>
          </w:p>
        </w:tc>
        <w:tc>
          <w:tcPr>
            <w:tcW w:type="dxa" w:w="468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Vertex configuration</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Center (ColliderCenter event config)</w:t>
            </w:r>
          </w:p>
        </w:tc>
      </w:tr>
      <w:tr>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Vz range</w:t>
            </w:r>
          </w:p>
        </w:tc>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−70 cm to +70 cm</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Radial vertex cut (Vr)</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&lt; 2.0 cm</w:t>
            </w:r>
          </w:p>
        </w:tc>
      </w:tr>
      <w:tr>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Trigger ID</w:t>
            </w:r>
          </w:p>
        </w:tc>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860001</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TOF T0 requirement</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nToFT0 ≥ 3 (setUseT0 = true)</w:t>
            </w:r>
          </w:p>
        </w:tc>
      </w:tr>
      <w:tr>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TOF match requirement</w:t>
            </w:r>
          </w:p>
        </w:tc>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tofMatch ≥ 3</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y_CM (center-of-mass rapidity)</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0.0</w:t>
            </w:r>
          </w:p>
        </w:tc>
      </w:tr>
    </w:tbl>
    <w:p>
      <w:pPr>
        <w:pStyle w:val="Heading2"/>
        <w:spacing w:after="160" w:before="260"/>
      </w:pPr>
      <w:r>
        <w:rPr>
          <w:rFonts w:ascii="Arial" w:cs="Arial" w:eastAsia="Arial" w:hAnsi="Arial"/>
        </w:rPr>
        <w:t xml:space="preserve">4.2 Track Quality 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Cut</w:t>
            </w:r>
          </w:p>
        </w:tc>
        <w:tc>
          <w:tcPr>
            <w:tcW w:type="dxa" w:w="468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nHitsFit (TPC fit points)</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 15</w:t>
            </w:r>
          </w:p>
        </w:tc>
      </w:tr>
      <w:tr>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nHitsDeDx (dE/dx points)</w:t>
            </w:r>
          </w:p>
        </w:tc>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 10</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Fit-points / max-possible-points ratio</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 0.505</w:t>
            </w:r>
          </w:p>
        </w:tc>
      </w:tr>
      <w:tr>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DCA to primary vertex</w:t>
            </w:r>
          </w:p>
        </w:tc>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&lt; 1.0 cm</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BTOF acceptance (|η|)</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1.6 to 2.8 (detector-region cut, not a track η cut — see §4.3)</w:t>
            </w:r>
          </w:p>
        </w:tc>
      </w:tr>
      <w:tr>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ETOF max cluster size</w:t>
            </w:r>
          </w:p>
        </w:tc>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 99 (effectively unrestricted)</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ETOF match-flag cut</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−1 (effectively unrestricted)</w:t>
            </w:r>
          </w:p>
        </w:tc>
      </w:tr>
    </w:tbl>
    <w:p>
      <w:pPr>
        <w:pStyle w:val="Heading2"/>
        <w:spacing w:after="160" w:before="260"/>
      </w:pPr>
      <w:r>
        <w:rPr>
          <w:rFonts w:ascii="Arial" w:cs="Arial" w:eastAsia="Arial" w:hAnsi="Arial"/>
        </w:rPr>
        <w:t xml:space="preserve">4.3 Kinematic Acceptance</w:t>
      </w:r>
    </w:p>
    <w:p>
      <w:pPr>
        <w:spacing w:after="160" w:before="0"/>
      </w:pPr>
      <w:r>
        <w:rPr>
          <w:rFonts w:ascii="Arial" w:cs="Arial" w:eastAsia="Arial" w:hAnsi="Arial"/>
        </w:rPr>
        <w:t xml:space="preserve">Acceptance windows are defined separately per detector subsystem and per particle species: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Particle</w:t>
            </w:r>
          </w:p>
        </w:tc>
        <w:tc>
          <w:tcPr>
            <w:tcW w:type="dxa" w:w="232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TPC |η|, pT range</w:t>
            </w:r>
          </w:p>
        </w:tc>
        <w:tc>
          <w:tcPr>
            <w:tcW w:type="dxa" w:w="232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BTOF |η|, pT range</w:t>
            </w:r>
          </w:p>
        </w:tc>
        <w:tc>
          <w:tcPr>
            <w:tcW w:type="dxa" w:w="232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ETOF |η|, pT range</w:t>
            </w:r>
          </w:p>
        </w:tc>
      </w:tr>
      <w:tr>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Pion</w:t>
            </w:r>
          </w:p>
        </w:tc>
        <w:tc>
          <w:tcPr>
            <w:tcW w:type="dxa" w:w="232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η: ±2.05 / pT: 0.05–2.5 GeV/c</w:t>
            </w:r>
          </w:p>
        </w:tc>
        <w:tc>
          <w:tcPr>
            <w:tcW w:type="dxa" w:w="232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η: ±1.25</w:t>
            </w:r>
          </w:p>
        </w:tc>
        <w:tc>
          <w:tcPr>
            <w:tcW w:type="dxa" w:w="232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η: 1.05–1.65 (ETOF-side)</w:t>
            </w:r>
          </w:p>
        </w:tc>
      </w:tr>
      <w:tr>
        <w:tc>
          <w:tcPr>
            <w:tcW w:type="dxa" w:w="240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Kaon</w:t>
            </w:r>
          </w:p>
        </w:tc>
        <w:tc>
          <w:tcPr>
            <w:tcW w:type="dxa" w:w="232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same TPC window (shared eta/pT binning)</w:t>
            </w:r>
          </w:p>
        </w:tc>
        <w:tc>
          <w:tcPr>
            <w:tcW w:type="dxa" w:w="232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same BTOF window</w:t>
            </w:r>
          </w:p>
        </w:tc>
        <w:tc>
          <w:tcPr>
            <w:tcW w:type="dxa" w:w="232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same ETOF window</w:t>
            </w:r>
          </w:p>
        </w:tc>
      </w:tr>
      <w:tr>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Proton</w:t>
            </w:r>
          </w:p>
        </w:tc>
        <w:tc>
          <w:tcPr>
            <w:tcW w:type="dxa" w:w="232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same TPC window (shared eta/pT binning)</w:t>
            </w:r>
          </w:p>
        </w:tc>
        <w:tc>
          <w:tcPr>
            <w:tcW w:type="dxa" w:w="232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same BTOF window</w:t>
            </w:r>
          </w:p>
        </w:tc>
        <w:tc>
          <w:tcPr>
            <w:tcW w:type="dxa" w:w="232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same ETOF window</w:t>
            </w:r>
          </w:p>
        </w:tc>
      </w:tr>
    </w:tbl>
    <w:p>
      <w:pPr>
        <w:pBdr>
          <w:left w:val="single" w:color="999999" w:sz="12" w:space="8"/>
        </w:pBdr>
        <w:spacing w:after="200" w:before="80"/>
        <w:ind w:left="360"/>
      </w:pPr>
      <w:r>
        <w:rPr>
          <w:rFonts w:ascii="Arial" w:cs="Arial" w:eastAsia="Arial" w:hAnsi="Arial"/>
          <w:i/>
          <w:iCs/>
          <w:color w:val="555555"/>
          <w:sz w:val="20"/>
          <w:szCs w:val="20"/>
        </w:rPr>
        <w:t xml:space="preserve">pT binning is 80 bins from 0.05 to 2.5 GeV/c (shared across species for the eta/pT cut-information histogram); the mT–m0 rapidity binning used for actual spectra extraction is species- and detector-specific and variable-width (see §6 and §7.1) — the ranges above describe the coarse acceptance gate, not the final spectra binning.</w:t>
      </w:r>
    </w:p>
    <w:p>
      <w:pPr>
        <w:pStyle w:val="Heading1"/>
        <w:spacing w:after="200" w:before="360"/>
      </w:pPr>
      <w:r>
        <w:rPr>
          <w:rFonts w:ascii="Arial" w:cs="Arial" w:eastAsia="Arial" w:hAnsi="Arial"/>
        </w:rPr>
        <w:t xml:space="preserve">5. Particle Identification</w:t>
      </w:r>
    </w:p>
    <w:p>
      <w:pPr>
        <w:spacing w:after="160" w:before="0"/>
      </w:pPr>
      <w:r>
        <w:rPr>
          <w:rFonts w:ascii="Arial" w:cs="Arial" w:eastAsia="Arial" w:hAnsi="Arial"/>
        </w:rPr>
        <w:t xml:space="preserve">Particle identification combines two independent detector subsystems, matching the standard STAR light-flavor spectra approach:</w:t>
      </w:r>
    </w:p>
    <w:p>
      <w:pPr>
        <w:pStyle w:val="ListParagraph"/>
        <w:numPr>
          <w:ilvl w:val="0"/>
          <w:numId w:val="2"/>
        </w:numPr>
        <w:spacing w:after="100"/>
      </w:pPr>
      <w:r>
        <w:rPr>
          <w:rFonts w:ascii="Arial" w:cs="Arial" w:eastAsia="Arial" w:hAnsi="Arial"/>
        </w:rPr>
        <w:t xml:space="preserve">TPC dE/dx (ionization energy loss): fit as a function of βγ using a Gaussian-mixture-model-based peak decomposition (Bichsel-function-informed calibration via the ParticleInfo/BichselFunctionCollector utility) to separate overlapping species bands.</w:t>
      </w:r>
    </w:p>
    <w:p>
      <w:pPr>
        <w:pStyle w:val="ListParagraph"/>
        <w:numPr>
          <w:ilvl w:val="0"/>
          <w:numId w:val="2"/>
        </w:numPr>
        <w:spacing w:after="100"/>
      </w:pPr>
      <w:r>
        <w:rPr>
          <w:rFonts w:ascii="Arial" w:cs="Arial" w:eastAsia="Arial" w:hAnsi="Arial"/>
        </w:rPr>
        <w:t xml:space="preserve">Barrel Time-of-Flight (BTOF), 1/β (equivalently m²/z² or inverse-beta-gamma): used to extend PID to higher momentum where TPC dE/dx bands merge, and as a cross-check / veto against electron and muon contamination.</w:t>
      </w:r>
    </w:p>
    <w:p>
      <w:pPr>
        <w:pStyle w:val="ListParagraph"/>
        <w:numPr>
          <w:ilvl w:val="0"/>
          <w:numId w:val="2"/>
        </w:numPr>
        <w:spacing w:after="100"/>
      </w:pPr>
      <w:r>
        <w:rPr>
          <w:rFonts w:ascii="Arial" w:cs="Arial" w:eastAsia="Arial" w:hAnsi="Arial"/>
        </w:rPr>
        <w:t xml:space="preserve">Endcap Time-of-Flight (ETOF): available in the underlying framework for the forward/backward rapidity extension, but ETOF fit drivers were not ported into this repository’s run macros (see §7.2) — ETOF acceptance cuts and mass-window cuts exist in CutClass, but this analysis’s driving macros currently only invoke the TPC and BTOF fit paths.</w:t>
      </w:r>
    </w:p>
    <w:p>
      <w:pPr>
        <w:spacing w:after="160" w:before="0"/>
      </w:pPr>
      <w:r>
        <w:rPr>
          <w:rFonts w:ascii="Arial" w:cs="Arial" w:eastAsia="Arial" w:hAnsi="Arial"/>
        </w:rPr>
        <w:t xml:space="preserve">Species separation is aided by fixed mass-window cuts (per-species low/high invariant-mass windows, set in macros/SetCutClass.C) and by beta-gamma–dependent line cuts in both the BTOF 1/β plane and the BTOF/ETOF inverse-beta-gamma-squared plane, which reject electron contamination in the low-momentum band (setBTOFElectronCut / setETOFElectronCut) and apply a modified nσ dE/dx cut (setModNSigmaCuts_bTOF / _eTOF) as an additional TPC-side discriminant.</w:t>
      </w:r>
    </w:p>
    <w:p>
      <w:pPr>
        <w:pStyle w:val="Heading1"/>
        <w:spacing w:after="200" w:before="360"/>
      </w:pPr>
      <w:r>
        <w:rPr>
          <w:rFonts w:ascii="Arial" w:cs="Arial" w:eastAsia="Arial" w:hAnsi="Arial"/>
        </w:rPr>
        <w:t xml:space="preserve">6. Centrality Definition</w:t>
      </w:r>
    </w:p>
    <w:p>
      <w:pPr>
        <w:spacing w:after="160" w:before="0"/>
      </w:pPr>
      <w:r>
        <w:rPr>
          <w:rFonts w:ascii="Arial" w:cs="Arial" w:eastAsia="Arial" w:hAnsi="Arial"/>
        </w:rPr>
        <w:t xml:space="preserve">Centrality is defined from raw reference multiplicity (refMult), using a 5-bin scheme (replacing an earlier, more granular 9-bin scheme carried over from the parent repository). Centrality classes are defined by integrating the Glauber-model multiplicity distribution from most-central (highest multiplicity) to most-peripheral, so the refMult cut is set highest for the most central bin and decreases monotonically toward peripheral collisions.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Centrality bin</w:t>
            </w:r>
          </w:p>
        </w:tc>
        <w:tc>
          <w:tcPr>
            <w:tcW w:type="dxa" w:w="468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refMult cut (≥)</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0–5%</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300</w:t>
            </w:r>
          </w:p>
        </w:tc>
      </w:tr>
      <w:tr>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5–10%</w:t>
            </w:r>
          </w:p>
        </w:tc>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150</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10–20%</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100</w:t>
            </w:r>
          </w:p>
        </w:tc>
      </w:tr>
      <w:tr>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20–40%</w:t>
            </w:r>
          </w:p>
        </w:tc>
        <w:tc>
          <w:tcPr>
            <w:tcW w:type="dxa" w:w="46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70</w:t>
            </w:r>
          </w:p>
        </w:tc>
      </w:tr>
      <w:tr>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40–80%</w:t>
            </w:r>
          </w:p>
        </w:tc>
        <w:tc>
          <w:tcPr>
            <w:tcW w:type="dxa" w:w="46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0</w:t>
            </w:r>
          </w:p>
        </w:tc>
      </w:tr>
    </w:tbl>
    <w:p>
      <w:pPr>
        <w:pBdr>
          <w:left w:val="single" w:color="999999" w:sz="12" w:space="8"/>
        </w:pBdr>
        <w:spacing w:after="200" w:before="80"/>
        <w:ind w:left="360"/>
      </w:pPr>
      <w:r>
        <w:rPr>
          <w:rFonts w:ascii="Arial" w:cs="Arial" w:eastAsia="Arial" w:hAnsi="Arial"/>
          <w:i/>
          <w:iCs/>
          <w:color w:val="555555"/>
          <w:sz w:val="20"/>
          <w:szCs w:val="20"/>
        </w:rPr>
        <w:t xml:space="preserve">These refMult cut values are not newly derived for this analysis — they are the same cut values used by the parent repository’s 9-bin scheme at the percentile boundaries that survive merging (the 5/10/20/40/80% edges were already 9-bin boundaries; the intermediate 30/50/60/70% edges are simply dropped, merging what were previously the 20–30%+30–40% bins into one 20–40% bin, and the 40–50%+50–60%+60–70%+70–80% bins into one 40–80% bin). Centrality assignment happens once per event inside the raw-yield-extraction stage (§7.1) and is baked into the output histograms, so any future change to this binning scheme requires re-processing the full dataset for all three species.</w:t>
      </w:r>
    </w:p>
    <w:p>
      <w:pPr>
        <w:pStyle w:val="Heading1"/>
        <w:spacing w:after="200" w:before="360"/>
      </w:pPr>
      <w:r>
        <w:rPr>
          <w:rFonts w:ascii="Arial" w:cs="Arial" w:eastAsia="Arial" w:hAnsi="Arial"/>
        </w:rPr>
        <w:t xml:space="preserve">7. Analysis Pipeline</w:t>
      </w:r>
    </w:p>
    <w:p>
      <w:pPr>
        <w:spacing w:after="160" w:before="0"/>
      </w:pPr>
      <w:r>
        <w:rPr>
          <w:rFonts w:ascii="Arial" w:cs="Arial" w:eastAsia="Arial" w:hAnsi="Arial"/>
        </w:rPr>
        <w:t xml:space="preserve">The analysis proceeds through four sequential stages, each a standalone ROOT/ACLiC-compiled class driven by a pair of macros (a Load&lt;Stage&gt;Libs.C macro that compiles/loads the stage’s shared libraries, and a Run&lt;Stage&gt;.C macro that actually executes it). Every stage after the first consumes the previous stage’s ROOT output file(s) directly; there is no shared in-memory state between stages, so the entire pipeline can be re-run from any intermediate stage without repeating earlier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80"/>
        <w:gridCol w:w="2780"/>
      </w:tblGrid>
      <w:tr>
        <w:trPr>
          <w:tblHeader/>
        </w:trPr>
        <w:tc>
          <w:tcPr>
            <w:tcW w:type="dxa" w:w="190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90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w:t>
            </w:r>
          </w:p>
        </w:tc>
        <w:tc>
          <w:tcPr>
            <w:tcW w:type="dxa" w:w="278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78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9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1. Raw yield extraction</w:t>
            </w:r>
          </w:p>
        </w:tc>
        <w:tc>
          <w:tcPr>
            <w:tcW w:type="dxa" w:w="19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PicoBinner</w:t>
            </w:r>
          </w:p>
        </w:tc>
        <w:tc>
          <w:tcPr>
            <w:tcW w:type="dxa" w:w="27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PicoDst files (file list, per species)</w:t>
            </w:r>
          </w:p>
        </w:tc>
        <w:tc>
          <w:tcPr>
            <w:tcW w:type="dxa" w:w="27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Per-species raw yield histograms (pionYield.root, kaonYield.root, protonYield.root)</w:t>
            </w:r>
          </w:p>
        </w:tc>
      </w:tr>
      <w:tr>
        <w:tc>
          <w:tcPr>
            <w:tcW w:type="dxa" w:w="190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2. PID fitting</w:t>
            </w:r>
          </w:p>
        </w:tc>
        <w:tc>
          <w:tcPr>
            <w:tcW w:type="dxa" w:w="190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ZFitter</w:t>
            </w:r>
          </w:p>
        </w:tc>
        <w:tc>
          <w:tcPr>
            <w:tcW w:type="dxa" w:w="27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Stage 1 yield files</w:t>
            </w:r>
          </w:p>
        </w:tc>
        <w:tc>
          <w:tcPr>
            <w:tcW w:type="dxa" w:w="27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dE/dx (TPC) and 1/β (BTOF) fits → per-(particle,detector) spectra files, merged with hadd</w:t>
            </w:r>
          </w:p>
        </w:tc>
      </w:tr>
      <w:tr>
        <w:tc>
          <w:tcPr>
            <w:tcW w:type="dxa" w:w="19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3. Spectra correction</w:t>
            </w:r>
          </w:p>
        </w:tc>
        <w:tc>
          <w:tcPr>
            <w:tcW w:type="dxa" w:w="19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RawSpectraModifier</w:t>
            </w:r>
          </w:p>
        </w:tc>
        <w:tc>
          <w:tcPr>
            <w:tcW w:type="dxa" w:w="27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Stage 1 + Stage 2 outputs, plus an externally supplied embedding-derived efficiency file</w:t>
            </w:r>
          </w:p>
        </w:tc>
        <w:tc>
          <w:tcPr>
            <w:tcW w:type="dxa" w:w="278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Efficiency-, energy-loss-, and feed-down–corrected spectra</w:t>
            </w:r>
          </w:p>
        </w:tc>
      </w:tr>
      <w:tr>
        <w:tc>
          <w:tcPr>
            <w:tcW w:type="dxa" w:w="190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4. Final fitting</w:t>
            </w:r>
          </w:p>
        </w:tc>
        <w:tc>
          <w:tcPr>
            <w:tcW w:type="dxa" w:w="190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SpectraFitter</w:t>
            </w:r>
          </w:p>
        </w:tc>
        <w:tc>
          <w:tcPr>
            <w:tcW w:type="dxa" w:w="27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Stage 3 output</w:t>
            </w:r>
          </w:p>
        </w:tc>
        <w:tc>
          <w:tcPr>
            <w:tcW w:type="dxa" w:w="278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Invariant-yield spectra fits, dN/dy, mean pT/mT (Nominal + Systematic variants)</w:t>
            </w:r>
          </w:p>
        </w:tc>
      </w:tr>
    </w:tbl>
    <w:p>
      <w:pPr>
        <w:pStyle w:val="Heading2"/>
        <w:spacing w:after="160" w:before="260"/>
      </w:pPr>
      <w:r>
        <w:rPr>
          <w:rFonts w:ascii="Arial" w:cs="Arial" w:eastAsia="Arial" w:hAnsi="Arial"/>
        </w:rPr>
        <w:t xml:space="preserve">7.1 Stage 1 — PicoBinner</w:t>
      </w:r>
    </w:p>
    <w:p>
      <w:pPr>
        <w:spacing w:after="160" w:before="0"/>
      </w:pPr>
      <w:r>
        <w:rPr>
          <w:rFonts w:ascii="Arial" w:cs="Arial" w:eastAsia="Arial" w:hAnsi="Arial"/>
        </w:rPr>
        <w:t xml:space="preserve">PicoBinner reads PicoDst files (one file list per species, invoked three times — once each for pion, kaon, and proton) and produces raw yield histograms binned in centrality, rapidity, mT–m0, charge, and detector subsystem (TPC/BTOF/ETOF), along with dE/dx-vs-βγ and 1/β-vs-momentum histograms that later stages fit. It enforces eventConfig == "ColliderCenter" and exits otherwise. Although only one species is analyzed per invocation, the full 9-species PID-contamination-modeling machinery (isolated dE/dx histograms, cross-contamination calibration arrays) runs internally regardless, unchanged from the parent repository, to preserve exact bit-for-bit fidelity with the original, validated physics logic.</w:t>
      </w:r>
    </w:p>
    <w:p>
      <w:pPr>
        <w:spacing w:after="160" w:before="0"/>
      </w:pPr>
      <w:r>
        <w:rPr>
          <w:rFonts w:ascii="Arial" w:cs="Arial" w:eastAsia="Arial" w:hAnsi="Arial"/>
        </w:rPr>
        <w:t xml:space="preserve">For a full production dataset, PicoBinner runs as an SDCC/RCF batch job (the only pipeline stage that does; see §9) rather than as a single long-lived local process, since a full production file list is too large to process in one local ROOT session.</w:t>
      </w:r>
    </w:p>
    <w:p>
      <w:pPr>
        <w:pStyle w:val="Heading2"/>
        <w:spacing w:after="160" w:before="260"/>
      </w:pPr>
      <w:r>
        <w:rPr>
          <w:rFonts w:ascii="Arial" w:cs="Arial" w:eastAsia="Arial" w:hAnsi="Arial"/>
        </w:rPr>
        <w:t xml:space="preserve">7.2 Stage 2 — ZFitter</w:t>
      </w:r>
    </w:p>
    <w:p>
      <w:pPr>
        <w:spacing w:after="160" w:before="0"/>
      </w:pPr>
      <w:r>
        <w:rPr>
          <w:rFonts w:ascii="Arial" w:cs="Arial" w:eastAsia="Arial" w:hAnsi="Arial"/>
        </w:rPr>
        <w:t xml:space="preserve">ZFitter performs the actual PID fits: TPC dE/dx as a function of βγ, and BTOF 1/β, separately for each of the three species (six invocations total: 3 species × 2 detectors). Each invocation writes its own spectra output file; these six files are merged with ROOT’s hadd utility before proceeding to Stage 3. ETOF fit drivers exist in the underlying ZFitter class but were not carried into this repository’s run macro, so this analysis currently produces TPC- and BTOF-based spectra only.</w:t>
      </w:r>
    </w:p>
    <w:p>
      <w:pPr>
        <w:pStyle w:val="Heading2"/>
        <w:spacing w:after="160" w:before="260"/>
      </w:pPr>
      <w:r>
        <w:rPr>
          <w:rFonts w:ascii="Arial" w:cs="Arial" w:eastAsia="Arial" w:hAnsi="Arial"/>
        </w:rPr>
        <w:t xml:space="preserve">7.3 Stage 3 — RawSpectraModifier</w:t>
      </w:r>
    </w:p>
    <w:p>
      <w:pPr>
        <w:spacing w:after="160" w:before="0"/>
      </w:pPr>
      <w:r>
        <w:rPr>
          <w:rFonts w:ascii="Arial" w:cs="Arial" w:eastAsia="Arial" w:hAnsi="Arial"/>
        </w:rPr>
        <w:t xml:space="preserve">RawSpectraModifier applies detector-response corrections to the raw yields extracted in Stages 1–2: tracking/PID efficiency (TPC and BTOF, from an externally supplied embedding-derived efficiency file), energy-loss correction, and feed-down correction (including an optional “hybrid” feed-down treatment). No efficiency file is bundled with this repository — producing or sourcing one appropriate to this specific O+O 200 GeV dataset is an outstanding prerequisite before Stage 3 can be run on real data (see §12).</w:t>
      </w:r>
    </w:p>
    <w:p>
      <w:pPr>
        <w:pStyle w:val="Heading2"/>
        <w:spacing w:after="160" w:before="260"/>
      </w:pPr>
      <w:r>
        <w:rPr>
          <w:rFonts w:ascii="Arial" w:cs="Arial" w:eastAsia="Arial" w:hAnsi="Arial"/>
        </w:rPr>
        <w:t xml:space="preserve">7.4 Stage 4 — SpectraFitter</w:t>
      </w:r>
    </w:p>
    <w:p>
      <w:pPr>
        <w:spacing w:after="160" w:before="0"/>
      </w:pPr>
      <w:r>
        <w:rPr>
          <w:rFonts w:ascii="Arial" w:cs="Arial" w:eastAsia="Arial" w:hAnsi="Arial"/>
        </w:rPr>
        <w:t xml:space="preserve">SpectraFitter fits the corrected spectra from Stage 3 to extract final invariant yields, dN/dy, and mean pT/mT, differentially per particle, centrality, charge, and rapidity bin. Every bin is fit twice, with independent functional forms used for the “Nominal” and “Systematic” variants (see §8), and results are written to a single output ROOT file consumed by the optional plotting macro (§7.5) or by any downstream physics analysis (dN/dy vs. rapidity, particle ratios, radial-flow fits, etc. — none of which are part of this repository).</w:t>
      </w:r>
    </w:p>
    <w:p>
      <w:pPr>
        <w:pStyle w:val="Heading2"/>
        <w:spacing w:after="160" w:before="260"/>
      </w:pPr>
      <w:r>
        <w:rPr>
          <w:rFonts w:ascii="Arial" w:cs="Arial" w:eastAsia="Arial" w:hAnsi="Arial"/>
        </w:rPr>
        <w:t xml:space="preserve">7.5 Optional — Plotting</w:t>
      </w:r>
    </w:p>
    <w:p>
      <w:pPr>
        <w:spacing w:after="160" w:before="0"/>
      </w:pPr>
      <w:r>
        <w:rPr>
          <w:rFonts w:ascii="Arial" w:cs="Arial" w:eastAsia="Arial" w:hAnsi="Arial"/>
        </w:rPr>
        <w:t xml:space="preserve">A convenience macro reads Stage 4’s output and produces two families of diagnostic plots: invariant spectra (one image per particle/charge/centrality bin, overlaying all filled rapidity bins) and dN/dy vs. rapidity (one image per particle/charge/fit-variant, overlaying all filled centrality bins). This step is for visual inspection only and is not part of the numerical analysis chain.</w:t>
      </w:r>
    </w:p>
    <w:p>
      <w:pPr>
        <w:pStyle w:val="Heading1"/>
        <w:spacing w:after="200" w:before="360"/>
      </w:pPr>
      <w:r>
        <w:rPr>
          <w:rFonts w:ascii="Arial" w:cs="Arial" w:eastAsia="Arial" w:hAnsi="Arial"/>
        </w:rPr>
        <w:t xml:space="preserve">8. Corrections</w:t>
      </w:r>
    </w:p>
    <w:p>
      <w:pPr>
        <w:spacing w:after="160" w:before="0"/>
      </w:pPr>
      <w:r>
        <w:rPr>
          <w:rFonts w:ascii="Arial" w:cs="Arial" w:eastAsia="Arial" w:hAnsi="Arial"/>
        </w:rPr>
        <w:t xml:space="preserve">Stage 3 (RawSpectraModifier) applies the following corrections, each independently toggleable:</w:t>
      </w:r>
    </w:p>
    <w:p>
      <w:pPr>
        <w:pStyle w:val="ListParagraph"/>
        <w:numPr>
          <w:ilvl w:val="0"/>
          <w:numId w:val="2"/>
        </w:numPr>
        <w:spacing w:after="100"/>
      </w:pPr>
      <w:r>
        <w:rPr>
          <w:rFonts w:ascii="Arial" w:cs="Arial" w:eastAsia="Arial" w:hAnsi="Arial"/>
        </w:rPr>
        <w:t xml:space="preserve">TPC tracking/PID efficiency — from an embedding-derived efficiency file specific to this dataset.</w:t>
      </w:r>
    </w:p>
    <w:p>
      <w:pPr>
        <w:pStyle w:val="ListParagraph"/>
        <w:numPr>
          <w:ilvl w:val="0"/>
          <w:numId w:val="2"/>
        </w:numPr>
        <w:spacing w:after="100"/>
      </w:pPr>
      <w:r>
        <w:rPr>
          <w:rFonts w:ascii="Arial" w:cs="Arial" w:eastAsia="Arial" w:hAnsi="Arial"/>
        </w:rPr>
        <w:t xml:space="preserve">BTOF matching/PID efficiency — from the same embedding-derived efficiency file.</w:t>
      </w:r>
    </w:p>
    <w:p>
      <w:pPr>
        <w:pStyle w:val="ListParagraph"/>
        <w:numPr>
          <w:ilvl w:val="0"/>
          <w:numId w:val="2"/>
        </w:numPr>
        <w:spacing w:after="100"/>
      </w:pPr>
      <w:r>
        <w:rPr>
          <w:rFonts w:ascii="Arial" w:cs="Arial" w:eastAsia="Arial" w:hAnsi="Arial"/>
        </w:rPr>
        <w:t xml:space="preserve">Energy-loss correction — accounts for ionization energy loss shifting the reconstructed momentum relative to the true momentum, particularly significant for low-momentum, highly-ionizing species (protons).</w:t>
      </w:r>
    </w:p>
    <w:p>
      <w:pPr>
        <w:pStyle w:val="ListParagraph"/>
        <w:numPr>
          <w:ilvl w:val="0"/>
          <w:numId w:val="2"/>
        </w:numPr>
        <w:spacing w:after="100"/>
      </w:pPr>
      <w:r>
        <w:rPr>
          <w:rFonts w:ascii="Arial" w:cs="Arial" w:eastAsia="Arial" w:hAnsi="Arial"/>
        </w:rPr>
        <w:t xml:space="preserve">Feed-down correction — accounts for daughter particles from weak decays (e.g. protons from Λ decay) that pass track-quality cuts and are misidentified as primary particles; an optional “hybrid” treatment is available.</w:t>
      </w:r>
    </w:p>
    <w:p>
      <w:pPr>
        <w:pBdr>
          <w:left w:val="single" w:color="999999" w:sz="12" w:space="8"/>
        </w:pBdr>
        <w:spacing w:after="200" w:before="80"/>
        <w:ind w:left="360"/>
      </w:pPr>
      <w:r>
        <w:rPr>
          <w:rFonts w:ascii="Arial" w:cs="Arial" w:eastAsia="Arial" w:hAnsi="Arial"/>
          <w:i/>
          <w:iCs/>
          <w:color w:val="555555"/>
          <w:sz w:val="20"/>
          <w:szCs w:val="20"/>
        </w:rPr>
        <w:t xml:space="preserve">The specific momentum ranges, rapidity cuts, and hybrid feed-down toggle used for this dataset are not yet finalized — the parent repository’s per-energy values have no direct analog for a brand-new O+O 200 GeV configuration and must be chosen deliberately once real corrected spectra are available to sanity-check against (see §12).</w:t>
      </w:r>
    </w:p>
    <w:p>
      <w:pPr>
        <w:pStyle w:val="Heading1"/>
        <w:spacing w:after="200" w:before="360"/>
      </w:pPr>
      <w:r>
        <w:rPr>
          <w:rFonts w:ascii="Arial" w:cs="Arial" w:eastAsia="Arial" w:hAnsi="Arial"/>
        </w:rPr>
        <w:t xml:space="preserve">9. Spectra Fitting Functions</w:t>
      </w:r>
    </w:p>
    <w:p>
      <w:pPr>
        <w:spacing w:after="160" w:before="0"/>
      </w:pPr>
      <w:r>
        <w:rPr>
          <w:rFonts w:ascii="Arial" w:cs="Arial" w:eastAsia="Arial" w:hAnsi="Arial"/>
        </w:rPr>
        <w:t xml:space="preserve">Every (particle, centrality, charge, rapidity-bin) combination is fit twice in Stage 4, using two independent functional forms per species — a “Nominal” fit and a “Systematic” fit — so that the spread between the two provides an initial estimate of the functional-form systematic uncertainty on the extrapolated (unmeasured pT-range)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Particle</w:t>
            </w:r>
          </w:p>
        </w:tc>
        <w:tc>
          <w:tcPr>
            <w:tcW w:type="dxa" w:w="312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Nominal fit function</w:t>
            </w:r>
          </w:p>
        </w:tc>
        <w:tc>
          <w:tcPr>
            <w:tcW w:type="dxa" w:w="312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Systematic fit function</w:t>
            </w:r>
          </w:p>
        </w:tc>
      </w:tr>
      <w:tr>
        <w:tc>
          <w:tcPr>
            <w:tcW w:type="dxa" w:w="312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Pion</w:t>
            </w:r>
          </w:p>
        </w:tc>
        <w:tc>
          <w:tcPr>
            <w:tcW w:type="dxa" w:w="312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Tsallis</w:t>
            </w:r>
          </w:p>
        </w:tc>
        <w:tc>
          <w:tcPr>
            <w:tcW w:type="dxa" w:w="312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Bose-Einstein</w:t>
            </w:r>
          </w:p>
        </w:tc>
      </w:tr>
      <w:tr>
        <w:tc>
          <w:tcPr>
            <w:tcW w:type="dxa" w:w="312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Kaon</w:t>
            </w:r>
          </w:p>
        </w:tc>
        <w:tc>
          <w:tcPr>
            <w:tcW w:type="dxa" w:w="312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Tsallis</w:t>
            </w:r>
          </w:p>
        </w:tc>
        <w:tc>
          <w:tcPr>
            <w:tcW w:type="dxa" w:w="3120"/>
            <w:tcBorders>
              <w:top w:val="single" w:color="AAAAAA" w:sz="2"/>
              <w:left w:val="single" w:color="AAAAAA" w:sz="2"/>
              <w:bottom w:val="single" w:color="AAAAAA" w:sz="2"/>
              <w:right w:val="single" w:color="AAAAAA" w:sz="2"/>
            </w:tcBorders>
            <w:shd w:fill="EEF3F8" w:val="clear"/>
            <w:tcMar>
              <w:top w:type="dxa" w:w="80"/>
              <w:left w:type="dxa" w:w="120"/>
              <w:bottom w:type="dxa" w:w="80"/>
              <w:right w:type="dxa" w:w="120"/>
            </w:tcMar>
            <w:vAlign w:val="center"/>
          </w:tcPr>
          <w:p>
            <w:r>
              <w:rPr>
                <w:rFonts w:ascii="Arial" w:cs="Arial" w:eastAsia="Arial" w:hAnsi="Arial"/>
                <w:sz w:val="20"/>
                <w:szCs w:val="20"/>
              </w:rPr>
              <w:t xml:space="preserve">mT–m0 exponential</w:t>
            </w:r>
          </w:p>
        </w:tc>
      </w:tr>
      <w:tr>
        <w:tc>
          <w:tcPr>
            <w:tcW w:type="dxa" w:w="312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Proton</w:t>
            </w:r>
          </w:p>
        </w:tc>
        <w:tc>
          <w:tcPr>
            <w:tcW w:type="dxa" w:w="312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Blast-wave</w:t>
            </w:r>
          </w:p>
        </w:tc>
        <w:tc>
          <w:tcPr>
            <w:tcW w:type="dxa" w:w="312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r>
              <w:rPr>
                <w:rFonts w:ascii="Arial" w:cs="Arial" w:eastAsia="Arial" w:hAnsi="Arial"/>
                <w:sz w:val="20"/>
                <w:szCs w:val="20"/>
              </w:rPr>
              <w:t xml:space="preserve">Thermal (Boltzmann-like)</w:t>
            </w:r>
          </w:p>
        </w:tc>
      </w:tr>
    </w:tbl>
    <w:p>
      <w:pPr>
        <w:spacing w:after="160" w:before="0"/>
      </w:pPr>
      <w:r>
        <w:rPr>
          <w:rFonts w:ascii="Arial" w:cs="Arial" w:eastAsia="Arial" w:hAnsi="Arial"/>
        </w:rPr>
        <w:t xml:space="preserve">dN/dy is obtained by integrating each fit function over the full mT–m0 range and summing with the fiducial (directly measured) yield within the detector acceptance. Mean pT and mean mT are computed analogously from the fit function.</w:t>
      </w:r>
    </w:p>
    <w:p>
      <w:pPr>
        <w:pStyle w:val="Heading1"/>
        <w:spacing w:after="200" w:before="360"/>
      </w:pPr>
      <w:r>
        <w:rPr>
          <w:rFonts w:ascii="Arial" w:cs="Arial" w:eastAsia="Arial" w:hAnsi="Arial"/>
        </w:rPr>
        <w:t xml:space="preserve">10. Systematic Uncertainties</w:t>
      </w:r>
    </w:p>
    <w:p>
      <w:pPr>
        <w:spacing w:after="100" w:before="0"/>
      </w:pPr>
      <w:r>
        <w:rPr>
          <w:rFonts w:ascii="Arial" w:cs="Arial" w:eastAsia="Arial" w:hAnsi="Arial"/>
          <w:b/>
          <w:bCs/>
        </w:rPr>
        <w:t xml:space="preserve">Status: not yet evaluated.</w:t>
      </w:r>
    </w:p>
    <w:p>
      <w:pPr>
        <w:spacing w:after="160" w:before="0"/>
      </w:pPr>
      <w:r>
        <w:rPr>
          <w:rFonts w:ascii="Arial" w:cs="Arial" w:eastAsia="Arial" w:hAnsi="Arial"/>
        </w:rPr>
        <w:t xml:space="preserve">No systematic uncertainty study has been performed for this dataset. Once Stage 4 output exists, the following sources are the natural candidates for evaluation, based on what the framework already supports or what is standard for this class of measurement:</w:t>
      </w:r>
    </w:p>
    <w:p>
      <w:pPr>
        <w:pStyle w:val="ListParagraph"/>
        <w:numPr>
          <w:ilvl w:val="0"/>
          <w:numId w:val="2"/>
        </w:numPr>
        <w:spacing w:after="100"/>
      </w:pPr>
      <w:r>
        <w:rPr>
          <w:rFonts w:ascii="Arial" w:cs="Arial" w:eastAsia="Arial" w:hAnsi="Arial"/>
        </w:rPr>
        <w:t xml:space="preserve">Functional-form (extrapolation) uncertainty — directly available from the Nominal vs. Systematic fit spread described in §9.</w:t>
      </w:r>
    </w:p>
    <w:p>
      <w:pPr>
        <w:pStyle w:val="ListParagraph"/>
        <w:numPr>
          <w:ilvl w:val="0"/>
          <w:numId w:val="2"/>
        </w:numPr>
        <w:spacing w:after="100"/>
      </w:pPr>
      <w:r>
        <w:rPr>
          <w:rFonts w:ascii="Arial" w:cs="Arial" w:eastAsia="Arial" w:hAnsi="Arial"/>
        </w:rPr>
        <w:t xml:space="preserve">Tracking/PID efficiency uncertainty — from the embedding-derived efficiency file's own uncertainty, once that file is produced (§8).</w:t>
      </w:r>
    </w:p>
    <w:p>
      <w:pPr>
        <w:pStyle w:val="ListParagraph"/>
        <w:numPr>
          <w:ilvl w:val="0"/>
          <w:numId w:val="2"/>
        </w:numPr>
        <w:spacing w:after="100"/>
      </w:pPr>
      <w:r>
        <w:rPr>
          <w:rFonts w:ascii="Arial" w:cs="Arial" w:eastAsia="Arial" w:hAnsi="Arial"/>
        </w:rPr>
        <w:t xml:space="preserve">Energy-loss and feed-down correction uncertainty.</w:t>
      </w:r>
    </w:p>
    <w:p>
      <w:pPr>
        <w:pStyle w:val="ListParagraph"/>
        <w:numPr>
          <w:ilvl w:val="0"/>
          <w:numId w:val="2"/>
        </w:numPr>
        <w:spacing w:after="100"/>
      </w:pPr>
      <w:r>
        <w:rPr>
          <w:rFonts w:ascii="Arial" w:cs="Arial" w:eastAsia="Arial" w:hAnsi="Arial"/>
        </w:rPr>
        <w:t xml:space="preserve">Track-quality cut variation (nHitsFit, nHitsDeDx, DCA, fit-point ratio) — standard STAR practice of re-running the analysis with tightened/loosened cuts and taking the spread.</w:t>
      </w:r>
    </w:p>
    <w:p>
      <w:pPr>
        <w:pStyle w:val="ListParagraph"/>
        <w:numPr>
          <w:ilvl w:val="0"/>
          <w:numId w:val="2"/>
        </w:numPr>
        <w:spacing w:after="100"/>
      </w:pPr>
      <w:r>
        <w:rPr>
          <w:rFonts w:ascii="Arial" w:cs="Arial" w:eastAsia="Arial" w:hAnsi="Arial"/>
        </w:rPr>
        <w:t xml:space="preserve">Centrality-definition sensitivity, given the 5-bin refMult scheme was chosen by merging bins from a finer scheme rather than re-deriving cut values for this specific scheme.</w:t>
      </w:r>
    </w:p>
    <w:p>
      <w:pPr>
        <w:pStyle w:val="Heading1"/>
        <w:spacing w:after="200" w:before="360"/>
      </w:pPr>
      <w:r>
        <w:rPr>
          <w:rFonts w:ascii="Arial" w:cs="Arial" w:eastAsia="Arial" w:hAnsi="Arial"/>
        </w:rPr>
        <w:t xml:space="preserve">11. Results</w:t>
      </w:r>
    </w:p>
    <w:p>
      <w:pPr>
        <w:spacing w:after="100" w:before="0"/>
      </w:pPr>
      <w:r>
        <w:rPr>
          <w:rFonts w:ascii="Arial" w:cs="Arial" w:eastAsia="Arial" w:hAnsi="Arial"/>
          <w:b/>
          <w:bCs/>
        </w:rPr>
        <w:t xml:space="preserve">Status: pending.</w:t>
      </w:r>
    </w:p>
    <w:p>
      <w:pPr>
        <w:spacing w:after="160" w:before="0"/>
      </w:pPr>
      <w:r>
        <w:rPr>
          <w:rFonts w:ascii="Arial" w:cs="Arial" w:eastAsia="Arial" w:hAnsi="Arial"/>
        </w:rPr>
        <w:t xml:space="preserve">No production PicoDsts have been processed through this pipeline yet. This section will hold invariant-yield spectra, dN/dy vs. rapidity, mean pT/mT, and particle-ratio results once Stage 1 (PicoBinner) has been run against the full O+O 200 GeV production dataset (via the SDCC batch path, §9) and Stages 2–4 have been run locally on the result.</w:t>
      </w:r>
    </w:p>
    <w:p>
      <w:pPr>
        <w:pStyle w:val="Heading1"/>
        <w:spacing w:after="200" w:before="360"/>
      </w:pPr>
      <w:r>
        <w:rPr>
          <w:rFonts w:ascii="Arial" w:cs="Arial" w:eastAsia="Arial" w:hAnsi="Arial"/>
        </w:rPr>
        <w:t xml:space="preserve">12. Status and Outstanding Items</w:t>
      </w:r>
    </w:p>
    <w:p>
      <w:pPr>
        <w:spacing w:after="160" w:before="0"/>
      </w:pPr>
      <w:r>
        <w:rPr>
          <w:rFonts w:ascii="Arial" w:cs="Arial" w:eastAsia="Arial" w:hAnsi="Arial"/>
        </w:rPr>
        <w:t xml:space="preserve">As of this writing, the following is confirmed working:</w:t>
      </w:r>
    </w:p>
    <w:p>
      <w:pPr>
        <w:pStyle w:val="ListParagraph"/>
        <w:numPr>
          <w:ilvl w:val="0"/>
          <w:numId w:val="2"/>
        </w:numPr>
        <w:spacing w:after="100"/>
      </w:pPr>
      <w:r>
        <w:rPr>
          <w:rFonts w:ascii="Arial" w:cs="Arial" w:eastAsia="Arial" w:hAnsi="Arial"/>
        </w:rPr>
        <w:t xml:space="preserve">The full local build (all four analysis stages’ shared libraries) compiles and links successfully, including on an SDCC/RCF node under STAR library SL24y (ROOT 5.34.38 / CINT), after resolving a series of ROOT5/CINT-specific build incompatibilities that were latent in code inherited from the parent repository and never triggered under a local ROOT6/Cling build.</w:t>
      </w:r>
    </w:p>
    <w:p>
      <w:pPr>
        <w:pStyle w:val="ListParagraph"/>
        <w:numPr>
          <w:ilvl w:val="0"/>
          <w:numId w:val="2"/>
        </w:numPr>
        <w:spacing w:after="100"/>
      </w:pPr>
      <w:r>
        <w:rPr>
          <w:rFonts w:ascii="Arial" w:cs="Arial" w:eastAsia="Arial" w:hAnsi="Arial"/>
        </w:rPr>
        <w:t xml:space="preserve">The PicoDst reader submodule has been migrated from STAR library SL23a to SL24y, matching this dataset’s real production library, using STAR’s own public source directly.</w:t>
      </w:r>
    </w:p>
    <w:p>
      <w:pPr>
        <w:pStyle w:val="ListParagraph"/>
        <w:numPr>
          <w:ilvl w:val="0"/>
          <w:numId w:val="2"/>
        </w:numPr>
        <w:spacing w:after="100"/>
      </w:pPr>
      <w:r>
        <w:rPr>
          <w:rFonts w:ascii="Arial" w:cs="Arial" w:eastAsia="Arial" w:hAnsi="Arial"/>
        </w:rPr>
        <w:t xml:space="preserve">The SDCC batch-submission template for Stage 1 (PicoBinner) is in place and configured for this dataset’s catalog query.</w:t>
      </w:r>
    </w:p>
    <w:p>
      <w:pPr>
        <w:spacing w:after="160" w:before="0"/>
      </w:pPr>
      <w:r>
        <w:rPr>
          <w:rFonts w:ascii="Arial" w:cs="Arial" w:eastAsia="Arial" w:hAnsi="Arial"/>
        </w:rPr>
        <w:t xml:space="preserve">Outstanding before physics results can be produced:</w:t>
      </w:r>
    </w:p>
    <w:p>
      <w:pPr>
        <w:pStyle w:val="ListParagraph"/>
        <w:numPr>
          <w:ilvl w:val="0"/>
          <w:numId w:val="2"/>
        </w:numPr>
        <w:spacing w:after="100"/>
      </w:pPr>
      <w:r>
        <w:rPr>
          <w:rFonts w:ascii="Arial" w:cs="Arial" w:eastAsia="Arial" w:hAnsi="Arial"/>
        </w:rPr>
        <w:t xml:space="preserve">Independently verify the production=P24iy / library=SL24y catalog pairing resolves to a non-empty file set (§2).</w:t>
      </w:r>
    </w:p>
    <w:p>
      <w:pPr>
        <w:pStyle w:val="ListParagraph"/>
        <w:numPr>
          <w:ilvl w:val="0"/>
          <w:numId w:val="2"/>
        </w:numPr>
        <w:spacing w:after="100"/>
      </w:pPr>
      <w:r>
        <w:rPr>
          <w:rFonts w:ascii="Arial" w:cs="Arial" w:eastAsia="Arial" w:hAnsi="Arial"/>
        </w:rPr>
        <w:t xml:space="preserve">Produce or source an embedding-derived TPC/BTOF efficiency file for this specific O+O 200 GeV dataset (§8) — Stage 3 cannot run on real data without one.</w:t>
      </w:r>
    </w:p>
    <w:p>
      <w:pPr>
        <w:pStyle w:val="ListParagraph"/>
        <w:numPr>
          <w:ilvl w:val="0"/>
          <w:numId w:val="2"/>
        </w:numPr>
        <w:spacing w:after="100"/>
      </w:pPr>
      <w:r>
        <w:rPr>
          <w:rFonts w:ascii="Arial" w:cs="Arial" w:eastAsia="Arial" w:hAnsi="Arial"/>
        </w:rPr>
        <w:t xml:space="preserve">Finalize Stage 3’s dataset-specific arguments (momentum ranges, rapidity cuts, hybrid feed-down toggle) that have no valid default carried over from the parent repository’s per-energy configurations (§8).</w:t>
      </w:r>
    </w:p>
    <w:p>
      <w:pPr>
        <w:pStyle w:val="ListParagraph"/>
        <w:numPr>
          <w:ilvl w:val="0"/>
          <w:numId w:val="2"/>
        </w:numPr>
        <w:spacing w:after="100"/>
      </w:pPr>
      <w:r>
        <w:rPr>
          <w:rFonts w:ascii="Arial" w:cs="Arial" w:eastAsia="Arial" w:hAnsi="Arial"/>
        </w:rPr>
        <w:t xml:space="preserve">Run Stage 1 against the full production dataset via the SDCC batch path, then Stages 2–4 locally, to produce the first real spectra (§7, §11).</w:t>
      </w:r>
    </w:p>
    <w:p>
      <w:pPr>
        <w:pStyle w:val="ListParagraph"/>
        <w:numPr>
          <w:ilvl w:val="0"/>
          <w:numId w:val="2"/>
        </w:numPr>
        <w:spacing w:after="100"/>
      </w:pPr>
      <w:r>
        <w:rPr>
          <w:rFonts w:ascii="Arial" w:cs="Arial" w:eastAsia="Arial" w:hAnsi="Arial"/>
        </w:rPr>
        <w:t xml:space="preserve">Evaluate systematic uncertainties once real corrected spectra exist (§10).</w:t>
      </w:r>
    </w:p>
    <w:p>
      <w:pPr>
        <w:pStyle w:val="ListParagraph"/>
        <w:numPr>
          <w:ilvl w:val="0"/>
          <w:numId w:val="2"/>
        </w:numPr>
        <w:spacing w:after="100"/>
      </w:pPr>
      <w:r>
        <w:rPr>
          <w:rFonts w:ascii="Arial" w:cs="Arial" w:eastAsia="Arial" w:hAnsi="Arial"/>
        </w:rPr>
        <w:t xml:space="preserve">A pre-existing bug in the track-quality-cut configuration macro (a trigger-array size mismatch, {6} declared vs. {1} used elsewhere in the parent repository’s convention) was carried forward unchanged, flagged for review rather than silently “fixed,” per the fidelity-to-original-physics-logic approach this fork follows — see macros/SetCutClass.C’s header comment.</w:t>
      </w:r>
    </w:p>
    <w:p>
      <w:pPr>
        <w:pStyle w:val="Heading1"/>
        <w:spacing w:after="200" w:before="360"/>
      </w:pPr>
      <w:r>
        <w:rPr>
          <w:rFonts w:ascii="Arial" w:cs="Arial" w:eastAsia="Arial" w:hAnsi="Arial"/>
        </w:rPr>
        <w:t xml:space="preserve">13. Summary</w:t>
      </w:r>
    </w:p>
    <w:p>
      <w:pPr>
        <w:spacing w:after="160" w:before="0"/>
      </w:pPr>
      <w:r>
        <w:rPr>
          <w:rFonts w:ascii="Arial" w:cs="Arial" w:eastAsia="Arial" w:hAnsi="Arial"/>
        </w:rPr>
        <w:t xml:space="preserve">lightflavorspectra_OO200 implements a complete, four-stage analysis pipeline for identified pion/kaon/proton spectra in O+O collisions at √sNN = 200 GeV, ColliderCenter geometry, forked from and physics-verified against an existing multi-energy STAR analysis codebase. Event and track selection, centrality definition, PID methodology, and corrections are all configured and documented; the full software build (including the SDCC batch path for raw-yield extraction) is validated end-to-end. The immediate next milestone is producing an embedding-derived efficiency file and running the pipeline against real production data to obtain the first spectra, at which point this note will be updated with Sections 10–11 (systematic uncertainties and results) completed.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lightflavorspectra_OO200 — Analysis Note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395"/>
      <w:sz w:val="25"/>
      <w:szCs w:val="25"/>
    </w:rPr>
  </w:style>
  <w:style w:type="paragraph" w:styleId="Heading3">
    <w:name w:val="Heading 3"/>
    <w:basedOn w:val="Normal"/>
    <w:next w:val="Normal"/>
    <w:qFormat/>
    <w:pPr>
      <w:spacing w:after="120" w:before="180"/>
      <w:outlineLvl w:val="2"/>
    </w:pPr>
    <w:rPr>
      <w:rFonts w:ascii="Arial" w:cs="Arial" w:eastAsia="Arial" w:hAnsi="Arial"/>
      <w:b/>
      <w:bCs/>
      <w:i/>
      <w:i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2026-07-02T22:09:57.840Z</dcterms:created>
  <dcterms:modified xsi:type="dcterms:W3CDTF">2026-07-02T22:09:57.840Z</dcterms:modified>
</cp:coreProperties>
</file>

<file path=docProps/custom.xml><?xml version="1.0" encoding="utf-8"?>
<Properties xmlns="http://schemas.openxmlformats.org/officeDocument/2006/custom-properties" xmlns:vt="http://schemas.openxmlformats.org/officeDocument/2006/docPropsVTypes"/>
</file>