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KITE MCP</w:t>
      </w:r>
    </w:p>
    <w:p>
      <w:pPr>
        <w:jc w:val="center"/>
      </w:pPr>
      <w:r>
        <w:rPr>
          <w:rFonts w:ascii="Arial" w:cs="Arial" w:eastAsia="Arial" w:hAnsi="Arial"/>
          <w:b/>
          <w:bCs/>
          <w:color w:val="B8860B"/>
          <w:sz w:val="48"/>
          <w:szCs w:val="48"/>
        </w:rPr>
        <w:t xml:space="preserve">PORTFOLIO DASHBOARD</w:t>
      </w:r>
    </w:p>
    <w:p>
      <w:pPr>
        <w:spacing w:after="0" w:before="80"/>
      </w:pPr>
      <w:r>
        <w:t xml:space="preserve"/>
      </w:r>
    </w:p>
    <w:p>
      <w:pPr>
        <w:pBdr>
          <w:bottom w:val="single" w:color="B8860B" w:sz="12" w:space="4"/>
        </w:pBdr>
        <w:jc w:val="center"/>
      </w:pP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Product Requirements Document for Claude Code</w:t>
      </w:r>
    </w:p>
    <w:p>
      <w:pPr>
        <w:spacing w:after="0" w:before="20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Version: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Purpose: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Claude Code Build Brief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Data Source: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Zerodha Kite MCP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Deployment: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Local + VPS (Ubuntu 24.04)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pStyle w:val="Heading1"/>
        <w:pBdr>
          <w:bottom w:val="single" w:color="1B2A4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a personal investment portfolio dashboard that connects to the Zerodha Kite MCP API, pulls live portfolio data automatically, and presents an institutional-grade analysis in a clean, modern web UI — comparable to a private wealth management dashboard.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Kite Portfolio Dashboard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authenticated user (personal use only)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Bangalore, India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Indian Rupees (INR) — use lakh/crore notation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 Regime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Indian tax rules — FY 2025-26 (LTCG/STCG/OIDAR)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portfolio visibility + institutional-grade analytics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B2A4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Data Sources — Kite MCP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portfolio data must be fetched automatically via the Kite MCP. No manual file uploads. Call all tools on dashboard load and on every manual refresh.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Kite MCP 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Fetched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get_holdings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Equity &amp; ETF holdings (units, avg buy price, current price, P&amp;L)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get_mf_holdings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Mutual fund holdings (scheme name, units, NAV, current value)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get_positions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intraday / F&amp;O positions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get_orders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order / transaction history (for SIP vs lump sum inference)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get_margins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Available cash, used margin, liquidity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get_profile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Investor name and account profile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Data Model Output: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Normalize all API responses into a unified portfolio object covering: instrument name, type (equity / MF / ETF / SGB), units held, average buy price, current price/NAV, invested amount, current value, unrealised P&amp;L (INR and %), day change (INR and %), ISIN / instrument token where available.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Assumptions to State Clearly: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Expense ratios, rolling returns, and Sharpe ratios are NOT available from Kite MCP — mark these as N/A (source: AMC factsheet). SIP vs lump sum classification is inferred from order history where possible; else flagged as classification unavailable.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B2A4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+ Tailwind CSS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Recharts or Chart.js (choose whichever integrates more cleanly)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/ API Layer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or Python FastAPI — whichever integrates best with Kite MCP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Refresh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refresh button + auto-refresh every 5 min during market hours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 Target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(localhost) first; Docker for VPS deployment on Ubuntu 24.04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Dockerfile + docker-compose.yml required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B2A4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Dashboard Pages &amp; Modules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dashboard consists of 6 pages accessible via a persistent left sidebar navigation.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Portfolio Overview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cards, allocation charts, summary snapshot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Holdings Breakdown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Per-instrument tables with overlap and concentration analysis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Analysis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Benchmark comparison, XIRR, best/worst performers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Future Projections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Scenario modelling, SIP step-up calculator, corpus forecast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 &amp; Optimization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LTCG/STCG summary, tax harvesting flags, rebalancing alerts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Portfolio Health Report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Scorecards, strengths/weaknesses, AI-generated summary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Page 1 — Portfolio Overview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home screen. Loads first. All KPIs must update on refresh.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Header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Investor name (from get_profile)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Last refreshed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Market status badge: OPEN / CLOSED (based on IST time, 9:15am–3:30pm weekdays)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KPI Summary Cards (6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 / Source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Invested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 of avg buy price x units across all holdings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Value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 of current price x units across all holdings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P&amp;L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INR and % — color-coded green/red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Today's Change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change INR and % — color-coded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Portfolio XIRR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Calculated using Newton-Raphson from cost and current 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Portfolio Risk Score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Computed score 1-10 based on allocation and volatility proxy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Charts on Page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Asset Allocation donut chart — Equity / Mutual Funds / ETFs / SGBs / Cash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Equity vs Debt split — donut or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Large / Mid / Small cap exposure — stacked horizontal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Domestic vs International exposure — donut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Page 2 — Holdings Breakdown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Tabbed view with four tabs: Mutual Funds, Equities, ETFs, SGBs.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Holdings Table (per tab)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Sortable columns. Color-coded P&amp;L. All amounts in INR with lakh/crore formatting.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 / Logic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Instrument / scheme 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 cap / midcap / flexi / etc. (inferred)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Units held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 Buy Price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buy price in INR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Price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NAV / market price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Invested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invested INR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Value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value INR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P&amp;L (INR)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Unrealised gain/loss — green / 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P&amp;L (%)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percentage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Change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 since yesterday's close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Additional Panels on Page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Overlap Analysis Panel: Flag holdings with likely stock-level overlap (e.g. multiple flexi-cap funds holding the same underlying stocks). Display as a warning card.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Concentration Risk Indicator: Show each holding as a % of total portfolio. Flag any holding &gt;15% as high concentration.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Page 3 — Performance Analysis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Portfolio vs Benchmark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 chart showing portfolio value over time vs benchmarks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Benchmarks: Nifty 50, Nifty Midcap 150, Nifty Smallcap 250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 toggles: 1M / 3M / 6M / 1Y / 3Y / Max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Benchmark data: fetch from Yahoo Finance API or use static seed data as placeholder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Additional Performance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Best &amp; Worst Performers: Horizontal bar chart, top 5 each by absolute P&amp;L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XIRR Per Holding: Table showing individual fund/stock XIRR where calculable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SIP vs Lump Sum Split: Pie chart inferred from order history dates and patterns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Page 4 — Future Projections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Input Controls (User-Editable)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Monthly SIP amount (editable input)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Annual SIP step-up percentage (slider, default 10%)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Projection horizon selector: 3 / 5 / 10 / 15 years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Scenario Modelling Chart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Area chart with three scenarios: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Assumed CAGR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8% CAGR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11% CAGR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Aggressive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14% CAGR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Output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Projected corpus per scenario (INR in crore notation)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Inflation-adjusted value — assume 6% annual inflation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Retirement readiness indicator — simple gauge or progress bar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Page 5 — Tax &amp; Optimization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Tax Summary Panel (FY 2025-26 Rules)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LTCG summary — equity (&gt;1 year, 10% above INR 1L), MF equity (same), debt MF (slab rate)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STCG summary — equity (&lt;1 year, 15%), debt MF (slab rate)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 realized vs unrealized gains separately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Alerts &amp;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Tax Harvesting Opportunities: Flag holdings with unrealized losses that can offset gains before FY-end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Rebalancing Alerts: Holdings that have drifted more than 5% from a target allocation band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Actionable Recommendations Panel: AI-generated recommendations via Claude API call — funds to increase, reduce, exit; overlaps to consolidate; missing asset classes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Page 6 — Portfolio Health Report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Scorecard Panel (scores out of 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 Basis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Overall Portfolio Rating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Composite score based on diversification, risk, returns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Diversification Quality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 vs superficial diversification analysis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Risk-Adjusted Return Quality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Sharpe proxy using available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 Efficiency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of holdings in tax-optimal instruments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Liquidity Score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Ease of redemption across holdings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Analysis Panels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5 Strengths — bulleted list, auto-generated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5 Weaknesses — bulleted list, auto-generated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5 Immediate Actions — priority-ranked, auto-generated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Plain-English Summary — 2-3 paragraph executive summary via Claude API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B2A4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UI / UX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 mode by default; toggle to light mode in navbar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 Palette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 navy / slate background; amber/gold financial highlights; green for gains; red for losses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Typography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 or Geist sans-serif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Responsive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Desktop and iPad (min 768px); mobile not a priority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Currency Format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INR with lakh/crore notation (e.g. ₹12.5L, ₹1.2Cr)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System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Indian number system (1,00,000 not 100,000)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Loading States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Skeleton loaders for all data-fetching sections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States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Graceful error cards with retry button for API failures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Empty States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Informative empty state for holdings with no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Persistent left sidebar with page icons and labels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B2A4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Assumptions &amp; Known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Missing from Kite MCP: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Expense ratios, rolling returns, Sharpe ratios — display as N/A (source: AMC factsheet required). These fields should render as greyed-out placeholders with a tooltip explaining the data gap.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SIP Classification: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Infer SIP vs lump sum from order history (recurring same-date orders = SIP). Where not determinable, flag as classification unavailable.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Benchmark Data: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Fetch Nifty index data from Yahoo Finance (free API) or NSE. Use static seed data as fallback if live fetch fails. Always show data source label on chart.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XIRR Calculation: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Implement using Newton-Raphson method. Use a battle-tested JS/Python finance library (e.g. xirr npm package or numpy-financial). Always display confidence caveat if transaction history is incomplete.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B2A4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Deliverables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working codebase — frontend (React) + backend (Node/FastAPI)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README.md — setup instructions for local run and Docker deployment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.env.example — all required environment variables documented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Dockerfile + docker-compose.yml — for VPS deployment on Ubuntu 24.04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Inline code comments — all major functions and API calls commented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B2A4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Suggested Build Order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in this sequence to ensure a working foundation before adding complexity: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Backend: Kite MCP connection + data normalization layer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Portfolio data model + XIRR calculation engine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shell: routing, layout, left sidebar navigation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1: Overview KPI cards + allocation charts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2: Holdings tables with overlap detection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3: Performance charts + benchmark comparison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4: Projection calculator with scenario modelling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5: Tax summary + rebalancing alerts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6: Health scorecard + Claude API summary generation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10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Polish: loading states, error handling, dark/light toggle, INR formatting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B2A4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Instructions for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Before writing any code: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Scaffold the project directory structure and confirm the tech stack choices. List any ambiguous requirements and ask for clarification before proceeding. Do not assume — ask.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 principles for the build: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 data-driven — no hardcoded dummy data in final build (use it only for local dev/testing)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monetary values must use Indian number formatting and INR symbol throughout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Kite MCP calls must be wrapped in try/catch with graceful fallback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XIRR must be calculated server-side — do not expose raw transaction data to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API calls (Page 6) must use streaming for the plain-English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chart must have a data source label and last-updated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scores (out of 10) must display methodology tooltip on 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 deployment must work on the existing VPS at 145.223.23.96 (Ubuntu 24.04)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B2A4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Appendix — Reference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Zerodha Kite API Docs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https://kite.trade/docs/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Kite MCP Reference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https://mcp.kite.trade/mcp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Yahoo Finance API (Benchmarks)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https://query1.finance.yahoo.com/v8/finance/chart/^NSEI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NSE India Data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https://www.nseindia.com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XIRR npm Package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https://www.npmjs.com/package/xirr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numpy-financial (Python)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https://numpy.org/numpy-financial/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Indian Tax Rules FY25-26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https://incometaxindia.gov.in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Recharts Docs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https://recharts.org/en-US/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 Docs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https://tailwindcss.com/docs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B8860B" w:sz="6" w:space="8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2A4A" w:sz="6" w:space="4"/>
      </w:pBdr>
    </w:pPr>
    <w:r>
      <w:rPr>
        <w:rFonts w:ascii="Arial" w:cs="Arial" w:eastAsia="Arial" w:hAnsi="Arial"/>
        <w:color w:val="333333"/>
        <w:sz w:val="18"/>
        <w:szCs w:val="18"/>
      </w:rPr>
      <w:t xml:space="preserve">Kite MCP Portfolio Dashboard  |  Page </w:t>
    </w:r>
    <w:r>
      <w:rPr>
        <w:rFonts w:ascii="Arial" w:cs="Arial" w:eastAsia="Arial" w:hAnsi="Arial"/>
        <w:color w:val="33333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33333"/>
        <w:sz w:val="18"/>
        <w:szCs w:val="18"/>
      </w:rPr>
      <w:t xml:space="preserve"> of </w:t>
    </w:r>
    <w:r>
      <w:rPr>
        <w:rFonts w:ascii="Arial" w:cs="Arial" w:eastAsia="Arial" w:hAnsi="Arial"/>
        <w:color w:val="333333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PORTFOLIO DASHBOARD — PRODUCT REQUIREMENTS DOCUMENT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B8860B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B8860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2026-05-10T04:31:01.966Z</dcterms:created>
  <dcterms:modified xsi:type="dcterms:W3CDTF">2026-05-10T04:31:01.966Z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