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Voiceover for russian tv clip</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Flooding is an important issue for the cities of Australia, especially the prosperous and populous coastal cities, as it causes massive loss of life and large scale property damage. The footage playing shows the scale of such disasters, and how devastating they can be.</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There have already been terrible floods in Australia, the most impactful of which in recent memory being the Queensland floods of 2011, which resulted in 35 fatalities and more than 1 billion $ of property damage, 606 million dollars in the city of Queensland alone.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For geofabric video</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The data gathered and used by our app is taken from Geofabric, which has comprehensive information about the Australian water system. The data provided by the Geofabric system in the form of metrics from datasets such as Hydrology Reporting Regions, Hydrology Reporting Catchments, Surface Cartography, Surface Network, Surface Catchments, and Groundwater Cartography(cut this sentence and replace with “in the form of metrics from the datasets shown on screen). These factors also allow us to enhance the capabilities of our app.</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For gif of rising water levels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While most flooding in Australia is caused due to excessive rainfall, which combines with poor drainage systems, ultimately resulting in a type of flooding called flash flooding, we cannot ignore the fact climate change and rising sea levels also pose a threat of flooding, and the more permanent effect of making coastal areas uninhabitable, which is especially important for australia, where most of the population lives in coastal cities.</w:t>
      </w:r>
    </w:p>
    <w:p w:rsidR="00000000" w:rsidDel="00000000" w:rsidP="00000000" w:rsidRDefault="00000000" w:rsidRPr="00000000" w14:paraId="0000000C">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