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5B6"/>
          <w:sz w:val="20"/>
          <w:szCs w:val="20"/>
        </w:rPr>
        <w:t xml:space="preserve">ANALYSTLAB AFRICA</w:t>
      </w:r>
    </w:p>
    <w:p>
      <w:pPr>
        <w:spacing w:after="400"/>
      </w:pPr>
      <w:r>
        <w:rPr>
          <w:sz w:val="20"/>
          <w:szCs w:val="20"/>
        </w:rPr>
        <w:t xml:space="preserve">Machine Learning Internship Programme</w:t>
      </w:r>
    </w:p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Business Understanding Report</w:t>
      </w:r>
    </w:p>
    <w:p>
      <w:pPr>
        <w:spacing w:after="400"/>
      </w:pPr>
      <w:r>
        <w:rPr>
          <w:i/>
          <w:iCs/>
          <w:color w:val="2E75B6"/>
          <w:sz w:val="24"/>
          <w:szCs w:val="24"/>
        </w:rPr>
        <w:t xml:space="preserve">Customer Churn Prediction Project — ABC Communications Ltd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Programme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Machine Learning Internship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Covered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1 – Problem Framing &amp; Data Understanding / Week 2 – Preprocessing &amp; Feature Engineering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Prepared by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Junior Machine Learning Engineer, AnalystLab Africa Consulting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ABC Communications Ltd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Dataset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Telco Customer Churn (Kaggle) — 7,043 customers, 21 columns</w:t>
            </w:r>
          </w:p>
        </w:tc>
      </w:tr>
    </w:tbl>
    <w:p>
      <w:pPr>
        <w:pStyle w:val="Heading1"/>
        <w:spacing w:after="160" w:before="320"/>
      </w:pPr>
      <w:r>
        <w:t xml:space="preserve">1. Business Context</w:t>
      </w:r>
    </w:p>
    <w:p>
      <w:pPr>
        <w:spacing w:after="160"/>
      </w:pPr>
      <w:r>
        <w:t xml:space="preserve">ABC Communications Ltd, a telecommunications provider, is losing customers to competitors and wants to move from a reactive to a proactive retention strategy. Acquiring a new customer is significantly more expensive than retaining an existing one, so the ability to flag at-risk customers before they leave has direct financial value: retention offers, discounts, or service outreach can be targeted only at customers who actually need them, instead of blanket campaigns.</w:t>
      </w:r>
    </w:p>
    <w:p>
      <w:pPr>
        <w:pStyle w:val="Heading1"/>
        <w:spacing w:after="160" w:before="320"/>
      </w:pPr>
      <w:r>
        <w:t xml:space="preserve">2. Business Problem the Model Should Solve</w:t>
      </w:r>
    </w:p>
    <w:p>
      <w:pPr>
        <w:spacing w:after="160"/>
      </w:pPr>
      <w:r>
        <w:t xml:space="preserve">The model should estimate, for each active customer, the probability that they will churn (cancel their service) in the near term. This prediction feeds a retention workflow: customers above a risk threshold are prioritized for proactive outreach by the customer success team.</w:t>
      </w:r>
    </w:p>
    <w:p>
      <w:pPr>
        <w:pStyle w:val="Heading1"/>
        <w:spacing w:after="160" w:before="320"/>
      </w:pPr>
      <w:r>
        <w:t xml:space="preserve">3. Target Variable</w:t>
      </w:r>
    </w:p>
    <w:p>
      <w:pPr>
        <w:spacing w:after="160"/>
      </w:pPr>
      <w:r>
        <w:t xml:space="preserve">The target variable is Churn, a binary label (Yes / No) indicating whether the customer left during the last billing period. In the dataset, 26.5% of customers churned versus 73.5% who stayed — a moderate class imbalance that shapes the modelling and evaluation approach (Section 5).</w:t>
      </w:r>
    </w:p>
    <w:p>
      <w:pPr>
        <w:pStyle w:val="Heading1"/>
        <w:spacing w:after="160" w:before="320"/>
      </w:pPr>
      <w:r>
        <w:t xml:space="preserve">4. Problem Type</w:t>
      </w:r>
    </w:p>
    <w:p>
      <w:pPr>
        <w:spacing w:after="160"/>
      </w:pPr>
      <w:r>
        <w:t xml:space="preserve">This is a binary classification problem, not a regression problem, because the target variable is categorical (two classes) rather than a continuous numeric value.</w:t>
      </w:r>
    </w:p>
    <w:p>
      <w:pPr>
        <w:pStyle w:val="Heading1"/>
        <w:spacing w:after="160" w:before="320"/>
      </w:pPr>
      <w:r>
        <w:t xml:space="preserve">5. Evaluation Metrics</w:t>
      </w:r>
    </w:p>
    <w:p>
      <w:pPr>
        <w:spacing w:after="160"/>
      </w:pPr>
      <w:r>
        <w:t xml:space="preserve">Because of the class imbalance, accuracy alone is a misleading metric — a model that always predicts “No churn” would already score ~73.5% accuracy while being useless in practice. The following metrics are recommended: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Recall — of all customers who actually churn, how many does the model catch? Prioritized because missing an at-risk customer is costly.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 — of all customers flagged as high-risk, how many actually churn? Matters because retention offers have a real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F1-score — harmonic balance between precision and recall.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ROC-AUC — overall ability of the model to separate churners from non-churners across thresholds.</w:t>
      </w:r>
    </w:p>
    <w:p>
      <w:pPr>
        <w:pStyle w:val="Heading1"/>
        <w:spacing w:after="160" w:before="320"/>
      </w:pPr>
      <w:r>
        <w:t xml:space="preserve">6. Candidate Algorithms</w:t>
      </w:r>
    </w:p>
    <w:p>
      <w:pPr>
        <w:spacing w:after="160"/>
      </w:pPr>
      <w:r>
        <w:t xml:space="preserve">For tabular data with a mix of numeric and categorical features, the following algorithms are appropriate candidates: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Logistic Regression — simple, fast, and interpretable; useful for explaining to the client which factors drive churn.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— captures non-linear interactions between features and provides feature importance.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Gradient Boosting (XGBoost / LightGBM) — typically the strongest performer on structured/tabular data of this kind.</w:t>
      </w:r>
    </w:p>
    <w:p>
      <w:pPr>
        <w:spacing w:after="160"/>
      </w:pPr>
      <w:r>
        <w:t xml:space="preserve">Recommendation: start with Logistic Regression as an interpretable baseline, then compare against Random Forest / Gradient Boosting for maximum predictive performance, keeping interpretability in mind since the client will want to understand the drivers of churn, not just receive a score.</w:t>
      </w:r>
    </w:p>
    <w:p>
      <w:pPr>
        <w:pStyle w:val="Heading1"/>
        <w:spacing w:after="160" w:before="320"/>
      </w:pPr>
      <w:r>
        <w:t xml:space="preserve">7. Input Features (Overview)</w:t>
      </w:r>
    </w:p>
    <w:p>
      <w:pPr>
        <w:spacing w:after="160"/>
      </w:pPr>
      <w:r>
        <w:t xml:space="preserve">With customerID excluded as a pure identifier, the remaining 19 raw columns cover four groups: demographics (gender, senior citizen status, partner, dependents), account/billing (tenure, monthly charges, total charges), subscribed services (phone, internet, security, backup, device protection, tech support, streaming TV/movies), and contract/payment details (contract type, paperless billing, payment method). Full feature-level preprocessing decisions are documented in the companion Data Preprocessing Report.</w:t>
      </w:r>
    </w:p>
    <w:p>
      <w:pPr>
        <w:pStyle w:val="Heading1"/>
        <w:spacing w:after="160" w:before="320"/>
      </w:pPr>
      <w:r>
        <w:t xml:space="preserve">8. Key Business Questions —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5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problem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 which active customers are likely to churn, to enable proactive retention.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 variable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Churn (Yes/No)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Input features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 customer attributes across demographics, billing, services, and contract (customerID excluded)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Classification or regression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Binary classification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Evaluation metrics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Recall, Precision, F1-score, ROC-AUC (accuracy alone is insufficient)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Suitable algorithms</w:t>
            </w:r>
          </w:p>
        </w:tc>
        <w:tc>
          <w:tcPr>
            <w:tcW w:type="dxa" w:w="4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Logistic Regression (baseline/interpretability), Random Forest, Gradient Boosting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2026-08-14T01:37:15.887Z</dcterms:created>
  <dcterms:modified xsi:type="dcterms:W3CDTF">2026-08-14T01:37:15.897Z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