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E75B6"/>
          <w:sz w:val="20"/>
          <w:szCs w:val="20"/>
        </w:rPr>
        <w:t xml:space="preserve">ANALYSTLAB AFRICA</w:t>
      </w:r>
    </w:p>
    <w:p>
      <w:pPr>
        <w:spacing w:after="400"/>
      </w:pPr>
      <w:r>
        <w:rPr>
          <w:sz w:val="20"/>
          <w:szCs w:val="20"/>
        </w:rPr>
        <w:t xml:space="preserve">Machine Learning Internship Programme — Week 2</w:t>
      </w:r>
    </w:p>
    <w:p>
      <w:pPr>
        <w:spacing w:after="120"/>
      </w:pPr>
      <w:r>
        <w:rPr>
          <w:b/>
          <w:bCs/>
          <w:color w:val="1F3864"/>
          <w:sz w:val="44"/>
          <w:szCs w:val="44"/>
        </w:rPr>
        <w:t xml:space="preserve">Data Preprocessing Report</w:t>
      </w:r>
    </w:p>
    <w:p>
      <w:pPr>
        <w:spacing w:after="400"/>
      </w:pPr>
      <w:r>
        <w:rPr>
          <w:i/>
          <w:iCs/>
          <w:color w:val="2E75B6"/>
          <w:sz w:val="24"/>
          <w:szCs w:val="24"/>
        </w:rPr>
        <w:t xml:space="preserve">Customer Churn Prediction Project — Telco Customer Churn Dataset</w:t>
      </w:r>
    </w:p>
    <w:p>
      <w:pPr>
        <w:pStyle w:val="Heading1"/>
        <w:spacing w:after="160" w:before="320"/>
      </w:pPr>
      <w:r>
        <w:t xml:space="preserve">1. Objective</w:t>
      </w:r>
    </w:p>
    <w:p>
      <w:pPr>
        <w:spacing w:after="160"/>
      </w:pPr>
      <w:r>
        <w:t xml:space="preserve">This report documents the full preprocessing pipeline applied to the raw Telco Customer Churn dataset (7,043 rows, 21 columns) to transform it into a clean, fully numeric, machine-learning-ready dataset, with every decision justified. The corresponding executable pipeline is in week2_preprocessing.ipynb.</w:t>
      </w:r>
    </w:p>
    <w:p>
      <w:pPr>
        <w:pStyle w:val="Heading1"/>
        <w:spacing w:after="160" w:before="320"/>
      </w:pPr>
      <w:r>
        <w:t xml:space="preserve">2. Data Quality Issues Identified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50"/>
      </w:tblGrid>
      <w:tr>
        <w:tc>
          <w:tcPr>
            <w:tcW w:type="dxa" w:w="2400"/>
            <w:shd w:fill="1F3864" w:val="clear"/>
            <w:tcMar>
              <w:top w:type="dxa" w:w="100"/>
              <w:left w:type="dxa" w:w="120"/>
              <w:bottom w:type="dxa" w:w="100"/>
              <w:right w:type="dxa" w:w="120"/>
            </w:tcMar>
          </w:tcPr>
          <w:p>
            <w:r>
              <w:rPr>
                <w:b/>
                <w:bCs/>
                <w:color w:val="FFFFFF"/>
              </w:rPr>
              <w:t xml:space="preserve">Issue</w:t>
            </w:r>
          </w:p>
        </w:tc>
        <w:tc>
          <w:tcPr>
            <w:tcW w:type="dxa" w:w="4200"/>
            <w:shd w:fill="1F3864" w:val="clear"/>
            <w:tcMar>
              <w:top w:type="dxa" w:w="100"/>
              <w:left w:type="dxa" w:w="120"/>
              <w:bottom w:type="dxa" w:w="100"/>
              <w:right w:type="dxa" w:w="120"/>
            </w:tcMar>
          </w:tcPr>
          <w:p>
            <w:r>
              <w:rPr>
                <w:b/>
                <w:bCs/>
                <w:color w:val="FFFFFF"/>
              </w:rPr>
              <w:t xml:space="preserve">Description</w:t>
            </w:r>
          </w:p>
        </w:tc>
        <w:tc>
          <w:tcPr>
            <w:tcW w:type="dxa" w:w="2750"/>
            <w:shd w:fill="1F3864" w:val="clear"/>
            <w:tcMar>
              <w:top w:type="dxa" w:w="100"/>
              <w:left w:type="dxa" w:w="120"/>
              <w:bottom w:type="dxa" w:w="100"/>
              <w:right w:type="dxa" w:w="120"/>
            </w:tcMar>
          </w:tcPr>
          <w:p>
            <w:r>
              <w:rPr>
                <w:b/>
                <w:bCs/>
                <w:color w:val="FFFFFF"/>
              </w:rPr>
              <w:t xml:space="preserve">Resolution</w:t>
            </w:r>
          </w:p>
        </w:tc>
      </w:tr>
      <w:tr>
        <w:tc>
          <w:tcPr>
            <w:tcW w:type="dxa" w:w="2400"/>
            <w:tcMar>
              <w:top w:type="dxa" w:w="100"/>
              <w:left w:type="dxa" w:w="120"/>
              <w:bottom w:type="dxa" w:w="100"/>
              <w:right w:type="dxa" w:w="120"/>
            </w:tcMar>
          </w:tcPr>
          <w:p>
            <w:r>
              <w:rPr>
                <w:b w:val="false"/>
                <w:bCs w:val="false"/>
                <w:color w:val="000000"/>
              </w:rPr>
              <w:t xml:space="preserve">TotalCharges mistyped</w:t>
            </w:r>
          </w:p>
        </w:tc>
        <w:tc>
          <w:tcPr>
            <w:tcW w:type="dxa" w:w="4200"/>
            <w:tcMar>
              <w:top w:type="dxa" w:w="100"/>
              <w:left w:type="dxa" w:w="120"/>
              <w:bottom w:type="dxa" w:w="100"/>
              <w:right w:type="dxa" w:w="120"/>
            </w:tcMar>
          </w:tcPr>
          <w:p>
            <w:r>
              <w:rPr>
                <w:b w:val="false"/>
                <w:bCs w:val="false"/>
                <w:color w:val="000000"/>
              </w:rPr>
              <w:t xml:space="preserve">Stored as text (object) instead of numeric; hides 11 missing values disguised as blank strings</w:t>
            </w:r>
          </w:p>
        </w:tc>
        <w:tc>
          <w:tcPr>
            <w:tcW w:type="dxa" w:w="2750"/>
            <w:tcMar>
              <w:top w:type="dxa" w:w="100"/>
              <w:left w:type="dxa" w:w="120"/>
              <w:bottom w:type="dxa" w:w="100"/>
              <w:right w:type="dxa" w:w="120"/>
            </w:tcMar>
          </w:tcPr>
          <w:p>
            <w:r>
              <w:rPr>
                <w:b w:val="false"/>
                <w:bCs w:val="false"/>
                <w:color w:val="000000"/>
              </w:rPr>
              <w:t xml:space="preserve">Converted to numeric; blanks imputed with 0</w:t>
            </w:r>
          </w:p>
        </w:tc>
      </w:tr>
      <w:tr>
        <w:tc>
          <w:tcPr>
            <w:tcW w:type="dxa" w:w="2400"/>
            <w:tcMar>
              <w:top w:type="dxa" w:w="100"/>
              <w:left w:type="dxa" w:w="120"/>
              <w:bottom w:type="dxa" w:w="100"/>
              <w:right w:type="dxa" w:w="120"/>
            </w:tcMar>
          </w:tcPr>
          <w:p>
            <w:r>
              <w:rPr>
                <w:b w:val="false"/>
                <w:bCs w:val="false"/>
                <w:color w:val="000000"/>
              </w:rPr>
              <w:t xml:space="preserve">Hidden missing values</w:t>
            </w:r>
          </w:p>
        </w:tc>
        <w:tc>
          <w:tcPr>
            <w:tcW w:type="dxa" w:w="4200"/>
            <w:tcMar>
              <w:top w:type="dxa" w:w="100"/>
              <w:left w:type="dxa" w:w="120"/>
              <w:bottom w:type="dxa" w:w="100"/>
              <w:right w:type="dxa" w:w="120"/>
            </w:tcMar>
          </w:tcPr>
          <w:p>
            <w:r>
              <w:rPr>
                <w:b w:val="false"/>
                <w:bCs w:val="false"/>
                <w:color w:val="000000"/>
              </w:rPr>
              <w:t xml:space="preserve">The 11 blanks above are invisible to a standard .isna().sum() check because they are empty strings, not NaN</w:t>
            </w:r>
          </w:p>
        </w:tc>
        <w:tc>
          <w:tcPr>
            <w:tcW w:type="dxa" w:w="2750"/>
            <w:tcMar>
              <w:top w:type="dxa" w:w="100"/>
              <w:left w:type="dxa" w:w="120"/>
              <w:bottom w:type="dxa" w:w="100"/>
              <w:right w:type="dxa" w:w="120"/>
            </w:tcMar>
          </w:tcPr>
          <w:p>
            <w:r>
              <w:rPr>
                <w:b w:val="false"/>
                <w:bCs w:val="false"/>
                <w:color w:val="000000"/>
              </w:rPr>
              <w:t xml:space="preserve">Explicitly detected via string inspection before relying on isna()</w:t>
            </w:r>
          </w:p>
        </w:tc>
      </w:tr>
      <w:tr>
        <w:tc>
          <w:tcPr>
            <w:tcW w:type="dxa" w:w="2400"/>
            <w:tcMar>
              <w:top w:type="dxa" w:w="100"/>
              <w:left w:type="dxa" w:w="120"/>
              <w:bottom w:type="dxa" w:w="100"/>
              <w:right w:type="dxa" w:w="120"/>
            </w:tcMar>
          </w:tcPr>
          <w:p>
            <w:r>
              <w:rPr>
                <w:b w:val="false"/>
                <w:bCs w:val="false"/>
                <w:color w:val="000000"/>
              </w:rPr>
              <w:t xml:space="preserve">Logical pattern behind missing values</w:t>
            </w:r>
          </w:p>
        </w:tc>
        <w:tc>
          <w:tcPr>
            <w:tcW w:type="dxa" w:w="4200"/>
            <w:tcMar>
              <w:top w:type="dxa" w:w="100"/>
              <w:left w:type="dxa" w:w="120"/>
              <w:bottom w:type="dxa" w:w="100"/>
              <w:right w:type="dxa" w:w="120"/>
            </w:tcMar>
          </w:tcPr>
          <w:p>
            <w:r>
              <w:rPr>
                <w:b w:val="false"/>
                <w:bCs w:val="false"/>
                <w:color w:val="000000"/>
              </w:rPr>
              <w:t xml:space="preserve">All 11 blank TotalCharges rows have tenure = 0 (brand-new customers, no charges accumulated yet)</w:t>
            </w:r>
          </w:p>
        </w:tc>
        <w:tc>
          <w:tcPr>
            <w:tcW w:type="dxa" w:w="2750"/>
            <w:tcMar>
              <w:top w:type="dxa" w:w="100"/>
              <w:left w:type="dxa" w:w="120"/>
              <w:bottom w:type="dxa" w:w="100"/>
              <w:right w:type="dxa" w:w="120"/>
            </w:tcMar>
          </w:tcPr>
          <w:p>
            <w:r>
              <w:rPr>
                <w:b w:val="false"/>
                <w:bCs w:val="false"/>
                <w:color w:val="000000"/>
              </w:rPr>
              <w:t xml:space="preserve">Imputed as 0, consistent with business logic (not a random error)</w:t>
            </w:r>
          </w:p>
        </w:tc>
      </w:tr>
      <w:tr>
        <w:tc>
          <w:tcPr>
            <w:tcW w:type="dxa" w:w="2400"/>
            <w:tcMar>
              <w:top w:type="dxa" w:w="100"/>
              <w:left w:type="dxa" w:w="120"/>
              <w:bottom w:type="dxa" w:w="100"/>
              <w:right w:type="dxa" w:w="120"/>
            </w:tcMar>
          </w:tcPr>
          <w:p>
            <w:r>
              <w:rPr>
                <w:b w:val="false"/>
                <w:bCs w:val="false"/>
                <w:color w:val="000000"/>
              </w:rPr>
              <w:t xml:space="preserve">Redundant categorical labels</w:t>
            </w:r>
          </w:p>
        </w:tc>
        <w:tc>
          <w:tcPr>
            <w:tcW w:type="dxa" w:w="4200"/>
            <w:tcMar>
              <w:top w:type="dxa" w:w="100"/>
              <w:left w:type="dxa" w:w="120"/>
              <w:bottom w:type="dxa" w:w="100"/>
              <w:right w:type="dxa" w:w="120"/>
            </w:tcMar>
          </w:tcPr>
          <w:p>
            <w:r>
              <w:rPr>
                <w:b w:val="false"/>
                <w:bCs w:val="false"/>
                <w:color w:val="000000"/>
              </w:rPr>
              <w:t xml:space="preserve">7 columns contain “No internet service” / “No phone service”, exactly duplicating information already in InternetService / PhoneService</w:t>
            </w:r>
          </w:p>
        </w:tc>
        <w:tc>
          <w:tcPr>
            <w:tcW w:type="dxa" w:w="2750"/>
            <w:tcMar>
              <w:top w:type="dxa" w:w="100"/>
              <w:left w:type="dxa" w:w="120"/>
              <w:bottom w:type="dxa" w:w="100"/>
              <w:right w:type="dxa" w:w="120"/>
            </w:tcMar>
          </w:tcPr>
          <w:p>
            <w:r>
              <w:rPr>
                <w:b w:val="false"/>
                <w:bCs w:val="false"/>
                <w:color w:val="000000"/>
              </w:rPr>
              <w:t xml:space="preserve">Standardized to “No” to remove redundancy before encoding</w:t>
            </w:r>
          </w:p>
        </w:tc>
      </w:tr>
      <w:tr>
        <w:tc>
          <w:tcPr>
            <w:tcW w:type="dxa" w:w="2400"/>
            <w:tcMar>
              <w:top w:type="dxa" w:w="100"/>
              <w:left w:type="dxa" w:w="120"/>
              <w:bottom w:type="dxa" w:w="100"/>
              <w:right w:type="dxa" w:w="120"/>
            </w:tcMar>
          </w:tcPr>
          <w:p>
            <w:r>
              <w:rPr>
                <w:b w:val="false"/>
                <w:bCs w:val="false"/>
                <w:color w:val="000000"/>
              </w:rPr>
              <w:t xml:space="preserve">Duplicate records</w:t>
            </w:r>
          </w:p>
        </w:tc>
        <w:tc>
          <w:tcPr>
            <w:tcW w:type="dxa" w:w="4200"/>
            <w:tcMar>
              <w:top w:type="dxa" w:w="100"/>
              <w:left w:type="dxa" w:w="120"/>
              <w:bottom w:type="dxa" w:w="100"/>
              <w:right w:type="dxa" w:w="120"/>
            </w:tcMar>
          </w:tcPr>
          <w:p>
            <w:r>
              <w:rPr>
                <w:b w:val="false"/>
                <w:bCs w:val="false"/>
                <w:color w:val="000000"/>
              </w:rPr>
              <w:t xml:space="preserve">Checked for fully duplicated rows and duplicate customerID</w:t>
            </w:r>
          </w:p>
        </w:tc>
        <w:tc>
          <w:tcPr>
            <w:tcW w:type="dxa" w:w="2750"/>
            <w:tcMar>
              <w:top w:type="dxa" w:w="100"/>
              <w:left w:type="dxa" w:w="120"/>
              <w:bottom w:type="dxa" w:w="100"/>
              <w:right w:type="dxa" w:w="120"/>
            </w:tcMar>
          </w:tcPr>
          <w:p>
            <w:r>
              <w:rPr>
                <w:b w:val="false"/>
                <w:bCs w:val="false"/>
                <w:color w:val="000000"/>
              </w:rPr>
              <w:t xml:space="preserve">None found — 0 duplicate rows, 0 duplicate IDs</w:t>
            </w:r>
          </w:p>
        </w:tc>
      </w:tr>
    </w:tbl>
    <w:p>
      <w:pPr>
        <w:pStyle w:val="Heading1"/>
        <w:spacing w:after="160" w:before="320"/>
      </w:pPr>
      <w:r>
        <w:t xml:space="preserve">3. Data Cleaning Decisions</w:t>
      </w:r>
    </w:p>
    <w:p>
      <w:pPr>
        <w:pStyle w:val="ListParagraph"/>
        <w:numPr>
          <w:ilvl w:val="0"/>
          <w:numId w:val="1"/>
        </w:numPr>
        <w:spacing w:after="80"/>
      </w:pPr>
      <w:r>
        <w:t xml:space="preserve">TotalCharges: replace blank strings with NaN, convert column to numeric (pd.to_numeric), then fill the resulting 11 missing values with 0.</w:t>
      </w:r>
    </w:p>
    <w:p>
      <w:pPr>
        <w:pStyle w:val="ListParagraph"/>
        <w:numPr>
          <w:ilvl w:val="0"/>
          <w:numId w:val="1"/>
        </w:numPr>
        <w:spacing w:after="80"/>
      </w:pPr>
      <w:r>
        <w:t xml:space="preserve">Duplicates: verified via df.duplicated() and customerID.duplicated() — none present, no rows removed.</w:t>
      </w:r>
    </w:p>
    <w:p>
      <w:pPr>
        <w:pStyle w:val="ListParagraph"/>
        <w:numPr>
          <w:ilvl w:val="0"/>
          <w:numId w:val="1"/>
        </w:numPr>
        <w:spacing w:after="80"/>
      </w:pPr>
      <w:r>
        <w:t xml:space="preserve">Standardization: replaced “No internet service” and “No phone service” with “No” across OnlineSecurity, OnlineBackup, DeviceProtection, TechSupport, StreamingTV, StreamingMovies, and MultipleLines.</w:t>
      </w:r>
    </w:p>
    <w:p>
      <w:pPr>
        <w:pStyle w:val="Heading1"/>
        <w:spacing w:after="160" w:before="320"/>
      </w:pPr>
      <w:r>
        <w:t xml:space="preserve">4. Feature Engineering</w:t>
      </w:r>
    </w:p>
    <w:p>
      <w:pPr>
        <w:spacing w:after="160"/>
      </w:pPr>
      <w:r>
        <w:t xml:space="preserve">Three new features were created, each tied to a specific business hypothesis about churn drivers: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50"/>
      </w:tblGrid>
      <w:tr>
        <w:tc>
          <w:tcPr>
            <w:tcW w:type="dxa" w:w="2200"/>
            <w:shd w:fill="1F3864" w:val="clear"/>
            <w:tcMar>
              <w:top w:type="dxa" w:w="100"/>
              <w:left w:type="dxa" w:w="120"/>
              <w:bottom w:type="dxa" w:w="100"/>
              <w:right w:type="dxa" w:w="120"/>
            </w:tcMar>
          </w:tcPr>
          <w:p>
            <w:r>
              <w:rPr>
                <w:b/>
                <w:bCs/>
                <w:color w:val="FFFFFF"/>
              </w:rPr>
              <w:t xml:space="preserve">Feature</w:t>
            </w:r>
          </w:p>
        </w:tc>
        <w:tc>
          <w:tcPr>
            <w:tcW w:type="dxa" w:w="3600"/>
            <w:shd w:fill="1F3864" w:val="clear"/>
            <w:tcMar>
              <w:top w:type="dxa" w:w="100"/>
              <w:left w:type="dxa" w:w="120"/>
              <w:bottom w:type="dxa" w:w="100"/>
              <w:right w:type="dxa" w:w="120"/>
            </w:tcMar>
          </w:tcPr>
          <w:p>
            <w:r>
              <w:rPr>
                <w:b/>
                <w:bCs/>
                <w:color w:val="FFFFFF"/>
              </w:rPr>
              <w:t xml:space="preserve">Definition</w:t>
            </w:r>
          </w:p>
        </w:tc>
        <w:tc>
          <w:tcPr>
            <w:tcW w:type="dxa" w:w="3550"/>
            <w:shd w:fill="1F3864" w:val="clear"/>
            <w:tcMar>
              <w:top w:type="dxa" w:w="100"/>
              <w:left w:type="dxa" w:w="120"/>
              <w:bottom w:type="dxa" w:w="100"/>
              <w:right w:type="dxa" w:w="120"/>
            </w:tcMar>
          </w:tcPr>
          <w:p>
            <w:r>
              <w:rPr>
                <w:b/>
                <w:bCs/>
                <w:color w:val="FFFFFF"/>
              </w:rPr>
              <w:t xml:space="preserve">Rationale</w:t>
            </w:r>
          </w:p>
        </w:tc>
      </w:tr>
      <w:tr>
        <w:tc>
          <w:tcPr>
            <w:tcW w:type="dxa" w:w="2200"/>
            <w:tcMar>
              <w:top w:type="dxa" w:w="100"/>
              <w:left w:type="dxa" w:w="120"/>
              <w:bottom w:type="dxa" w:w="100"/>
              <w:right w:type="dxa" w:w="120"/>
            </w:tcMar>
          </w:tcPr>
          <w:p>
            <w:r>
              <w:rPr>
                <w:b w:val="false"/>
                <w:bCs w:val="false"/>
                <w:color w:val="000000"/>
              </w:rPr>
              <w:t xml:space="preserve">TenureGroup</w:t>
            </w:r>
          </w:p>
        </w:tc>
        <w:tc>
          <w:tcPr>
            <w:tcW w:type="dxa" w:w="3600"/>
            <w:tcMar>
              <w:top w:type="dxa" w:w="100"/>
              <w:left w:type="dxa" w:w="120"/>
              <w:bottom w:type="dxa" w:w="100"/>
              <w:right w:type="dxa" w:w="120"/>
            </w:tcMar>
          </w:tcPr>
          <w:p>
            <w:r>
              <w:rPr>
                <w:b w:val="false"/>
                <w:bCs w:val="false"/>
                <w:color w:val="000000"/>
              </w:rPr>
              <w:t xml:space="preserve">tenure binned into 0-12, 13-24, 25-48, 49-72 months</w:t>
            </w:r>
          </w:p>
        </w:tc>
        <w:tc>
          <w:tcPr>
            <w:tcW w:type="dxa" w:w="3550"/>
            <w:tcMar>
              <w:top w:type="dxa" w:w="100"/>
              <w:left w:type="dxa" w:w="120"/>
              <w:bottom w:type="dxa" w:w="100"/>
              <w:right w:type="dxa" w:w="120"/>
            </w:tcMar>
          </w:tcPr>
          <w:p>
            <w:r>
              <w:rPr>
                <w:b w:val="false"/>
                <w:bCs w:val="false"/>
                <w:color w:val="000000"/>
              </w:rPr>
              <w:t xml:space="preserve">Churn risk is concentrated in early tenure, not linear — confirmed: 47.4% churn in 0-12 months vs 9.5% in 49-72 months</w:t>
            </w:r>
          </w:p>
        </w:tc>
      </w:tr>
      <w:tr>
        <w:tc>
          <w:tcPr>
            <w:tcW w:type="dxa" w:w="2200"/>
            <w:tcMar>
              <w:top w:type="dxa" w:w="100"/>
              <w:left w:type="dxa" w:w="120"/>
              <w:bottom w:type="dxa" w:w="100"/>
              <w:right w:type="dxa" w:w="120"/>
            </w:tcMar>
          </w:tcPr>
          <w:p>
            <w:r>
              <w:rPr>
                <w:b w:val="false"/>
                <w:bCs w:val="false"/>
                <w:color w:val="000000"/>
              </w:rPr>
              <w:t xml:space="preserve">NumServicesSubscribed</w:t>
            </w:r>
          </w:p>
        </w:tc>
        <w:tc>
          <w:tcPr>
            <w:tcW w:type="dxa" w:w="3600"/>
            <w:tcMar>
              <w:top w:type="dxa" w:w="100"/>
              <w:left w:type="dxa" w:w="120"/>
              <w:bottom w:type="dxa" w:w="100"/>
              <w:right w:type="dxa" w:w="120"/>
            </w:tcMar>
          </w:tcPr>
          <w:p>
            <w:r>
              <w:rPr>
                <w:b w:val="false"/>
                <w:bCs w:val="false"/>
                <w:color w:val="000000"/>
              </w:rPr>
              <w:t xml:space="preserve">Count of active services (phone, internet, security, backup, protection, support, streaming)</w:t>
            </w:r>
          </w:p>
        </w:tc>
        <w:tc>
          <w:tcPr>
            <w:tcW w:type="dxa" w:w="3550"/>
            <w:tcMar>
              <w:top w:type="dxa" w:w="100"/>
              <w:left w:type="dxa" w:w="120"/>
              <w:bottom w:type="dxa" w:w="100"/>
              <w:right w:type="dxa" w:w="120"/>
            </w:tcMar>
          </w:tcPr>
          <w:p>
            <w:r>
              <w:rPr>
                <w:b w:val="false"/>
                <w:bCs w:val="false"/>
                <w:color w:val="000000"/>
              </w:rPr>
              <w:t xml:space="preserve">More services subscribed suggests the customer is more “anchored” and less likely to churn</w:t>
            </w:r>
          </w:p>
        </w:tc>
      </w:tr>
      <w:tr>
        <w:tc>
          <w:tcPr>
            <w:tcW w:type="dxa" w:w="2200"/>
            <w:tcMar>
              <w:top w:type="dxa" w:w="100"/>
              <w:left w:type="dxa" w:w="120"/>
              <w:bottom w:type="dxa" w:w="100"/>
              <w:right w:type="dxa" w:w="120"/>
            </w:tcMar>
          </w:tcPr>
          <w:p>
            <w:r>
              <w:rPr>
                <w:b w:val="false"/>
                <w:bCs w:val="false"/>
                <w:color w:val="000000"/>
              </w:rPr>
              <w:t xml:space="preserve">AvgChargePerService</w:t>
            </w:r>
          </w:p>
        </w:tc>
        <w:tc>
          <w:tcPr>
            <w:tcW w:type="dxa" w:w="3600"/>
            <w:tcMar>
              <w:top w:type="dxa" w:w="100"/>
              <w:left w:type="dxa" w:w="120"/>
              <w:bottom w:type="dxa" w:w="100"/>
              <w:right w:type="dxa" w:w="120"/>
            </w:tcMar>
          </w:tcPr>
          <w:p>
            <w:r>
              <w:rPr>
                <w:b w:val="false"/>
                <w:bCs w:val="false"/>
                <w:color w:val="000000"/>
              </w:rPr>
              <w:t xml:space="preserve">MonthlyCharges divided by NumServicesSubscribed</w:t>
            </w:r>
          </w:p>
        </w:tc>
        <w:tc>
          <w:tcPr>
            <w:tcW w:type="dxa" w:w="3550"/>
            <w:tcMar>
              <w:top w:type="dxa" w:w="100"/>
              <w:left w:type="dxa" w:w="120"/>
              <w:bottom w:type="dxa" w:w="100"/>
              <w:right w:type="dxa" w:w="120"/>
            </w:tcMar>
          </w:tcPr>
          <w:p>
            <w:r>
              <w:rPr>
                <w:b w:val="false"/>
                <w:bCs w:val="false"/>
                <w:color w:val="000000"/>
              </w:rPr>
              <w:t xml:space="preserve">Captures perceived value-for-money; high cost per service may signal dissatisfaction</w:t>
            </w:r>
          </w:p>
        </w:tc>
      </w:tr>
    </w:tbl>
    <w:p>
      <w:pPr>
        <w:spacing w:after="160"/>
      </w:pPr>
      <w:r>
        <w:t xml:space="preserve">customerID was removed as it is a unique identifier with no predictive value and risks overfitting if left in the feature set.</w:t>
      </w:r>
    </w:p>
    <w:p>
      <w:pPr>
        <w:pStyle w:val="Heading1"/>
        <w:spacing w:after="160" w:before="320"/>
      </w:pPr>
      <w:r>
        <w:t xml:space="preserve">5. Feature Encoding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50"/>
      </w:tblGrid>
      <w:tr>
        <w:tc>
          <w:tcPr>
            <w:tcW w:type="dxa" w:w="2200"/>
            <w:shd w:fill="1F3864" w:val="clear"/>
            <w:tcMar>
              <w:top w:type="dxa" w:w="100"/>
              <w:left w:type="dxa" w:w="120"/>
              <w:bottom w:type="dxa" w:w="100"/>
              <w:right w:type="dxa" w:w="120"/>
            </w:tcMar>
          </w:tcPr>
          <w:p>
            <w:r>
              <w:rPr>
                <w:b/>
                <w:bCs/>
                <w:color w:val="FFFFFF"/>
              </w:rPr>
              <w:t xml:space="preserve">Technique</w:t>
            </w:r>
          </w:p>
        </w:tc>
        <w:tc>
          <w:tcPr>
            <w:tcW w:type="dxa" w:w="4200"/>
            <w:shd w:fill="1F3864" w:val="clear"/>
            <w:tcMar>
              <w:top w:type="dxa" w:w="100"/>
              <w:left w:type="dxa" w:w="120"/>
              <w:bottom w:type="dxa" w:w="100"/>
              <w:right w:type="dxa" w:w="120"/>
            </w:tcMar>
          </w:tcPr>
          <w:p>
            <w:r>
              <w:rPr>
                <w:b/>
                <w:bCs/>
                <w:color w:val="FFFFFF"/>
              </w:rPr>
              <w:t xml:space="preserve">Columns</w:t>
            </w:r>
          </w:p>
        </w:tc>
        <w:tc>
          <w:tcPr>
            <w:tcW w:type="dxa" w:w="2950"/>
            <w:shd w:fill="1F3864" w:val="clear"/>
            <w:tcMar>
              <w:top w:type="dxa" w:w="100"/>
              <w:left w:type="dxa" w:w="120"/>
              <w:bottom w:type="dxa" w:w="100"/>
              <w:right w:type="dxa" w:w="120"/>
            </w:tcMar>
          </w:tcPr>
          <w:p>
            <w:r>
              <w:rPr>
                <w:b/>
                <w:bCs/>
                <w:color w:val="FFFFFF"/>
              </w:rPr>
              <w:t xml:space="preserve">Justification</w:t>
            </w:r>
          </w:p>
        </w:tc>
      </w:tr>
      <w:tr>
        <w:tc>
          <w:tcPr>
            <w:tcW w:type="dxa" w:w="2200"/>
            <w:tcMar>
              <w:top w:type="dxa" w:w="100"/>
              <w:left w:type="dxa" w:w="120"/>
              <w:bottom w:type="dxa" w:w="100"/>
              <w:right w:type="dxa" w:w="120"/>
            </w:tcMar>
          </w:tcPr>
          <w:p>
            <w:r>
              <w:rPr>
                <w:b w:val="false"/>
                <w:bCs w:val="false"/>
                <w:color w:val="000000"/>
              </w:rPr>
              <w:t xml:space="preserve">Label Encoding (0/1)</w:t>
            </w:r>
          </w:p>
        </w:tc>
        <w:tc>
          <w:tcPr>
            <w:tcW w:type="dxa" w:w="4200"/>
            <w:tcMar>
              <w:top w:type="dxa" w:w="100"/>
              <w:left w:type="dxa" w:w="120"/>
              <w:bottom w:type="dxa" w:w="100"/>
              <w:right w:type="dxa" w:w="120"/>
            </w:tcMar>
          </w:tcPr>
          <w:p>
            <w:r>
              <w:rPr>
                <w:b w:val="false"/>
                <w:bCs w:val="false"/>
                <w:color w:val="000000"/>
              </w:rPr>
              <w:t xml:space="preserve">gender, Partner, Dependents, PhoneService, PaperlessBilling, Churn</w:t>
            </w:r>
          </w:p>
        </w:tc>
        <w:tc>
          <w:tcPr>
            <w:tcW w:type="dxa" w:w="2950"/>
            <w:tcMar>
              <w:top w:type="dxa" w:w="100"/>
              <w:left w:type="dxa" w:w="120"/>
              <w:bottom w:type="dxa" w:w="100"/>
              <w:right w:type="dxa" w:w="120"/>
            </w:tcMar>
          </w:tcPr>
          <w:p>
            <w:r>
              <w:rPr>
                <w:b w:val="false"/>
                <w:bCs w:val="false"/>
                <w:color w:val="000000"/>
              </w:rPr>
              <w:t xml:space="preserve">Naturally binary — no order or magnitude is lost by mapping to 0/1</w:t>
            </w:r>
          </w:p>
        </w:tc>
      </w:tr>
      <w:tr>
        <w:tc>
          <w:tcPr>
            <w:tcW w:type="dxa" w:w="2200"/>
            <w:tcMar>
              <w:top w:type="dxa" w:w="100"/>
              <w:left w:type="dxa" w:w="120"/>
              <w:bottom w:type="dxa" w:w="100"/>
              <w:right w:type="dxa" w:w="120"/>
            </w:tcMar>
          </w:tcPr>
          <w:p>
            <w:r>
              <w:rPr>
                <w:b w:val="false"/>
                <w:bCs w:val="false"/>
                <w:color w:val="000000"/>
              </w:rPr>
              <w:t xml:space="preserve">Ordinal Encoding</w:t>
            </w:r>
          </w:p>
        </w:tc>
        <w:tc>
          <w:tcPr>
            <w:tcW w:type="dxa" w:w="4200"/>
            <w:tcMar>
              <w:top w:type="dxa" w:w="100"/>
              <w:left w:type="dxa" w:w="120"/>
              <w:bottom w:type="dxa" w:w="100"/>
              <w:right w:type="dxa" w:w="120"/>
            </w:tcMar>
          </w:tcPr>
          <w:p>
            <w:r>
              <w:rPr>
                <w:b w:val="false"/>
                <w:bCs w:val="false"/>
                <w:color w:val="000000"/>
              </w:rPr>
              <w:t xml:space="preserve">Contract (Month-to-month &lt; One year &lt; Two year), TenureGroup</w:t>
            </w:r>
          </w:p>
        </w:tc>
        <w:tc>
          <w:tcPr>
            <w:tcW w:type="dxa" w:w="2950"/>
            <w:tcMar>
              <w:top w:type="dxa" w:w="100"/>
              <w:left w:type="dxa" w:w="120"/>
              <w:bottom w:type="dxa" w:w="100"/>
              <w:right w:type="dxa" w:w="120"/>
            </w:tcMar>
          </w:tcPr>
          <w:p>
            <w:r>
              <w:rPr>
                <w:b w:val="false"/>
                <w:bCs w:val="false"/>
                <w:color w:val="000000"/>
              </w:rPr>
              <w:t xml:space="preserve">These categories have a genuine natural order; One-Hot Encoding would discard that ordering information</w:t>
            </w:r>
          </w:p>
        </w:tc>
      </w:tr>
      <w:tr>
        <w:tc>
          <w:tcPr>
            <w:tcW w:type="dxa" w:w="2200"/>
            <w:tcMar>
              <w:top w:type="dxa" w:w="100"/>
              <w:left w:type="dxa" w:w="120"/>
              <w:bottom w:type="dxa" w:w="100"/>
              <w:right w:type="dxa" w:w="120"/>
            </w:tcMar>
          </w:tcPr>
          <w:p>
            <w:r>
              <w:rPr>
                <w:b w:val="false"/>
                <w:bCs w:val="false"/>
                <w:color w:val="000000"/>
              </w:rPr>
              <w:t xml:space="preserve">One-Hot Encoding</w:t>
            </w:r>
          </w:p>
        </w:tc>
        <w:tc>
          <w:tcPr>
            <w:tcW w:type="dxa" w:w="4200"/>
            <w:tcMar>
              <w:top w:type="dxa" w:w="100"/>
              <w:left w:type="dxa" w:w="120"/>
              <w:bottom w:type="dxa" w:w="100"/>
              <w:right w:type="dxa" w:w="120"/>
            </w:tcMar>
          </w:tcPr>
          <w:p>
            <w:r>
              <w:rPr>
                <w:b w:val="false"/>
                <w:bCs w:val="false"/>
                <w:color w:val="000000"/>
              </w:rPr>
              <w:t xml:space="preserve">MultipleLines, InternetService, OnlineSecurity, OnlineBackup, DeviceProtection, TechSupport, StreamingTV, StreamingMovies, PaymentMethod</w:t>
            </w:r>
          </w:p>
        </w:tc>
        <w:tc>
          <w:tcPr>
            <w:tcW w:type="dxa" w:w="2950"/>
            <w:tcMar>
              <w:top w:type="dxa" w:w="100"/>
              <w:left w:type="dxa" w:w="120"/>
              <w:bottom w:type="dxa" w:w="100"/>
              <w:right w:type="dxa" w:w="120"/>
            </w:tcMar>
          </w:tcPr>
          <w:p>
            <w:r>
              <w:rPr>
                <w:b w:val="false"/>
                <w:bCs w:val="false"/>
                <w:color w:val="000000"/>
              </w:rPr>
              <w:t xml:space="preserve">Nominal categories with no inherent order; one-hot avoids implying a false ranking</w:t>
            </w:r>
          </w:p>
        </w:tc>
      </w:tr>
    </w:tbl>
    <w:p>
      <w:pPr>
        <w:pStyle w:val="Heading1"/>
        <w:spacing w:after="160" w:before="320"/>
      </w:pPr>
      <w:r>
        <w:t xml:space="preserve">6. Feature Scaling</w:t>
      </w:r>
    </w:p>
    <w:p>
      <w:pPr>
        <w:spacing w:after="160"/>
      </w:pPr>
      <w:r>
        <w:t xml:space="preserve">StandardScaler (zero mean, unit variance) was applied to the five numeric columns — tenure, MonthlyCharges, TotalCharges, NumServicesSubscribed, AvgChargePerService — after outlier treatment. StandardScaler was chosen over MinMaxScaler because it is the more robust default for algorithms sensitive to feature scale, such as Logistic Regression, and it was applied after outlier capping (Section 7) so extreme values do not distort the mean/variance used for scaling.</w:t>
      </w:r>
    </w:p>
    <w:p>
      <w:pPr>
        <w:pStyle w:val="Heading1"/>
        <w:spacing w:after="160" w:before="320"/>
      </w:pPr>
      <w:r>
        <w:t xml:space="preserve">7. Outlier Detection &amp; Treatment</w:t>
      </w:r>
    </w:p>
    <w:p>
      <w:pPr>
        <w:spacing w:after="160"/>
      </w:pPr>
      <w:r>
        <w:t xml:space="preserve">Outliers were checked using both the IQR rule (1.5×IQR beyond Q1/Q3) and the Z-score method (|z| &gt; 3) on all numeric columns.</w:t>
      </w:r>
    </w:p>
    <w:p>
      <w:pPr>
        <w:pStyle w:val="ListParagraph"/>
        <w:numPr>
          <w:ilvl w:val="0"/>
          <w:numId w:val="1"/>
        </w:numPr>
        <w:spacing w:after="80"/>
      </w:pPr>
      <w:r>
        <w:t xml:space="preserve">tenure, MonthlyCharges, TotalCharges, NumServicesSubscribed: 0 outliers detected by either method — these are naturally bounded by real business limits (e.g. tenure between 0 and 72 months).</w:t>
      </w:r>
    </w:p>
    <w:p>
      <w:pPr>
        <w:pStyle w:val="ListParagraph"/>
        <w:numPr>
          <w:ilvl w:val="0"/>
          <w:numId w:val="1"/>
        </w:numPr>
        <w:spacing w:after="80"/>
      </w:pPr>
      <w:r>
        <w:t xml:space="preserve">AvgChargePerService: ~3.3% of rows (233 customers) flagged as outliers by both methods — customers paying comparatively much more per service.</w:t>
      </w:r>
    </w:p>
    <w:p>
      <w:pPr>
        <w:spacing w:after="160"/>
      </w:pPr>
      <w:r>
        <w:t xml:space="preserve">Treatment: rather than deleting these 233 rows, they were capped (winsorized) to the IQR bounds. These are legitimate customers, not data-entry errors, so removing them would discard real signal; capping limits their leverage on the model while preserving the observation.</w:t>
      </w:r>
    </w:p>
    <w:p>
      <w:pPr>
        <w:pStyle w:val="Heading1"/>
        <w:spacing w:after="160" w:before="320"/>
      </w:pPr>
      <w:r>
        <w:t xml:space="preserve">8. Feature Selection</w:t>
      </w:r>
    </w:p>
    <w:p>
      <w:pPr>
        <w:spacing w:after="160"/>
      </w:pPr>
      <w:r>
        <w:t xml:space="preserve">Three complementary methods were used to assess which features contribute most to the churn prediction problem:</w:t>
      </w:r>
    </w:p>
    <w:p>
      <w:pPr>
        <w:pStyle w:val="ListParagraph"/>
        <w:numPr>
          <w:ilvl w:val="0"/>
          <w:numId w:val="1"/>
        </w:numPr>
        <w:spacing w:after="80"/>
      </w:pPr>
      <w:r>
        <w:t xml:space="preserve">Correlation with Churn: Contract (-0.40), tenure (-0.35), TenureGroup (-0.35), InternetService_Fiber optic (+0.31), PaymentMethod_Electronic check (+0.30), and the engineered AvgChargePerService (+0.30) are the strongest linear correlates.</w:t>
      </w:r>
    </w:p>
    <w:p>
      <w:pPr>
        <w:pStyle w:val="ListParagraph"/>
        <w:numPr>
          <w:ilvl w:val="0"/>
          <w:numId w:val="1"/>
        </w:numPr>
        <w:spacing w:after="80"/>
      </w:pPr>
      <w:r>
        <w:t xml:space="preserve">Variance Threshold (0.01): no columns fell below the threshold — no features were dropped on this basis.</w:t>
      </w:r>
    </w:p>
    <w:p>
      <w:pPr>
        <w:pStyle w:val="ListParagraph"/>
        <w:numPr>
          <w:ilvl w:val="0"/>
          <w:numId w:val="1"/>
        </w:numPr>
        <w:spacing w:after="80"/>
      </w:pPr>
      <w:r>
        <w:t xml:space="preserve">Random Forest importance: tenure, Contract, TotalCharges, MonthlyCharges and AvgChargePerService rank highest, cross-validating the correlation results and confirming that the engineered features carry genuine predictive signal rather than noise.</w:t>
      </w:r>
    </w:p>
    <w:p>
      <w:pPr>
        <w:spacing w:after="160"/>
      </w:pPr>
      <w:r>
        <w:t xml:space="preserve">No features were removed at this stage; the analysis instead confirms which features are likely to matter most for model development in the following weeks.</w:t>
      </w:r>
    </w:p>
    <w:p>
      <w:pPr>
        <w:jc w:val="center"/>
      </w:pPr>
      <w:r>
        <w:drawing>
          <wp:inline distT="0" distB="0" distL="0" distR="0">
            <wp:extent cx="4191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2990850"/>
                    </a:xfrm>
                    <a:prstGeom prst="rect">
                      <a:avLst/>
                    </a:prstGeom>
                  </pic:spPr>
                </pic:pic>
              </a:graphicData>
            </a:graphic>
          </wp:inline>
        </w:drawing>
      </w:r>
    </w:p>
    <w:p>
      <w:pPr>
        <w:spacing w:after="300"/>
        <w:jc w:val="center"/>
      </w:pPr>
      <w:r>
        <w:rPr>
          <w:i/>
          <w:iCs/>
          <w:color w:val="555555"/>
          <w:sz w:val="18"/>
          <w:szCs w:val="18"/>
        </w:rPr>
        <w:t xml:space="preserve">Figure 1. Churn rate is far higher for month-to-month contracts than for one- or two-year contracts, consistent with Contract being the top-ranked predictor.</w:t>
      </w:r>
    </w:p>
    <w:p>
      <w:pPr>
        <w:jc w:val="center"/>
      </w:pPr>
      <w:r>
        <w:drawing>
          <wp:inline distT="0" distB="0" distL="0" distR="0">
            <wp:extent cx="43815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3648075"/>
                    </a:xfrm>
                    <a:prstGeom prst="rect">
                      <a:avLst/>
                    </a:prstGeom>
                  </pic:spPr>
                </pic:pic>
              </a:graphicData>
            </a:graphic>
          </wp:inline>
        </w:drawing>
      </w:r>
    </w:p>
    <w:p>
      <w:pPr>
        <w:spacing w:after="300"/>
        <w:jc w:val="center"/>
      </w:pPr>
      <w:r>
        <w:rPr>
          <w:i/>
          <w:iCs/>
          <w:color w:val="555555"/>
          <w:sz w:val="18"/>
          <w:szCs w:val="18"/>
        </w:rPr>
        <w:t xml:space="preserve">Figure 2. Correlation heatmap of the fully encoded feature set used for feature selection.</w:t>
      </w:r>
    </w:p>
    <w:p>
      <w:pPr>
        <w:pStyle w:val="Heading1"/>
        <w:spacing w:after="160" w:before="320"/>
      </w:pPr>
      <w:r>
        <w:t xml:space="preserve">9. Final Dataset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c>
          <w:tcPr>
            <w:tcW w:type="dxa" w:w="4200"/>
            <w:shd w:fill="1F3864" w:val="clear"/>
            <w:tcMar>
              <w:top w:type="dxa" w:w="100"/>
              <w:left w:type="dxa" w:w="120"/>
              <w:bottom w:type="dxa" w:w="100"/>
              <w:right w:type="dxa" w:w="120"/>
            </w:tcMar>
          </w:tcPr>
          <w:p>
            <w:r>
              <w:rPr>
                <w:b/>
                <w:bCs/>
                <w:color w:val="FFFFFF"/>
              </w:rPr>
              <w:t xml:space="preserve">Property</w:t>
            </w:r>
          </w:p>
        </w:tc>
        <w:tc>
          <w:tcPr>
            <w:tcW w:type="dxa" w:w="5150"/>
            <w:shd w:fill="1F3864" w:val="clear"/>
            <w:tcMar>
              <w:top w:type="dxa" w:w="100"/>
              <w:left w:type="dxa" w:w="120"/>
              <w:bottom w:type="dxa" w:w="100"/>
              <w:right w:type="dxa" w:w="120"/>
            </w:tcMar>
          </w:tcPr>
          <w:p>
            <w:r>
              <w:rPr>
                <w:b/>
                <w:bCs/>
                <w:color w:val="FFFFFF"/>
              </w:rPr>
              <w:t xml:space="preserve">Value</w:t>
            </w:r>
          </w:p>
        </w:tc>
      </w:tr>
      <w:tr>
        <w:tc>
          <w:tcPr>
            <w:tcW w:type="dxa" w:w="4200"/>
            <w:tcMar>
              <w:top w:type="dxa" w:w="100"/>
              <w:left w:type="dxa" w:w="120"/>
              <w:bottom w:type="dxa" w:w="100"/>
              <w:right w:type="dxa" w:w="120"/>
            </w:tcMar>
          </w:tcPr>
          <w:p>
            <w:r>
              <w:rPr>
                <w:b w:val="false"/>
                <w:bCs w:val="false"/>
                <w:color w:val="000000"/>
              </w:rPr>
              <w:t xml:space="preserve">Rows</w:t>
            </w:r>
          </w:p>
        </w:tc>
        <w:tc>
          <w:tcPr>
            <w:tcW w:type="dxa" w:w="5150"/>
            <w:tcMar>
              <w:top w:type="dxa" w:w="100"/>
              <w:left w:type="dxa" w:w="120"/>
              <w:bottom w:type="dxa" w:w="100"/>
              <w:right w:type="dxa" w:w="120"/>
            </w:tcMar>
          </w:tcPr>
          <w:p>
            <w:r>
              <w:rPr>
                <w:b w:val="false"/>
                <w:bCs w:val="false"/>
                <w:color w:val="000000"/>
              </w:rPr>
              <w:t xml:space="preserve">7,043</w:t>
            </w:r>
          </w:p>
        </w:tc>
      </w:tr>
      <w:tr>
        <w:tc>
          <w:tcPr>
            <w:tcW w:type="dxa" w:w="4200"/>
            <w:tcMar>
              <w:top w:type="dxa" w:w="100"/>
              <w:left w:type="dxa" w:w="120"/>
              <w:bottom w:type="dxa" w:w="100"/>
              <w:right w:type="dxa" w:w="120"/>
            </w:tcMar>
          </w:tcPr>
          <w:p>
            <w:r>
              <w:rPr>
                <w:b w:val="false"/>
                <w:bCs w:val="false"/>
                <w:color w:val="000000"/>
              </w:rPr>
              <w:t xml:space="preserve">Columns (final, encoded)</w:t>
            </w:r>
          </w:p>
        </w:tc>
        <w:tc>
          <w:tcPr>
            <w:tcW w:type="dxa" w:w="5150"/>
            <w:tcMar>
              <w:top w:type="dxa" w:w="100"/>
              <w:left w:type="dxa" w:w="120"/>
              <w:bottom w:type="dxa" w:w="100"/>
              <w:right w:type="dxa" w:w="120"/>
            </w:tcMar>
          </w:tcPr>
          <w:p>
            <w:r>
              <w:rPr>
                <w:b w:val="false"/>
                <w:bCs w:val="false"/>
                <w:color w:val="000000"/>
              </w:rPr>
              <w:t xml:space="preserve">26 (25 features + target)</w:t>
            </w:r>
          </w:p>
        </w:tc>
      </w:tr>
      <w:tr>
        <w:tc>
          <w:tcPr>
            <w:tcW w:type="dxa" w:w="4200"/>
            <w:tcMar>
              <w:top w:type="dxa" w:w="100"/>
              <w:left w:type="dxa" w:w="120"/>
              <w:bottom w:type="dxa" w:w="100"/>
              <w:right w:type="dxa" w:w="120"/>
            </w:tcMar>
          </w:tcPr>
          <w:p>
            <w:r>
              <w:rPr>
                <w:b w:val="false"/>
                <w:bCs w:val="false"/>
                <w:color w:val="000000"/>
              </w:rPr>
              <w:t xml:space="preserve">Missing values</w:t>
            </w:r>
          </w:p>
        </w:tc>
        <w:tc>
          <w:tcPr>
            <w:tcW w:type="dxa" w:w="5150"/>
            <w:tcMar>
              <w:top w:type="dxa" w:w="100"/>
              <w:left w:type="dxa" w:w="120"/>
              <w:bottom w:type="dxa" w:w="100"/>
              <w:right w:type="dxa" w:w="120"/>
            </w:tcMar>
          </w:tcPr>
          <w:p>
            <w:r>
              <w:rPr>
                <w:b w:val="false"/>
                <w:bCs w:val="false"/>
                <w:color w:val="000000"/>
              </w:rPr>
              <w:t xml:space="preserve">0</w:t>
            </w:r>
          </w:p>
        </w:tc>
      </w:tr>
      <w:tr>
        <w:tc>
          <w:tcPr>
            <w:tcW w:type="dxa" w:w="4200"/>
            <w:tcMar>
              <w:top w:type="dxa" w:w="100"/>
              <w:left w:type="dxa" w:w="120"/>
              <w:bottom w:type="dxa" w:w="100"/>
              <w:right w:type="dxa" w:w="120"/>
            </w:tcMar>
          </w:tcPr>
          <w:p>
            <w:r>
              <w:rPr>
                <w:b w:val="false"/>
                <w:bCs w:val="false"/>
                <w:color w:val="000000"/>
              </w:rPr>
              <w:t xml:space="preserve">Non-numeric columns remaining</w:t>
            </w:r>
          </w:p>
        </w:tc>
        <w:tc>
          <w:tcPr>
            <w:tcW w:type="dxa" w:w="5150"/>
            <w:tcMar>
              <w:top w:type="dxa" w:w="100"/>
              <w:left w:type="dxa" w:w="120"/>
              <w:bottom w:type="dxa" w:w="100"/>
              <w:right w:type="dxa" w:w="120"/>
            </w:tcMar>
          </w:tcPr>
          <w:p>
            <w:r>
              <w:rPr>
                <w:b w:val="false"/>
                <w:bCs w:val="false"/>
                <w:color w:val="000000"/>
              </w:rPr>
              <w:t xml:space="preserve">0</w:t>
            </w:r>
          </w:p>
        </w:tc>
      </w:tr>
      <w:tr>
        <w:tc>
          <w:tcPr>
            <w:tcW w:type="dxa" w:w="4200"/>
            <w:tcMar>
              <w:top w:type="dxa" w:w="100"/>
              <w:left w:type="dxa" w:w="120"/>
              <w:bottom w:type="dxa" w:w="100"/>
              <w:right w:type="dxa" w:w="120"/>
            </w:tcMar>
          </w:tcPr>
          <w:p>
            <w:r>
              <w:rPr>
                <w:b w:val="false"/>
                <w:bCs w:val="false"/>
                <w:color w:val="000000"/>
              </w:rPr>
              <w:t xml:space="preserve">Duplicate rows</w:t>
            </w:r>
          </w:p>
        </w:tc>
        <w:tc>
          <w:tcPr>
            <w:tcW w:type="dxa" w:w="5150"/>
            <w:tcMar>
              <w:top w:type="dxa" w:w="100"/>
              <w:left w:type="dxa" w:w="120"/>
              <w:bottom w:type="dxa" w:w="100"/>
              <w:right w:type="dxa" w:w="120"/>
            </w:tcMar>
          </w:tcPr>
          <w:p>
            <w:r>
              <w:rPr>
                <w:b w:val="false"/>
                <w:bCs w:val="false"/>
                <w:color w:val="000000"/>
              </w:rPr>
              <w:t xml:space="preserve">0</w:t>
            </w:r>
          </w:p>
        </w:tc>
      </w:tr>
      <w:tr>
        <w:tc>
          <w:tcPr>
            <w:tcW w:type="dxa" w:w="4200"/>
            <w:tcMar>
              <w:top w:type="dxa" w:w="100"/>
              <w:left w:type="dxa" w:w="120"/>
              <w:bottom w:type="dxa" w:w="100"/>
              <w:right w:type="dxa" w:w="120"/>
            </w:tcMar>
          </w:tcPr>
          <w:p>
            <w:r>
              <w:rPr>
                <w:b w:val="false"/>
                <w:bCs w:val="false"/>
                <w:color w:val="000000"/>
              </w:rPr>
              <w:t xml:space="preserve">Output file</w:t>
            </w:r>
          </w:p>
        </w:tc>
        <w:tc>
          <w:tcPr>
            <w:tcW w:type="dxa" w:w="5150"/>
            <w:tcMar>
              <w:top w:type="dxa" w:w="100"/>
              <w:left w:type="dxa" w:w="120"/>
              <w:bottom w:type="dxa" w:w="100"/>
              <w:right w:type="dxa" w:w="120"/>
            </w:tcMar>
          </w:tcPr>
          <w:p>
            <w:r>
              <w:rPr>
                <w:b w:val="false"/>
                <w:bCs w:val="false"/>
                <w:color w:val="000000"/>
              </w:rPr>
              <w:t xml:space="preserve">telco_ml_ready.csv</w:t>
            </w:r>
          </w:p>
        </w:tc>
      </w:tr>
    </w:tbl>
    <w:p>
      <w:pPr>
        <w:pStyle w:val="Heading1"/>
        <w:spacing w:after="160" w:before="320"/>
      </w:pPr>
      <w:r>
        <w:t xml:space="preserve">10. Key Observations</w:t>
      </w:r>
    </w:p>
    <w:p>
      <w:pPr>
        <w:pStyle w:val="ListParagraph"/>
        <w:numPr>
          <w:ilvl w:val="0"/>
          <w:numId w:val="1"/>
        </w:numPr>
        <w:spacing w:after="80"/>
      </w:pPr>
      <w:r>
        <w:t xml:space="preserve">The most consequential data quality issue was silent: TotalCharges looked complete under a standard missing-value check purely because its missingness was encoded as blank text rather than NaN. This is a reminder to inspect dtypes before trusting isna().</w:t>
      </w:r>
    </w:p>
    <w:p>
      <w:pPr>
        <w:pStyle w:val="ListParagraph"/>
        <w:numPr>
          <w:ilvl w:val="0"/>
          <w:numId w:val="1"/>
        </w:numPr>
        <w:spacing w:after="80"/>
      </w:pPr>
      <w:r>
        <w:t xml:space="preserve">Tenure-related signal is very strong — both the raw tenure column and the engineered TenureGroup rank near the top of every feature-importance method, and churn rate drops from 47.4% to 9.5% across tenure groups.</w:t>
      </w:r>
    </w:p>
    <w:p>
      <w:pPr>
        <w:pStyle w:val="ListParagraph"/>
        <w:numPr>
          <w:ilvl w:val="0"/>
          <w:numId w:val="1"/>
        </w:numPr>
        <w:spacing w:after="80"/>
      </w:pPr>
      <w:r>
        <w:t xml:space="preserve">The engineered AvgChargePerService feature validated itself: it both required outlier treatment and ranked in the top 5 features by both correlation and Random Forest importance, suggesting it captures a distinct, useful signal beyond the raw billing columns.</w:t>
      </w:r>
    </w:p>
    <w:p>
      <w:pPr>
        <w:pStyle w:val="ListParagraph"/>
        <w:numPr>
          <w:ilvl w:val="0"/>
          <w:numId w:val="1"/>
        </w:numPr>
        <w:spacing w:after="80"/>
      </w:pPr>
      <w:r>
        <w:t xml:space="preserve">The dataset is now fully numeric, free of missing values, and encoded/scaled consistently — ready for model training in the next phase of the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0b763d55ca537a8dc79980e919e928047a81900.png"/><Relationship Id="rId8" Type="http://schemas.openxmlformats.org/officeDocument/2006/relationships/image" Target="media/c5db6472197074dc9c32fd90320b1bf7cea2f50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2026-08-14T01:37:57.179Z</dcterms:created>
  <dcterms:modified xsi:type="dcterms:W3CDTF">2026-08-14T01:37:57.180Z</dcterms:modified>
</cp:coreProperties>
</file>

<file path=docProps/custom.xml><?xml version="1.0" encoding="utf-8"?>
<Properties xmlns="http://schemas.openxmlformats.org/officeDocument/2006/custom-properties" xmlns:vt="http://schemas.openxmlformats.org/officeDocument/2006/docPropsVTypes"/>
</file>