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E75B6"/>
          <w:sz w:val="20"/>
          <w:szCs w:val="20"/>
        </w:rPr>
        <w:t xml:space="preserve">ANALYSTLAB AFRICA</w:t>
      </w:r>
    </w:p>
    <w:p>
      <w:pPr>
        <w:spacing w:after="400"/>
      </w:pPr>
      <w:r>
        <w:rPr>
          <w:sz w:val="20"/>
          <w:szCs w:val="20"/>
        </w:rPr>
        <w:t xml:space="preserve">Machine Learning Internship Programme — Week 3</w:t>
      </w:r>
    </w:p>
    <w:p>
      <w:pPr>
        <w:spacing w:after="120"/>
      </w:pPr>
      <w:r>
        <w:rPr>
          <w:b/>
          <w:bCs/>
          <w:color w:val="1F3864"/>
          <w:sz w:val="44"/>
          <w:szCs w:val="44"/>
        </w:rPr>
        <w:t xml:space="preserve">Business Report</w:t>
      </w:r>
    </w:p>
    <w:p>
      <w:pPr>
        <w:spacing w:after="400"/>
      </w:pPr>
      <w:r>
        <w:rPr>
          <w:i/>
          <w:iCs/>
          <w:color w:val="2E75B6"/>
          <w:sz w:val="24"/>
          <w:szCs w:val="24"/>
        </w:rPr>
        <w:t xml:space="preserve">Machine Learning Model Development &amp; Performance Evaluation — Customer Churn Prediction</w:t>
      </w:r>
    </w:p>
    <w:p>
      <w:pPr>
        <w:pStyle w:val="Heading1"/>
        <w:spacing w:after="160" w:before="320"/>
      </w:pPr>
      <w:r>
        <w:t xml:space="preserve">1. Modelling Approach</w:t>
      </w:r>
    </w:p>
    <w:p>
      <w:pPr>
        <w:spacing w:after="160"/>
      </w:pPr>
      <w:r>
        <w:t xml:space="preserve">Building on the Week 1 problem framing and the Week 2 preprocessing pipeline, this phase develops and compares supervised classification models to predict customer churn for ABC Communications Ltd. The processed dataset (7,043 customers, 25 features, fully numeric, no missing values) was split 80/20 into training and testing sets, stratified on Churn to preserve the 73.5%/26.5% class ratio in both sets. Because the classes are imbalanced, SMOTE (Synthetic Minority Over-sampling) was applied to the training set only, after the split, so the model sees a balanced 50/50 training signal while the test set retains the real-world distribution for a realistic performance read.</w:t>
      </w:r>
    </w:p>
    <w:p>
      <w:pPr>
        <w:pStyle w:val="Heading1"/>
        <w:spacing w:after="160" w:before="320"/>
      </w:pPr>
      <w:r>
        <w:t xml:space="preserve">2. Algorithms Selected</w:t>
      </w:r>
    </w:p>
    <w:p>
      <w:pPr>
        <w:spacing w:after="160"/>
      </w:pPr>
      <w:r>
        <w:t xml:space="preserve">Five classification algorithms were trained and compared, spanning a range from simple/interpretable to complex/high-capacity:</w:t>
      </w:r>
    </w:p>
    <w:p>
      <w:pPr>
        <w:pStyle w:val="ListParagraph"/>
        <w:numPr>
          <w:ilvl w:val="0"/>
          <w:numId w:val="1"/>
        </w:numPr>
        <w:spacing w:after="80"/>
      </w:pPr>
      <w:r>
        <w:t xml:space="preserve">Logistic Regression — fast, highly interpretable baseline</w:t>
      </w:r>
    </w:p>
    <w:p>
      <w:pPr>
        <w:pStyle w:val="ListParagraph"/>
        <w:numPr>
          <w:ilvl w:val="0"/>
          <w:numId w:val="1"/>
        </w:numPr>
        <w:spacing w:after="80"/>
      </w:pPr>
      <w:r>
        <w:t xml:space="preserve">Decision Tree — simple, rule-based, interpretable</w:t>
      </w:r>
    </w:p>
    <w:p>
      <w:pPr>
        <w:pStyle w:val="ListParagraph"/>
        <w:numPr>
          <w:ilvl w:val="0"/>
          <w:numId w:val="1"/>
        </w:numPr>
        <w:spacing w:after="80"/>
      </w:pPr>
      <w:r>
        <w:t xml:space="preserve">Random Forest — ensemble of trees, robust to overfitting</w:t>
      </w:r>
    </w:p>
    <w:p>
      <w:pPr>
        <w:pStyle w:val="ListParagraph"/>
        <w:numPr>
          <w:ilvl w:val="0"/>
          <w:numId w:val="1"/>
        </w:numPr>
        <w:spacing w:after="80"/>
      </w:pPr>
      <w:r>
        <w:t xml:space="preserve">Gradient Boosting — sequential ensemble, strong on tabular data</w:t>
      </w:r>
    </w:p>
    <w:p>
      <w:pPr>
        <w:pStyle w:val="ListParagraph"/>
        <w:numPr>
          <w:ilvl w:val="0"/>
          <w:numId w:val="1"/>
        </w:numPr>
        <w:spacing w:after="80"/>
      </w:pPr>
      <w:r>
        <w:t xml:space="preserve">XGBoost — optimized gradient boosting, fast and powerful</w:t>
      </w:r>
    </w:p>
    <w:p>
      <w:pPr>
        <w:pStyle w:val="Heading1"/>
        <w:spacing w:after="160" w:before="320"/>
      </w:pPr>
      <w:r>
        <w:t xml:space="preserve">3. Evaluation Results</w:t>
      </w:r>
    </w:p>
    <w:p>
      <w:pPr>
        <w:spacing w:after="160"/>
      </w:pPr>
      <w:r>
        <w:t xml:space="preserve">All five models were evaluated on the untouched test set (1,409 customers) using five standard classification metrics. Because of the class imbalance, ROC-AUC and Recall are weighted more heavily than raw Accuracy in the final recommendation — a model that simply predicts “No churn” for everyone would already score ~73.5% accuracy while being business-useless.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350"/>
        <w:gridCol w:w="1350"/>
        <w:gridCol w:w="1250"/>
        <w:gridCol w:w="1000"/>
        <w:gridCol w:w="1300"/>
      </w:tblGrid>
      <w:tr>
        <w:tc>
          <w:tcPr>
            <w:tcW w:type="dxa" w:w="2600"/>
            <w:shd w:fill="1F3864" w:val="clear"/>
            <w:tcMar>
              <w:top w:type="dxa" w:w="100"/>
              <w:left w:type="dxa" w:w="120"/>
              <w:bottom w:type="dxa" w:w="100"/>
              <w:right w:type="dxa" w:w="120"/>
            </w:tcMar>
          </w:tcPr>
          <w:p>
            <w:r>
              <w:rPr>
                <w:b/>
                <w:bCs/>
                <w:color w:val="FFFFFF"/>
              </w:rPr>
              <w:t xml:space="preserve">Model</w:t>
            </w:r>
          </w:p>
        </w:tc>
        <w:tc>
          <w:tcPr>
            <w:tcW w:type="dxa" w:w="1350"/>
            <w:shd w:fill="1F3864" w:val="clear"/>
            <w:tcMar>
              <w:top w:type="dxa" w:w="100"/>
              <w:left w:type="dxa" w:w="120"/>
              <w:bottom w:type="dxa" w:w="100"/>
              <w:right w:type="dxa" w:w="120"/>
            </w:tcMar>
          </w:tcPr>
          <w:p>
            <w:r>
              <w:rPr>
                <w:b/>
                <w:bCs/>
                <w:color w:val="FFFFFF"/>
              </w:rPr>
              <w:t xml:space="preserve">Accuracy</w:t>
            </w:r>
          </w:p>
        </w:tc>
        <w:tc>
          <w:tcPr>
            <w:tcW w:type="dxa" w:w="1350"/>
            <w:shd w:fill="1F3864" w:val="clear"/>
            <w:tcMar>
              <w:top w:type="dxa" w:w="100"/>
              <w:left w:type="dxa" w:w="120"/>
              <w:bottom w:type="dxa" w:w="100"/>
              <w:right w:type="dxa" w:w="120"/>
            </w:tcMar>
          </w:tcPr>
          <w:p>
            <w:r>
              <w:rPr>
                <w:b/>
                <w:bCs/>
                <w:color w:val="FFFFFF"/>
              </w:rPr>
              <w:t xml:space="preserve">Precision</w:t>
            </w:r>
          </w:p>
        </w:tc>
        <w:tc>
          <w:tcPr>
            <w:tcW w:type="dxa" w:w="1250"/>
            <w:shd w:fill="1F3864" w:val="clear"/>
            <w:tcMar>
              <w:top w:type="dxa" w:w="100"/>
              <w:left w:type="dxa" w:w="120"/>
              <w:bottom w:type="dxa" w:w="100"/>
              <w:right w:type="dxa" w:w="120"/>
            </w:tcMar>
          </w:tcPr>
          <w:p>
            <w:r>
              <w:rPr>
                <w:b/>
                <w:bCs/>
                <w:color w:val="FFFFFF"/>
              </w:rPr>
              <w:t xml:space="preserve">Recall</w:t>
            </w:r>
          </w:p>
        </w:tc>
        <w:tc>
          <w:tcPr>
            <w:tcW w:type="dxa" w:w="1000"/>
            <w:shd w:fill="1F3864" w:val="clear"/>
            <w:tcMar>
              <w:top w:type="dxa" w:w="100"/>
              <w:left w:type="dxa" w:w="120"/>
              <w:bottom w:type="dxa" w:w="100"/>
              <w:right w:type="dxa" w:w="120"/>
            </w:tcMar>
          </w:tcPr>
          <w:p>
            <w:r>
              <w:rPr>
                <w:b/>
                <w:bCs/>
                <w:color w:val="FFFFFF"/>
              </w:rPr>
              <w:t xml:space="preserve">F1</w:t>
            </w:r>
          </w:p>
        </w:tc>
        <w:tc>
          <w:tcPr>
            <w:tcW w:type="dxa" w:w="1300"/>
            <w:shd w:fill="1F3864" w:val="clear"/>
            <w:tcMar>
              <w:top w:type="dxa" w:w="100"/>
              <w:left w:type="dxa" w:w="120"/>
              <w:bottom w:type="dxa" w:w="100"/>
              <w:right w:type="dxa" w:w="120"/>
            </w:tcMar>
          </w:tcPr>
          <w:p>
            <w:r>
              <w:rPr>
                <w:b/>
                <w:bCs/>
                <w:color w:val="FFFFFF"/>
              </w:rPr>
              <w:t xml:space="preserve">ROC-AUC</w:t>
            </w:r>
          </w:p>
        </w:tc>
      </w:tr>
      <w:tr>
        <w:tc>
          <w:tcPr>
            <w:tcW w:type="dxa" w:w="2600"/>
            <w:tcMar>
              <w:top w:type="dxa" w:w="100"/>
              <w:left w:type="dxa" w:w="120"/>
              <w:bottom w:type="dxa" w:w="100"/>
              <w:right w:type="dxa" w:w="120"/>
            </w:tcMar>
          </w:tcPr>
          <w:p>
            <w:r>
              <w:rPr>
                <w:b w:val="false"/>
                <w:bCs w:val="false"/>
                <w:color w:val="000000"/>
              </w:rPr>
              <w:t xml:space="preserve">Random Forest</w:t>
            </w:r>
          </w:p>
        </w:tc>
        <w:tc>
          <w:tcPr>
            <w:tcW w:type="dxa" w:w="1350"/>
            <w:tcMar>
              <w:top w:type="dxa" w:w="100"/>
              <w:left w:type="dxa" w:w="120"/>
              <w:bottom w:type="dxa" w:w="100"/>
              <w:right w:type="dxa" w:w="120"/>
            </w:tcMar>
          </w:tcPr>
          <w:p>
            <w:r>
              <w:rPr>
                <w:b w:val="false"/>
                <w:bCs w:val="false"/>
                <w:color w:val="000000"/>
              </w:rPr>
              <w:t xml:space="preserve">0.761</w:t>
            </w:r>
          </w:p>
        </w:tc>
        <w:tc>
          <w:tcPr>
            <w:tcW w:type="dxa" w:w="1350"/>
            <w:tcMar>
              <w:top w:type="dxa" w:w="100"/>
              <w:left w:type="dxa" w:w="120"/>
              <w:bottom w:type="dxa" w:w="100"/>
              <w:right w:type="dxa" w:w="120"/>
            </w:tcMar>
          </w:tcPr>
          <w:p>
            <w:r>
              <w:rPr>
                <w:b w:val="false"/>
                <w:bCs w:val="false"/>
                <w:color w:val="000000"/>
              </w:rPr>
              <w:t xml:space="preserve">0.536</w:t>
            </w:r>
          </w:p>
        </w:tc>
        <w:tc>
          <w:tcPr>
            <w:tcW w:type="dxa" w:w="1250"/>
            <w:tcMar>
              <w:top w:type="dxa" w:w="100"/>
              <w:left w:type="dxa" w:w="120"/>
              <w:bottom w:type="dxa" w:w="100"/>
              <w:right w:type="dxa" w:w="120"/>
            </w:tcMar>
          </w:tcPr>
          <w:p>
            <w:r>
              <w:rPr>
                <w:b w:val="false"/>
                <w:bCs w:val="false"/>
                <w:color w:val="000000"/>
              </w:rPr>
              <w:t xml:space="preserve">0.743</w:t>
            </w:r>
          </w:p>
        </w:tc>
        <w:tc>
          <w:tcPr>
            <w:tcW w:type="dxa" w:w="1000"/>
            <w:tcMar>
              <w:top w:type="dxa" w:w="100"/>
              <w:left w:type="dxa" w:w="120"/>
              <w:bottom w:type="dxa" w:w="100"/>
              <w:right w:type="dxa" w:w="120"/>
            </w:tcMar>
          </w:tcPr>
          <w:p>
            <w:r>
              <w:rPr>
                <w:b w:val="false"/>
                <w:bCs w:val="false"/>
                <w:color w:val="000000"/>
              </w:rPr>
              <w:t xml:space="preserve">0.623</w:t>
            </w:r>
          </w:p>
        </w:tc>
        <w:tc>
          <w:tcPr>
            <w:tcW w:type="dxa" w:w="1300"/>
            <w:tcMar>
              <w:top w:type="dxa" w:w="100"/>
              <w:left w:type="dxa" w:w="120"/>
              <w:bottom w:type="dxa" w:w="100"/>
              <w:right w:type="dxa" w:w="120"/>
            </w:tcMar>
          </w:tcPr>
          <w:p>
            <w:r>
              <w:rPr>
                <w:b w:val="false"/>
                <w:bCs w:val="false"/>
                <w:color w:val="000000"/>
              </w:rPr>
              <w:t xml:space="preserve">0.836</w:t>
            </w:r>
          </w:p>
        </w:tc>
      </w:tr>
      <w:tr>
        <w:tc>
          <w:tcPr>
            <w:tcW w:type="dxa" w:w="2600"/>
            <w:tcMar>
              <w:top w:type="dxa" w:w="100"/>
              <w:left w:type="dxa" w:w="120"/>
              <w:bottom w:type="dxa" w:w="100"/>
              <w:right w:type="dxa" w:w="120"/>
            </w:tcMar>
          </w:tcPr>
          <w:p>
            <w:r>
              <w:rPr>
                <w:b w:val="false"/>
                <w:bCs w:val="false"/>
                <w:color w:val="000000"/>
              </w:rPr>
              <w:t xml:space="preserve">Logistic Regression</w:t>
            </w:r>
          </w:p>
        </w:tc>
        <w:tc>
          <w:tcPr>
            <w:tcW w:type="dxa" w:w="1350"/>
            <w:tcMar>
              <w:top w:type="dxa" w:w="100"/>
              <w:left w:type="dxa" w:w="120"/>
              <w:bottom w:type="dxa" w:w="100"/>
              <w:right w:type="dxa" w:w="120"/>
            </w:tcMar>
          </w:tcPr>
          <w:p>
            <w:r>
              <w:rPr>
                <w:b w:val="false"/>
                <w:bCs w:val="false"/>
                <w:color w:val="000000"/>
              </w:rPr>
              <w:t xml:space="preserve">0.764</w:t>
            </w:r>
          </w:p>
        </w:tc>
        <w:tc>
          <w:tcPr>
            <w:tcW w:type="dxa" w:w="1350"/>
            <w:tcMar>
              <w:top w:type="dxa" w:w="100"/>
              <w:left w:type="dxa" w:w="120"/>
              <w:bottom w:type="dxa" w:w="100"/>
              <w:right w:type="dxa" w:w="120"/>
            </w:tcMar>
          </w:tcPr>
          <w:p>
            <w:r>
              <w:rPr>
                <w:b w:val="false"/>
                <w:bCs w:val="false"/>
                <w:color w:val="000000"/>
              </w:rPr>
              <w:t xml:space="preserve">0.543</w:t>
            </w:r>
          </w:p>
        </w:tc>
        <w:tc>
          <w:tcPr>
            <w:tcW w:type="dxa" w:w="1250"/>
            <w:tcMar>
              <w:top w:type="dxa" w:w="100"/>
              <w:left w:type="dxa" w:w="120"/>
              <w:bottom w:type="dxa" w:w="100"/>
              <w:right w:type="dxa" w:w="120"/>
            </w:tcMar>
          </w:tcPr>
          <w:p>
            <w:r>
              <w:rPr>
                <w:b w:val="false"/>
                <w:bCs w:val="false"/>
                <w:color w:val="000000"/>
              </w:rPr>
              <w:t xml:space="preserve">0.711</w:t>
            </w:r>
          </w:p>
        </w:tc>
        <w:tc>
          <w:tcPr>
            <w:tcW w:type="dxa" w:w="1000"/>
            <w:tcMar>
              <w:top w:type="dxa" w:w="100"/>
              <w:left w:type="dxa" w:w="120"/>
              <w:bottom w:type="dxa" w:w="100"/>
              <w:right w:type="dxa" w:w="120"/>
            </w:tcMar>
          </w:tcPr>
          <w:p>
            <w:r>
              <w:rPr>
                <w:b w:val="false"/>
                <w:bCs w:val="false"/>
                <w:color w:val="000000"/>
              </w:rPr>
              <w:t xml:space="preserve">0.616</w:t>
            </w:r>
          </w:p>
        </w:tc>
        <w:tc>
          <w:tcPr>
            <w:tcW w:type="dxa" w:w="1300"/>
            <w:tcMar>
              <w:top w:type="dxa" w:w="100"/>
              <w:left w:type="dxa" w:w="120"/>
              <w:bottom w:type="dxa" w:w="100"/>
              <w:right w:type="dxa" w:w="120"/>
            </w:tcMar>
          </w:tcPr>
          <w:p>
            <w:r>
              <w:rPr>
                <w:b w:val="false"/>
                <w:bCs w:val="false"/>
                <w:color w:val="000000"/>
              </w:rPr>
              <w:t xml:space="preserve">0.832</w:t>
            </w:r>
          </w:p>
        </w:tc>
      </w:tr>
      <w:tr>
        <w:tc>
          <w:tcPr>
            <w:tcW w:type="dxa" w:w="2600"/>
            <w:tcMar>
              <w:top w:type="dxa" w:w="100"/>
              <w:left w:type="dxa" w:w="120"/>
              <w:bottom w:type="dxa" w:w="100"/>
              <w:right w:type="dxa" w:w="120"/>
            </w:tcMar>
          </w:tcPr>
          <w:p>
            <w:r>
              <w:rPr>
                <w:b w:val="false"/>
                <w:bCs w:val="false"/>
                <w:color w:val="000000"/>
              </w:rPr>
              <w:t xml:space="preserve">Gradient Boosting</w:t>
            </w:r>
          </w:p>
        </w:tc>
        <w:tc>
          <w:tcPr>
            <w:tcW w:type="dxa" w:w="1350"/>
            <w:tcMar>
              <w:top w:type="dxa" w:w="100"/>
              <w:left w:type="dxa" w:w="120"/>
              <w:bottom w:type="dxa" w:w="100"/>
              <w:right w:type="dxa" w:w="120"/>
            </w:tcMar>
          </w:tcPr>
          <w:p>
            <w:r>
              <w:rPr>
                <w:b w:val="false"/>
                <w:bCs w:val="false"/>
                <w:color w:val="000000"/>
              </w:rPr>
              <w:t xml:space="preserve">0.770</w:t>
            </w:r>
          </w:p>
        </w:tc>
        <w:tc>
          <w:tcPr>
            <w:tcW w:type="dxa" w:w="1350"/>
            <w:tcMar>
              <w:top w:type="dxa" w:w="100"/>
              <w:left w:type="dxa" w:w="120"/>
              <w:bottom w:type="dxa" w:w="100"/>
              <w:right w:type="dxa" w:w="120"/>
            </w:tcMar>
          </w:tcPr>
          <w:p>
            <w:r>
              <w:rPr>
                <w:b w:val="false"/>
                <w:bCs w:val="false"/>
                <w:color w:val="000000"/>
              </w:rPr>
              <w:t xml:space="preserve">0.551</w:t>
            </w:r>
          </w:p>
        </w:tc>
        <w:tc>
          <w:tcPr>
            <w:tcW w:type="dxa" w:w="1250"/>
            <w:tcMar>
              <w:top w:type="dxa" w:w="100"/>
              <w:left w:type="dxa" w:w="120"/>
              <w:bottom w:type="dxa" w:w="100"/>
              <w:right w:type="dxa" w:w="120"/>
            </w:tcMar>
          </w:tcPr>
          <w:p>
            <w:r>
              <w:rPr>
                <w:b w:val="false"/>
                <w:bCs w:val="false"/>
                <w:color w:val="000000"/>
              </w:rPr>
              <w:t xml:space="preserve">0.717</w:t>
            </w:r>
          </w:p>
        </w:tc>
        <w:tc>
          <w:tcPr>
            <w:tcW w:type="dxa" w:w="1000"/>
            <w:tcMar>
              <w:top w:type="dxa" w:w="100"/>
              <w:left w:type="dxa" w:w="120"/>
              <w:bottom w:type="dxa" w:w="100"/>
              <w:right w:type="dxa" w:w="120"/>
            </w:tcMar>
          </w:tcPr>
          <w:p>
            <w:r>
              <w:rPr>
                <w:b w:val="false"/>
                <w:bCs w:val="false"/>
                <w:color w:val="000000"/>
              </w:rPr>
              <w:t xml:space="preserve">0.623</w:t>
            </w:r>
          </w:p>
        </w:tc>
        <w:tc>
          <w:tcPr>
            <w:tcW w:type="dxa" w:w="1300"/>
            <w:tcMar>
              <w:top w:type="dxa" w:w="100"/>
              <w:left w:type="dxa" w:w="120"/>
              <w:bottom w:type="dxa" w:w="100"/>
              <w:right w:type="dxa" w:w="120"/>
            </w:tcMar>
          </w:tcPr>
          <w:p>
            <w:r>
              <w:rPr>
                <w:b w:val="false"/>
                <w:bCs w:val="false"/>
                <w:color w:val="000000"/>
              </w:rPr>
              <w:t xml:space="preserve">0.830</w:t>
            </w:r>
          </w:p>
        </w:tc>
      </w:tr>
      <w:tr>
        <w:tc>
          <w:tcPr>
            <w:tcW w:type="dxa" w:w="2600"/>
            <w:tcMar>
              <w:top w:type="dxa" w:w="100"/>
              <w:left w:type="dxa" w:w="120"/>
              <w:bottom w:type="dxa" w:w="100"/>
              <w:right w:type="dxa" w:w="120"/>
            </w:tcMar>
          </w:tcPr>
          <w:p>
            <w:r>
              <w:rPr>
                <w:b w:val="false"/>
                <w:bCs w:val="false"/>
                <w:color w:val="000000"/>
              </w:rPr>
              <w:t xml:space="preserve">XGBoost</w:t>
            </w:r>
          </w:p>
        </w:tc>
        <w:tc>
          <w:tcPr>
            <w:tcW w:type="dxa" w:w="1350"/>
            <w:tcMar>
              <w:top w:type="dxa" w:w="100"/>
              <w:left w:type="dxa" w:w="120"/>
              <w:bottom w:type="dxa" w:w="100"/>
              <w:right w:type="dxa" w:w="120"/>
            </w:tcMar>
          </w:tcPr>
          <w:p>
            <w:r>
              <w:rPr>
                <w:b w:val="false"/>
                <w:bCs w:val="false"/>
                <w:color w:val="000000"/>
              </w:rPr>
              <w:t xml:space="preserve">0.764</w:t>
            </w:r>
          </w:p>
        </w:tc>
        <w:tc>
          <w:tcPr>
            <w:tcW w:type="dxa" w:w="1350"/>
            <w:tcMar>
              <w:top w:type="dxa" w:w="100"/>
              <w:left w:type="dxa" w:w="120"/>
              <w:bottom w:type="dxa" w:w="100"/>
              <w:right w:type="dxa" w:w="120"/>
            </w:tcMar>
          </w:tcPr>
          <w:p>
            <w:r>
              <w:rPr>
                <w:b w:val="false"/>
                <w:bCs w:val="false"/>
                <w:color w:val="000000"/>
              </w:rPr>
              <w:t xml:space="preserve">0.547</w:t>
            </w:r>
          </w:p>
        </w:tc>
        <w:tc>
          <w:tcPr>
            <w:tcW w:type="dxa" w:w="1250"/>
            <w:tcMar>
              <w:top w:type="dxa" w:w="100"/>
              <w:left w:type="dxa" w:w="120"/>
              <w:bottom w:type="dxa" w:w="100"/>
              <w:right w:type="dxa" w:w="120"/>
            </w:tcMar>
          </w:tcPr>
          <w:p>
            <w:r>
              <w:rPr>
                <w:b w:val="false"/>
                <w:bCs w:val="false"/>
                <w:color w:val="000000"/>
              </w:rPr>
              <w:t xml:space="preserve">0.634</w:t>
            </w:r>
          </w:p>
        </w:tc>
        <w:tc>
          <w:tcPr>
            <w:tcW w:type="dxa" w:w="1000"/>
            <w:tcMar>
              <w:top w:type="dxa" w:w="100"/>
              <w:left w:type="dxa" w:w="120"/>
              <w:bottom w:type="dxa" w:w="100"/>
              <w:right w:type="dxa" w:w="120"/>
            </w:tcMar>
          </w:tcPr>
          <w:p>
            <w:r>
              <w:rPr>
                <w:b w:val="false"/>
                <w:bCs w:val="false"/>
                <w:color w:val="000000"/>
              </w:rPr>
              <w:t xml:space="preserve">0.587</w:t>
            </w:r>
          </w:p>
        </w:tc>
        <w:tc>
          <w:tcPr>
            <w:tcW w:type="dxa" w:w="1300"/>
            <w:tcMar>
              <w:top w:type="dxa" w:w="100"/>
              <w:left w:type="dxa" w:w="120"/>
              <w:bottom w:type="dxa" w:w="100"/>
              <w:right w:type="dxa" w:w="120"/>
            </w:tcMar>
          </w:tcPr>
          <w:p>
            <w:r>
              <w:rPr>
                <w:b w:val="false"/>
                <w:bCs w:val="false"/>
                <w:color w:val="000000"/>
              </w:rPr>
              <w:t xml:space="preserve">0.814</w:t>
            </w:r>
          </w:p>
        </w:tc>
      </w:tr>
      <w:tr>
        <w:tc>
          <w:tcPr>
            <w:tcW w:type="dxa" w:w="2600"/>
            <w:tcMar>
              <w:top w:type="dxa" w:w="100"/>
              <w:left w:type="dxa" w:w="120"/>
              <w:bottom w:type="dxa" w:w="100"/>
              <w:right w:type="dxa" w:w="120"/>
            </w:tcMar>
          </w:tcPr>
          <w:p>
            <w:r>
              <w:rPr>
                <w:b w:val="false"/>
                <w:bCs w:val="false"/>
                <w:color w:val="000000"/>
              </w:rPr>
              <w:t xml:space="preserve">Decision Tree</w:t>
            </w:r>
          </w:p>
        </w:tc>
        <w:tc>
          <w:tcPr>
            <w:tcW w:type="dxa" w:w="1350"/>
            <w:tcMar>
              <w:top w:type="dxa" w:w="100"/>
              <w:left w:type="dxa" w:w="120"/>
              <w:bottom w:type="dxa" w:w="100"/>
              <w:right w:type="dxa" w:w="120"/>
            </w:tcMar>
          </w:tcPr>
          <w:p>
            <w:r>
              <w:rPr>
                <w:b w:val="false"/>
                <w:bCs w:val="false"/>
                <w:color w:val="000000"/>
              </w:rPr>
              <w:t xml:space="preserve">0.738</w:t>
            </w:r>
          </w:p>
        </w:tc>
        <w:tc>
          <w:tcPr>
            <w:tcW w:type="dxa" w:w="1350"/>
            <w:tcMar>
              <w:top w:type="dxa" w:w="100"/>
              <w:left w:type="dxa" w:w="120"/>
              <w:bottom w:type="dxa" w:w="100"/>
              <w:right w:type="dxa" w:w="120"/>
            </w:tcMar>
          </w:tcPr>
          <w:p>
            <w:r>
              <w:rPr>
                <w:b w:val="false"/>
                <w:bCs w:val="false"/>
                <w:color w:val="000000"/>
              </w:rPr>
              <w:t xml:space="preserve">0.505</w:t>
            </w:r>
          </w:p>
        </w:tc>
        <w:tc>
          <w:tcPr>
            <w:tcW w:type="dxa" w:w="1250"/>
            <w:tcMar>
              <w:top w:type="dxa" w:w="100"/>
              <w:left w:type="dxa" w:w="120"/>
              <w:bottom w:type="dxa" w:w="100"/>
              <w:right w:type="dxa" w:w="120"/>
            </w:tcMar>
          </w:tcPr>
          <w:p>
            <w:r>
              <w:rPr>
                <w:b w:val="false"/>
                <w:bCs w:val="false"/>
                <w:color w:val="000000"/>
              </w:rPr>
              <w:t xml:space="preserve">0.727</w:t>
            </w:r>
          </w:p>
        </w:tc>
        <w:tc>
          <w:tcPr>
            <w:tcW w:type="dxa" w:w="1000"/>
            <w:tcMar>
              <w:top w:type="dxa" w:w="100"/>
              <w:left w:type="dxa" w:w="120"/>
              <w:bottom w:type="dxa" w:w="100"/>
              <w:right w:type="dxa" w:w="120"/>
            </w:tcMar>
          </w:tcPr>
          <w:p>
            <w:r>
              <w:rPr>
                <w:b w:val="false"/>
                <w:bCs w:val="false"/>
                <w:color w:val="000000"/>
              </w:rPr>
              <w:t xml:space="preserve">0.596</w:t>
            </w:r>
          </w:p>
        </w:tc>
        <w:tc>
          <w:tcPr>
            <w:tcW w:type="dxa" w:w="1300"/>
            <w:tcMar>
              <w:top w:type="dxa" w:w="100"/>
              <w:left w:type="dxa" w:w="120"/>
              <w:bottom w:type="dxa" w:w="100"/>
              <w:right w:type="dxa" w:w="120"/>
            </w:tcMar>
          </w:tcPr>
          <w:p>
            <w:r>
              <w:rPr>
                <w:b w:val="false"/>
                <w:bCs w:val="false"/>
                <w:color w:val="000000"/>
              </w:rPr>
              <w:t xml:space="preserve">0.783</w:t>
            </w:r>
          </w:p>
        </w:tc>
      </w:tr>
    </w:tbl>
    <w:p>
      <w:pPr>
        <w:jc w:val="center"/>
      </w:pPr>
      <w:r>
        <w:drawing>
          <wp:inline distT="0" distB="0" distL="0" distR="0">
            <wp:extent cx="4381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390775"/>
                    </a:xfrm>
                    <a:prstGeom prst="rect">
                      <a:avLst/>
                    </a:prstGeom>
                  </pic:spPr>
                </pic:pic>
              </a:graphicData>
            </a:graphic>
          </wp:inline>
        </w:drawing>
      </w:r>
    </w:p>
    <w:p>
      <w:pPr>
        <w:spacing w:after="300"/>
        <w:jc w:val="center"/>
      </w:pPr>
      <w:r>
        <w:rPr>
          <w:i/>
          <w:iCs/>
          <w:color w:val="555555"/>
          <w:sz w:val="18"/>
          <w:szCs w:val="18"/>
        </w:rPr>
        <w:t xml:space="preserve">Figure 1. Performance comparison across all five models and metrics.</w:t>
      </w:r>
    </w:p>
    <w:p>
      <w:pPr>
        <w:jc w:val="center"/>
      </w:pPr>
      <w:r>
        <w:drawing>
          <wp:inline distT="0" distB="0" distL="0" distR="0">
            <wp:extent cx="3238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2771775"/>
                    </a:xfrm>
                    <a:prstGeom prst="rect">
                      <a:avLst/>
                    </a:prstGeom>
                  </pic:spPr>
                </pic:pic>
              </a:graphicData>
            </a:graphic>
          </wp:inline>
        </w:drawing>
      </w:r>
    </w:p>
    <w:p>
      <w:pPr>
        <w:spacing w:after="300"/>
        <w:jc w:val="center"/>
      </w:pPr>
      <w:r>
        <w:rPr>
          <w:i/>
          <w:iCs/>
          <w:color w:val="555555"/>
          <w:sz w:val="18"/>
          <w:szCs w:val="18"/>
        </w:rPr>
        <w:t xml:space="preserve">Figure 2. ROC curves — Random Forest achieves the highest area under the curve (0.836).</w:t>
      </w:r>
    </w:p>
    <w:p>
      <w:pPr>
        <w:pStyle w:val="Heading1"/>
        <w:spacing w:after="160" w:before="320"/>
      </w:pPr>
      <w:r>
        <w:t xml:space="preserve">4. Model Comparison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50"/>
      </w:tblGrid>
      <w:tr>
        <w:tc>
          <w:tcPr>
            <w:tcW w:type="dxa" w:w="1800"/>
            <w:shd w:fill="1F3864" w:val="clear"/>
            <w:tcMar>
              <w:top w:type="dxa" w:w="100"/>
              <w:left w:type="dxa" w:w="120"/>
              <w:bottom w:type="dxa" w:w="100"/>
              <w:right w:type="dxa" w:w="120"/>
            </w:tcMar>
          </w:tcPr>
          <w:p>
            <w:r>
              <w:rPr>
                <w:b/>
                <w:bCs/>
                <w:color w:val="FFFFFF"/>
              </w:rPr>
              <w:t xml:space="preserve">Model</w:t>
            </w:r>
          </w:p>
        </w:tc>
        <w:tc>
          <w:tcPr>
            <w:tcW w:type="dxa" w:w="2600"/>
            <w:shd w:fill="1F3864" w:val="clear"/>
            <w:tcMar>
              <w:top w:type="dxa" w:w="100"/>
              <w:left w:type="dxa" w:w="120"/>
              <w:bottom w:type="dxa" w:w="100"/>
              <w:right w:type="dxa" w:w="120"/>
            </w:tcMar>
          </w:tcPr>
          <w:p>
            <w:r>
              <w:rPr>
                <w:b/>
                <w:bCs/>
                <w:color w:val="FFFFFF"/>
              </w:rPr>
              <w:t xml:space="preserve">Advantages</w:t>
            </w:r>
          </w:p>
        </w:tc>
        <w:tc>
          <w:tcPr>
            <w:tcW w:type="dxa" w:w="2400"/>
            <w:shd w:fill="1F3864" w:val="clear"/>
            <w:tcMar>
              <w:top w:type="dxa" w:w="100"/>
              <w:left w:type="dxa" w:w="120"/>
              <w:bottom w:type="dxa" w:w="100"/>
              <w:right w:type="dxa" w:w="120"/>
            </w:tcMar>
          </w:tcPr>
          <w:p>
            <w:r>
              <w:rPr>
                <w:b/>
                <w:bCs/>
                <w:color w:val="FFFFFF"/>
              </w:rPr>
              <w:t xml:space="preserve">Limitations</w:t>
            </w:r>
          </w:p>
        </w:tc>
        <w:tc>
          <w:tcPr>
            <w:tcW w:type="dxa" w:w="2550"/>
            <w:shd w:fill="1F3864" w:val="clear"/>
            <w:tcMar>
              <w:top w:type="dxa" w:w="100"/>
              <w:left w:type="dxa" w:w="120"/>
              <w:bottom w:type="dxa" w:w="100"/>
              <w:right w:type="dxa" w:w="120"/>
            </w:tcMar>
          </w:tcPr>
          <w:p>
            <w:r>
              <w:rPr>
                <w:b/>
                <w:bCs/>
                <w:color w:val="FFFFFF"/>
              </w:rPr>
              <w:t xml:space="preserve">Business Suitability</w:t>
            </w:r>
          </w:p>
        </w:tc>
      </w:tr>
      <w:tr>
        <w:tc>
          <w:tcPr>
            <w:tcW w:type="dxa" w:w="1800"/>
            <w:tcMar>
              <w:top w:type="dxa" w:w="100"/>
              <w:left w:type="dxa" w:w="120"/>
              <w:bottom w:type="dxa" w:w="100"/>
              <w:right w:type="dxa" w:w="120"/>
            </w:tcMar>
          </w:tcPr>
          <w:p>
            <w:r>
              <w:rPr>
                <w:b w:val="false"/>
                <w:bCs w:val="false"/>
                <w:color w:val="000000"/>
              </w:rPr>
              <w:t xml:space="preserve">Logistic Regression</w:t>
            </w:r>
          </w:p>
        </w:tc>
        <w:tc>
          <w:tcPr>
            <w:tcW w:type="dxa" w:w="2600"/>
            <w:tcMar>
              <w:top w:type="dxa" w:w="100"/>
              <w:left w:type="dxa" w:w="120"/>
              <w:bottom w:type="dxa" w:w="100"/>
              <w:right w:type="dxa" w:w="120"/>
            </w:tcMar>
          </w:tcPr>
          <w:p>
            <w:r>
              <w:rPr>
                <w:b w:val="false"/>
                <w:bCs w:val="false"/>
                <w:color w:val="000000"/>
              </w:rPr>
              <w:t xml:space="preserve">Fast, highly interpretable, solid baseline</w:t>
            </w:r>
          </w:p>
        </w:tc>
        <w:tc>
          <w:tcPr>
            <w:tcW w:type="dxa" w:w="2400"/>
            <w:tcMar>
              <w:top w:type="dxa" w:w="100"/>
              <w:left w:type="dxa" w:w="120"/>
              <w:bottom w:type="dxa" w:w="100"/>
              <w:right w:type="dxa" w:w="120"/>
            </w:tcMar>
          </w:tcPr>
          <w:p>
            <w:r>
              <w:rPr>
                <w:b w:val="false"/>
                <w:bCs w:val="false"/>
                <w:color w:val="000000"/>
              </w:rPr>
              <w:t xml:space="preserve">Assumes linear relationships</w:t>
            </w:r>
          </w:p>
        </w:tc>
        <w:tc>
          <w:tcPr>
            <w:tcW w:type="dxa" w:w="2550"/>
            <w:tcMar>
              <w:top w:type="dxa" w:w="100"/>
              <w:left w:type="dxa" w:w="120"/>
              <w:bottom w:type="dxa" w:w="100"/>
              <w:right w:type="dxa" w:w="120"/>
            </w:tcMar>
          </w:tcPr>
          <w:p>
            <w:r>
              <w:rPr>
                <w:b w:val="false"/>
                <w:bCs w:val="false"/>
                <w:color w:val="000000"/>
              </w:rPr>
              <w:t xml:space="preserve">Good — strong performance/explainability trade-off</w:t>
            </w:r>
          </w:p>
        </w:tc>
      </w:tr>
      <w:tr>
        <w:tc>
          <w:tcPr>
            <w:tcW w:type="dxa" w:w="1800"/>
            <w:tcMar>
              <w:top w:type="dxa" w:w="100"/>
              <w:left w:type="dxa" w:w="120"/>
              <w:bottom w:type="dxa" w:w="100"/>
              <w:right w:type="dxa" w:w="120"/>
            </w:tcMar>
          </w:tcPr>
          <w:p>
            <w:r>
              <w:rPr>
                <w:b w:val="false"/>
                <w:bCs w:val="false"/>
                <w:color w:val="000000"/>
              </w:rPr>
              <w:t xml:space="preserve">Decision Tree</w:t>
            </w:r>
          </w:p>
        </w:tc>
        <w:tc>
          <w:tcPr>
            <w:tcW w:type="dxa" w:w="2600"/>
            <w:tcMar>
              <w:top w:type="dxa" w:w="100"/>
              <w:left w:type="dxa" w:w="120"/>
              <w:bottom w:type="dxa" w:w="100"/>
              <w:right w:type="dxa" w:w="120"/>
            </w:tcMar>
          </w:tcPr>
          <w:p>
            <w:r>
              <w:rPr>
                <w:b w:val="false"/>
                <w:bCs w:val="false"/>
                <w:color w:val="000000"/>
              </w:rPr>
              <w:t xml:space="preserve">Interpretable, fast</w:t>
            </w:r>
          </w:p>
        </w:tc>
        <w:tc>
          <w:tcPr>
            <w:tcW w:type="dxa" w:w="2400"/>
            <w:tcMar>
              <w:top w:type="dxa" w:w="100"/>
              <w:left w:type="dxa" w:w="120"/>
              <w:bottom w:type="dxa" w:w="100"/>
              <w:right w:type="dxa" w:w="120"/>
            </w:tcMar>
          </w:tcPr>
          <w:p>
            <w:r>
              <w:rPr>
                <w:b w:val="false"/>
                <w:bCs w:val="false"/>
                <w:color w:val="000000"/>
              </w:rPr>
              <w:t xml:space="preserve">Lowest ROC-AUC, prone to overfitting</w:t>
            </w:r>
          </w:p>
        </w:tc>
        <w:tc>
          <w:tcPr>
            <w:tcW w:type="dxa" w:w="2550"/>
            <w:tcMar>
              <w:top w:type="dxa" w:w="100"/>
              <w:left w:type="dxa" w:w="120"/>
              <w:bottom w:type="dxa" w:w="100"/>
              <w:right w:type="dxa" w:w="120"/>
            </w:tcMar>
          </w:tcPr>
          <w:p>
            <w:r>
              <w:rPr>
                <w:b w:val="false"/>
                <w:bCs w:val="false"/>
                <w:color w:val="000000"/>
              </w:rPr>
              <w:t xml:space="preserve">Not recommended alone</w:t>
            </w:r>
          </w:p>
        </w:tc>
      </w:tr>
      <w:tr>
        <w:tc>
          <w:tcPr>
            <w:tcW w:type="dxa" w:w="1800"/>
            <w:tcMar>
              <w:top w:type="dxa" w:w="100"/>
              <w:left w:type="dxa" w:w="120"/>
              <w:bottom w:type="dxa" w:w="100"/>
              <w:right w:type="dxa" w:w="120"/>
            </w:tcMar>
          </w:tcPr>
          <w:p>
            <w:r>
              <w:rPr>
                <w:b w:val="false"/>
                <w:bCs w:val="false"/>
                <w:color w:val="000000"/>
              </w:rPr>
              <w:t xml:space="preserve">Random Forest</w:t>
            </w:r>
          </w:p>
        </w:tc>
        <w:tc>
          <w:tcPr>
            <w:tcW w:type="dxa" w:w="2600"/>
            <w:tcMar>
              <w:top w:type="dxa" w:w="100"/>
              <w:left w:type="dxa" w:w="120"/>
              <w:bottom w:type="dxa" w:w="100"/>
              <w:right w:type="dxa" w:w="120"/>
            </w:tcMar>
          </w:tcPr>
          <w:p>
            <w:r>
              <w:rPr>
                <w:b w:val="false"/>
                <w:bCs w:val="false"/>
                <w:color w:val="000000"/>
              </w:rPr>
              <w:t xml:space="preserve">Best ROC-AUC and best recall among top models, robust</w:t>
            </w:r>
          </w:p>
        </w:tc>
        <w:tc>
          <w:tcPr>
            <w:tcW w:type="dxa" w:w="2400"/>
            <w:tcMar>
              <w:top w:type="dxa" w:w="100"/>
              <w:left w:type="dxa" w:w="120"/>
              <w:bottom w:type="dxa" w:w="100"/>
              <w:right w:type="dxa" w:w="120"/>
            </w:tcMar>
          </w:tcPr>
          <w:p>
            <w:r>
              <w:rPr>
                <w:b w:val="false"/>
                <w:bCs w:val="false"/>
                <w:color w:val="000000"/>
              </w:rPr>
              <w:t xml:space="preserve">Less directly interpretable, slower to train</w:t>
            </w:r>
          </w:p>
        </w:tc>
        <w:tc>
          <w:tcPr>
            <w:tcW w:type="dxa" w:w="2550"/>
            <w:tcMar>
              <w:top w:type="dxa" w:w="100"/>
              <w:left w:type="dxa" w:w="120"/>
              <w:bottom w:type="dxa" w:w="100"/>
              <w:right w:type="dxa" w:w="120"/>
            </w:tcMar>
          </w:tcPr>
          <w:p>
            <w:r>
              <w:rPr>
                <w:b w:val="false"/>
                <w:bCs w:val="false"/>
                <w:color w:val="000000"/>
              </w:rPr>
              <w:t xml:space="preserve">Best overall choice</w:t>
            </w:r>
          </w:p>
        </w:tc>
      </w:tr>
      <w:tr>
        <w:tc>
          <w:tcPr>
            <w:tcW w:type="dxa" w:w="1800"/>
            <w:tcMar>
              <w:top w:type="dxa" w:w="100"/>
              <w:left w:type="dxa" w:w="120"/>
              <w:bottom w:type="dxa" w:w="100"/>
              <w:right w:type="dxa" w:w="120"/>
            </w:tcMar>
          </w:tcPr>
          <w:p>
            <w:r>
              <w:rPr>
                <w:b w:val="false"/>
                <w:bCs w:val="false"/>
                <w:color w:val="000000"/>
              </w:rPr>
              <w:t xml:space="preserve">Gradient Boosting</w:t>
            </w:r>
          </w:p>
        </w:tc>
        <w:tc>
          <w:tcPr>
            <w:tcW w:type="dxa" w:w="2600"/>
            <w:tcMar>
              <w:top w:type="dxa" w:w="100"/>
              <w:left w:type="dxa" w:w="120"/>
              <w:bottom w:type="dxa" w:w="100"/>
              <w:right w:type="dxa" w:w="120"/>
            </w:tcMar>
          </w:tcPr>
          <w:p>
            <w:r>
              <w:rPr>
                <w:b w:val="false"/>
                <w:bCs w:val="false"/>
                <w:color w:val="000000"/>
              </w:rPr>
              <w:t xml:space="preserve">Best precision and accuracy</w:t>
            </w:r>
          </w:p>
        </w:tc>
        <w:tc>
          <w:tcPr>
            <w:tcW w:type="dxa" w:w="2400"/>
            <w:tcMar>
              <w:top w:type="dxa" w:w="100"/>
              <w:left w:type="dxa" w:w="120"/>
              <w:bottom w:type="dxa" w:w="100"/>
              <w:right w:type="dxa" w:w="120"/>
            </w:tcMar>
          </w:tcPr>
          <w:p>
            <w:r>
              <w:rPr>
                <w:b w:val="false"/>
                <w:bCs w:val="false"/>
                <w:color w:val="000000"/>
              </w:rPr>
              <w:t xml:space="preserve">Slowest to train, hyperparameter-sensitive</w:t>
            </w:r>
          </w:p>
        </w:tc>
        <w:tc>
          <w:tcPr>
            <w:tcW w:type="dxa" w:w="2550"/>
            <w:tcMar>
              <w:top w:type="dxa" w:w="100"/>
              <w:left w:type="dxa" w:w="120"/>
              <w:bottom w:type="dxa" w:w="100"/>
              <w:right w:type="dxa" w:w="120"/>
            </w:tcMar>
          </w:tcPr>
          <w:p>
            <w:r>
              <w:rPr>
                <w:b w:val="false"/>
                <w:bCs w:val="false"/>
                <w:color w:val="000000"/>
              </w:rPr>
              <w:t xml:space="preserve">Good if precision is prioritized</w:t>
            </w:r>
          </w:p>
        </w:tc>
      </w:tr>
      <w:tr>
        <w:tc>
          <w:tcPr>
            <w:tcW w:type="dxa" w:w="1800"/>
            <w:tcMar>
              <w:top w:type="dxa" w:w="100"/>
              <w:left w:type="dxa" w:w="120"/>
              <w:bottom w:type="dxa" w:w="100"/>
              <w:right w:type="dxa" w:w="120"/>
            </w:tcMar>
          </w:tcPr>
          <w:p>
            <w:r>
              <w:rPr>
                <w:b w:val="false"/>
                <w:bCs w:val="false"/>
                <w:color w:val="000000"/>
              </w:rPr>
              <w:t xml:space="preserve">XGBoost</w:t>
            </w:r>
          </w:p>
        </w:tc>
        <w:tc>
          <w:tcPr>
            <w:tcW w:type="dxa" w:w="2600"/>
            <w:tcMar>
              <w:top w:type="dxa" w:w="100"/>
              <w:left w:type="dxa" w:w="120"/>
              <w:bottom w:type="dxa" w:w="100"/>
              <w:right w:type="dxa" w:w="120"/>
            </w:tcMar>
          </w:tcPr>
          <w:p>
            <w:r>
              <w:rPr>
                <w:b w:val="false"/>
                <w:bCs w:val="false"/>
                <w:color w:val="000000"/>
              </w:rPr>
              <w:t xml:space="preserve">Fast despite complexity</w:t>
            </w:r>
          </w:p>
        </w:tc>
        <w:tc>
          <w:tcPr>
            <w:tcW w:type="dxa" w:w="2400"/>
            <w:tcMar>
              <w:top w:type="dxa" w:w="100"/>
              <w:left w:type="dxa" w:w="120"/>
              <w:bottom w:type="dxa" w:w="100"/>
              <w:right w:type="dxa" w:w="120"/>
            </w:tcMar>
          </w:tcPr>
          <w:p>
            <w:r>
              <w:rPr>
                <w:b w:val="false"/>
                <w:bCs w:val="false"/>
                <w:color w:val="000000"/>
              </w:rPr>
              <w:t xml:space="preserve">Lowest recall among ensembles</w:t>
            </w:r>
          </w:p>
        </w:tc>
        <w:tc>
          <w:tcPr>
            <w:tcW w:type="dxa" w:w="2550"/>
            <w:tcMar>
              <w:top w:type="dxa" w:w="100"/>
              <w:left w:type="dxa" w:w="120"/>
              <w:bottom w:type="dxa" w:w="100"/>
              <w:right w:type="dxa" w:w="120"/>
            </w:tcMar>
          </w:tcPr>
          <w:p>
            <w:r>
              <w:rPr>
                <w:b w:val="false"/>
                <w:bCs w:val="false"/>
                <w:color w:val="000000"/>
              </w:rPr>
              <w:t xml:space="preserve">Weaker fit given recall priority</w:t>
            </w:r>
          </w:p>
        </w:tc>
      </w:tr>
    </w:tbl>
    <w:p>
      <w:pPr>
        <w:pStyle w:val="Heading1"/>
        <w:spacing w:after="160" w:before="320"/>
      </w:pPr>
      <w:r>
        <w:t xml:space="preserve">5. Feature Importance</w:t>
      </w:r>
    </w:p>
    <w:p>
      <w:pPr>
        <w:spacing w:after="160"/>
      </w:pPr>
      <w:r>
        <w:t xml:space="preserve">Random Forest feature importance was used to identify the strongest churn predictors. Contract type dominates, followed by tenure, billing amounts, and internet service type.</w:t>
      </w:r>
    </w:p>
    <w:p>
      <w:pPr>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857500"/>
                    </a:xfrm>
                    <a:prstGeom prst="rect">
                      <a:avLst/>
                    </a:prstGeom>
                  </pic:spPr>
                </pic:pic>
              </a:graphicData>
            </a:graphic>
          </wp:inline>
        </w:drawing>
      </w:r>
    </w:p>
    <w:p>
      <w:pPr>
        <w:spacing w:after="300"/>
        <w:jc w:val="center"/>
      </w:pPr>
      <w:r>
        <w:rPr>
          <w:i/>
          <w:iCs/>
          <w:color w:val="555555"/>
          <w:sz w:val="18"/>
          <w:szCs w:val="18"/>
        </w:rPr>
        <w:t xml:space="preserve">Figure 3. Top 12 features by Random Forest importance.</w:t>
      </w:r>
    </w:p>
    <w:p>
      <w:pPr>
        <w:spacing w:after="160"/>
      </w:pPr>
      <w:r>
        <w:t xml:space="preserve">Business interpretation: Contract is by far the strongest predictor — month-to-month customers churn far more than those on annual contracts, making contract-upgrade incentives (discounts for 1-2 year commitments) a direct, actionable lever. Tenure confirms that the first year is the highest-risk window, supporting a dedicated new-customer retention program. Billing-related features and fiber internet service also rank highly, suggesting price sensitivity and service-quality perception are worth investigating further, particularly for fiber customers who churn more despite paying a premium.</w:t>
      </w:r>
    </w:p>
    <w:p>
      <w:pPr>
        <w:pStyle w:val="Heading1"/>
        <w:spacing w:after="160" w:before="320"/>
      </w:pPr>
      <w:r>
        <w:t xml:space="preserve">6. Business Recommendations</w:t>
      </w:r>
    </w:p>
    <w:p>
      <w:pPr>
        <w:pStyle w:val="ListParagraph"/>
        <w:numPr>
          <w:ilvl w:val="0"/>
          <w:numId w:val="1"/>
        </w:numPr>
        <w:spacing w:after="80"/>
      </w:pPr>
      <w:r>
        <w:t xml:space="preserve">Deploy Random Forest as the churn-scoring model: it offers the best overall discriminative power (ROC-AUC 0.836) and, critically, the best recall (74.3%) among the strongest models — catching the most at-risk customers, which matters more than avoiding false alarms in a retention context.</w:t>
      </w:r>
    </w:p>
    <w:p>
      <w:pPr>
        <w:pStyle w:val="ListParagraph"/>
        <w:numPr>
          <w:ilvl w:val="0"/>
          <w:numId w:val="1"/>
        </w:numPr>
        <w:spacing w:after="80"/>
      </w:pPr>
      <w:r>
        <w:t xml:space="preserve">Target retention offers using the top features: prioritize month-to-month customers, especially within their first 12 months, and those on fiber internet with high monthly charges.</w:t>
      </w:r>
    </w:p>
    <w:p>
      <w:pPr>
        <w:pStyle w:val="ListParagraph"/>
        <w:numPr>
          <w:ilvl w:val="0"/>
          <w:numId w:val="1"/>
        </w:numPr>
        <w:spacing w:after="80"/>
      </w:pPr>
      <w:r>
        <w:t xml:space="preserve">Consider contract-upgrade incentives as a low-cost, high-leverage retention lever given how strongly Contract predicts churn.</w:t>
      </w:r>
    </w:p>
    <w:p>
      <w:pPr>
        <w:pStyle w:val="ListParagraph"/>
        <w:numPr>
          <w:ilvl w:val="0"/>
          <w:numId w:val="1"/>
        </w:numPr>
        <w:spacing w:after="80"/>
      </w:pPr>
      <w:r>
        <w:t xml:space="preserve">Use the model's probability score (not just the 0/1 label) to rank customers by risk and prioritize outreach for the highest-risk segment first.</w:t>
      </w:r>
    </w:p>
    <w:p>
      <w:pPr>
        <w:pStyle w:val="Heading1"/>
        <w:spacing w:after="160" w:before="320"/>
      </w:pPr>
      <w:r>
        <w:t xml:space="preserve">7. Next Steps</w:t>
      </w:r>
    </w:p>
    <w:p>
      <w:pPr>
        <w:pStyle w:val="ListParagraph"/>
        <w:numPr>
          <w:ilvl w:val="0"/>
          <w:numId w:val="1"/>
        </w:numPr>
        <w:spacing w:after="80"/>
      </w:pPr>
      <w:r>
        <w:t xml:space="preserve">Hyperparameter tuning (GridSearch/RandomizedSearch) on Random Forest and Gradient Boosting to further improve recall/precision balance.</w:t>
      </w:r>
    </w:p>
    <w:p>
      <w:pPr>
        <w:pStyle w:val="ListParagraph"/>
        <w:numPr>
          <w:ilvl w:val="0"/>
          <w:numId w:val="1"/>
        </w:numPr>
        <w:spacing w:after="80"/>
      </w:pPr>
      <w:r>
        <w:t xml:space="preserve">Threshold optimization: the default 0.5 cutoff may not be business-optimal given the priority on recall — a lower threshold could catch more churners at the cost of more false positives.</w:t>
      </w:r>
    </w:p>
    <w:p>
      <w:pPr>
        <w:pStyle w:val="ListParagraph"/>
        <w:numPr>
          <w:ilvl w:val="0"/>
          <w:numId w:val="1"/>
        </w:numPr>
        <w:spacing w:after="80"/>
      </w:pPr>
      <w:r>
        <w:t xml:space="preserve">Cost-based evaluation: translate false negatives (lost customer) and false positives (wasted retention budget) into dollar terms to choose an operating threshold that maximizes expected business value.</w:t>
      </w:r>
    </w:p>
    <w:p>
      <w:pPr>
        <w:pStyle w:val="ListParagraph"/>
        <w:numPr>
          <w:ilvl w:val="0"/>
          <w:numId w:val="1"/>
        </w:numPr>
        <w:spacing w:after="80"/>
      </w:pPr>
      <w:r>
        <w:t xml:space="preserve">Pilot the model with the customer success team on a subset of the highest-risk customers before full-scale deployment.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734fc05581ad2cd15d39a739c138bc950b61f4b.png"/><Relationship Id="rId8" Type="http://schemas.openxmlformats.org/officeDocument/2006/relationships/image" Target="media/4cf356f4dff838a0fda5df77479684790a9d6a37.png"/><Relationship Id="rId9" Type="http://schemas.openxmlformats.org/officeDocument/2006/relationships/image" Target="media/be1a1c4b83ab1ba86c4db7b9288689536c81162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2026-08-19T00:20:33.890Z</dcterms:created>
  <dcterms:modified xsi:type="dcterms:W3CDTF">2026-08-19T00:20:33.899Z</dcterms:modified>
</cp:coreProperties>
</file>

<file path=docProps/custom.xml><?xml version="1.0" encoding="utf-8"?>
<Properties xmlns="http://schemas.openxmlformats.org/officeDocument/2006/custom-properties" xmlns:vt="http://schemas.openxmlformats.org/officeDocument/2006/docPropsVTypes"/>
</file>