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75B6"/>
          <w:sz w:val="20"/>
          <w:szCs w:val="20"/>
        </w:rPr>
        <w:t xml:space="preserve">ANALYSTLAB AFRICA</w:t>
      </w:r>
    </w:p>
    <w:p>
      <w:pPr>
        <w:spacing w:after="400"/>
      </w:pPr>
      <w:r>
        <w:rPr>
          <w:sz w:val="20"/>
          <w:szCs w:val="20"/>
        </w:rPr>
        <w:t xml:space="preserve">Machine Learning Internship Programme — Week 3</w:t>
      </w:r>
    </w:p>
    <w:p>
      <w:pPr>
        <w:spacing w:after="120"/>
      </w:pPr>
      <w:r>
        <w:rPr>
          <w:b/>
          <w:bCs/>
          <w:color w:val="1F3864"/>
          <w:sz w:val="44"/>
          <w:szCs w:val="44"/>
        </w:rPr>
        <w:t xml:space="preserve">Data Dictionary</w:t>
      </w:r>
    </w:p>
    <w:p>
      <w:pPr>
        <w:spacing w:after="400"/>
      </w:pPr>
      <w:r>
        <w:rPr>
          <w:i/>
          <w:iCs/>
          <w:color w:val="2E75B6"/>
          <w:sz w:val="24"/>
          <w:szCs w:val="24"/>
        </w:rPr>
        <w:t xml:space="preserve">telco_final_ml_dataset.csv — Customer Churn Prediction</w:t>
      </w:r>
    </w:p>
    <w:p>
      <w:pPr>
        <w:spacing w:after="160"/>
      </w:pPr>
      <w:r>
        <w:t xml:space="preserve">This document describes every column in the final machine-learning-ready dataset (telco_final_ml_dataset.csv), including its data type, meaning, and any transformation applied during the Week 2 preprocessing pipeline. All numeric columns marked “scaled” were standardized (StandardScaler: mean 0, standard deviation 1) after outlier treatment.</w:t>
      </w:r>
    </w:p>
    <w:p>
      <w:pPr>
        <w:pStyle w:val="Heading1"/>
        <w:spacing w:after="160" w:before="320"/>
      </w:pPr>
      <w:r>
        <w:t xml:space="preserve">Demographics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50"/>
      </w:tblGrid>
      <w:tr>
        <w:tc>
          <w:tcPr>
            <w:tcW w:type="dxa" w:w="28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5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Values</w:t>
            </w:r>
          </w:p>
        </w:tc>
      </w:tr>
      <w:tr>
        <w:tc>
          <w:tcPr>
            <w:tcW w:type="dxa" w:w="2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(0/1)</w:t>
            </w:r>
          </w:p>
        </w:tc>
        <w:tc>
          <w:tcPr>
            <w:tcW w:type="dxa" w:w="47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= Female, 1 = Male (Label Encoded)</w:t>
            </w:r>
          </w:p>
        </w:tc>
      </w:tr>
      <w:tr>
        <w:tc>
          <w:tcPr>
            <w:tcW w:type="dxa" w:w="2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SeniorCitizen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(0/1)</w:t>
            </w:r>
          </w:p>
        </w:tc>
        <w:tc>
          <w:tcPr>
            <w:tcW w:type="dxa" w:w="47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= customer is a senior citizen, 0 = otherwise (original column, no transformation)</w:t>
            </w:r>
          </w:p>
        </w:tc>
      </w:tr>
      <w:tr>
        <w:tc>
          <w:tcPr>
            <w:tcW w:type="dxa" w:w="2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Partner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(0/1)</w:t>
            </w:r>
          </w:p>
        </w:tc>
        <w:tc>
          <w:tcPr>
            <w:tcW w:type="dxa" w:w="47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= has a partner, 0 = no partner (Label Encoded from Yes/No)</w:t>
            </w:r>
          </w:p>
        </w:tc>
      </w:tr>
      <w:tr>
        <w:tc>
          <w:tcPr>
            <w:tcW w:type="dxa" w:w="2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Dependents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(0/1)</w:t>
            </w:r>
          </w:p>
        </w:tc>
        <w:tc>
          <w:tcPr>
            <w:tcW w:type="dxa" w:w="47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= has dependents, 0 = no dependents (Label Encoded from Yes/No)</w:t>
            </w:r>
          </w:p>
        </w:tc>
      </w:tr>
    </w:tbl>
    <w:p>
      <w:pPr>
        <w:pStyle w:val="Heading1"/>
        <w:spacing w:after="160" w:before="320"/>
      </w:pPr>
      <w:r>
        <w:t xml:space="preserve">Account &amp; Billing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50"/>
      </w:tblGrid>
      <w:tr>
        <w:tc>
          <w:tcPr>
            <w:tcW w:type="dxa" w:w="30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5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Values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tenure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 (scaled)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Months as a customer. StandardScaler applied after outlier check (no outliers found).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MonthlyCharges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 (scaled)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 billing amount ($). StandardScaler applied.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TotalCharges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 (scaled)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Cumulative billing amount ($). Originally text with 11 hidden blanks (tenure=0 customers), converted to numeric, missing values imputed with 0, then scaled.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(0/1/2, ordinal)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= Month-to-month, 1 = One year, 2 = Two year (Ordinal Encoded — natural order preserved)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PaperlessBilling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(0/1)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= paperless billing, 0 = otherwise (Label Encoded from Yes/No)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PaymentMethod_Credit card (automatic)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(0/1)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One-Hot Encoded flag; baseline category is Bank transfer (automatic)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PaymentMethod_Electronic check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(0/1)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One-Hot Encoded flag; baseline category is Bank transfer (automatic)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PaymentMethod_Mailed check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(0/1)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One-Hot Encoded flag; baseline category is Bank transfer (automatic)</w:t>
            </w:r>
          </w:p>
        </w:tc>
      </w:tr>
    </w:tbl>
    <w:p>
      <w:pPr>
        <w:pStyle w:val="Heading1"/>
        <w:spacing w:after="160" w:before="320"/>
      </w:pPr>
      <w:r>
        <w:t xml:space="preserve">Services Subscribed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50"/>
      </w:tblGrid>
      <w:tr>
        <w:tc>
          <w:tcPr>
            <w:tcW w:type="dxa" w:w="30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5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Values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PhoneService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(0/1)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= has phone service, 0 = otherwise (Label Encoded)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MultipleLines_Yes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(0/1)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One-Hot Encoded; baseline includes “No” (incl. no phone service, standardized in Week 2)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InternetService_Fiber optic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(0/1)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One-Hot Encoded flag; baseline category is DSL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InternetService_No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(0/1)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One-Hot Encoded flag; baseline category is DSL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OnlineSecurity_Yes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(0/1)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One-Hot Encoded; “No internet service” standardized to “No” in Week 2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OnlineBackup_Yes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(0/1)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One-Hot Encoded; “No internet service” standardized to “No” in Week 2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DeviceProtection_Yes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(0/1)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One-Hot Encoded; “No internet service” standardized to “No” in Week 2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TechSupport_Yes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(0/1)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One-Hot Encoded; “No internet service” standardized to “No” in Week 2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StreamingTV_Yes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(0/1)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One-Hot Encoded; “No internet service” standardized to “No” in Week 2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StreamingMovies_Yes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(0/1)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One-Hot Encoded; “No internet service” standardized to “No” in Week 2</w:t>
            </w:r>
          </w:p>
        </w:tc>
      </w:tr>
    </w:tbl>
    <w:p>
      <w:pPr>
        <w:pStyle w:val="Heading1"/>
        <w:spacing w:after="160" w:before="320"/>
      </w:pPr>
      <w:r>
        <w:t xml:space="preserve">Engineered Features (Week 2)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50"/>
      </w:tblGrid>
      <w:tr>
        <w:tc>
          <w:tcPr>
            <w:tcW w:type="dxa" w:w="30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5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Values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TenureGroup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(0-3, ordinal)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= 0-12 months, 1 = 13-24, 2 = 25-48, 3 = 49-72. Derived from tenure; Ordinal Encoded.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NumServicesSubscribed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 (scaled)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Count of active services (phone + internet + add-ons), then scaled.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AvgChargePerService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 (scaled)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MonthlyCharges ÷ NumServicesSubscribed. Outliers (~3.3%) capped via IQR winsorization before scaling.</w:t>
            </w:r>
          </w:p>
        </w:tc>
      </w:tr>
    </w:tbl>
    <w:p>
      <w:pPr>
        <w:pStyle w:val="Heading1"/>
        <w:spacing w:after="160" w:before="320"/>
      </w:pPr>
      <w:r>
        <w:t xml:space="preserve">Target &amp; Metadata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50"/>
      </w:tblGrid>
      <w:tr>
        <w:tc>
          <w:tcPr>
            <w:tcW w:type="dxa" w:w="30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5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/ Values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Churn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 (0/1)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variable. 1 = customer churned, 0 = retained (Label Encoded from Yes/No)</w:t>
            </w:r>
          </w:p>
        </w:tc>
      </w:tr>
      <w:tr>
        <w:tc>
          <w:tcPr>
            <w:tcW w:type="dxa" w:w="30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dataset_split</w:t>
            </w:r>
          </w:p>
        </w:tc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5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“train” or “test” — indicates which Week 3 split the row belongs to (train set is SMOTE-balanced 50/50; test set retains the original 73.5%/26.5% distribution)</w:t>
            </w:r>
          </w:p>
        </w:tc>
      </w:tr>
    </w:tbl>
    <w:p>
      <w:pPr>
        <w:pStyle w:val="Heading1"/>
        <w:spacing w:after="160" w:before="320"/>
      </w:pPr>
      <w:r>
        <w:t xml:space="preserve">Removed Columns</w:t>
      </w:r>
    </w:p>
    <w:p>
      <w:pPr>
        <w:spacing w:after="160"/>
      </w:pPr>
      <w:r>
        <w:t xml:space="preserve">customerID — dropped in Week 2 as a unique identifier with no predictive value.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2026-08-23T00:57:43.676Z</dcterms:created>
  <dcterms:modified xsi:type="dcterms:W3CDTF">2026-08-23T00:57:43.689Z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