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75B6"/>
          <w:sz w:val="20"/>
          <w:szCs w:val="20"/>
        </w:rPr>
        <w:t xml:space="preserve">ANALYSTLAB AFRICA</w:t>
      </w:r>
    </w:p>
    <w:p>
      <w:pPr>
        <w:spacing w:after="400"/>
      </w:pPr>
      <w:r>
        <w:rPr>
          <w:sz w:val="20"/>
          <w:szCs w:val="20"/>
        </w:rPr>
        <w:t xml:space="preserve">Machine Learning Internship Programme — Week 3</w:t>
      </w:r>
    </w:p>
    <w:p>
      <w:pPr>
        <w:spacing w:after="120"/>
      </w:pPr>
      <w:r>
        <w:rPr>
          <w:b/>
          <w:bCs/>
          <w:color w:val="1F3864"/>
          <w:sz w:val="44"/>
          <w:szCs w:val="44"/>
        </w:rPr>
        <w:t xml:space="preserve">Feature Importance Report</w:t>
      </w:r>
    </w:p>
    <w:p>
      <w:pPr>
        <w:spacing w:after="400"/>
      </w:pPr>
      <w:r>
        <w:rPr>
          <w:i/>
          <w:iCs/>
          <w:color w:val="2E75B6"/>
          <w:sz w:val="24"/>
          <w:szCs w:val="24"/>
        </w:rPr>
        <w:t xml:space="preserve">Customer Churn Prediction — What Drives Churn</w:t>
      </w:r>
    </w:p>
    <w:p>
      <w:pPr>
        <w:pStyle w:val="Heading1"/>
        <w:spacing w:after="160" w:before="320"/>
      </w:pPr>
      <w:r>
        <w:t xml:space="preserve">1. Method</w:t>
      </w:r>
    </w:p>
    <w:p>
      <w:pPr>
        <w:spacing w:after="160"/>
      </w:pPr>
      <w:r>
        <w:t xml:space="preserve">Feature importance was computed using the Random Forest model (the best-performing model overall, ROC-AUC 0.836). Random Forest importance is based on the average reduction in Gini impurity each feature contributes across all trees in the forest — higher values indicate a feature was more useful for splitting customers into churn/no-churn groups.</w:t>
      </w:r>
    </w:p>
    <w:p>
      <w:pPr>
        <w:pStyle w:val="Heading1"/>
        <w:spacing w:after="160" w:before="320"/>
      </w:pPr>
      <w:r>
        <w:t xml:space="preserve">2. Ranked Feature Importances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500"/>
        <w:gridCol w:w="3850"/>
      </w:tblGrid>
      <w:tr>
        <w:tc>
          <w:tcPr>
            <w:tcW w:type="dxa" w:w="700"/>
            <w:shd w:fill="1F3864" w:val="clear"/>
            <w:tcMar>
              <w:top w:type="dxa" w:w="100"/>
              <w:left w:type="dxa" w:w="120"/>
              <w:bottom w:type="dxa" w:w="100"/>
              <w:right w:type="dxa" w:w="120"/>
            </w:tcMar>
          </w:tcPr>
          <w:p>
            <w:r>
              <w:rPr>
                <w:b/>
                <w:bCs/>
                <w:color w:val="FFFFFF"/>
              </w:rPr>
              <w:t xml:space="preserve">Rank</w:t>
            </w:r>
          </w:p>
        </w:tc>
        <w:tc>
          <w:tcPr>
            <w:tcW w:type="dxa" w:w="3300"/>
            <w:shd w:fill="1F3864" w:val="clear"/>
            <w:tcMar>
              <w:top w:type="dxa" w:w="100"/>
              <w:left w:type="dxa" w:w="120"/>
              <w:bottom w:type="dxa" w:w="100"/>
              <w:right w:type="dxa" w:w="120"/>
            </w:tcMar>
          </w:tcPr>
          <w:p>
            <w:r>
              <w:rPr>
                <w:b/>
                <w:bCs/>
                <w:color w:val="FFFFFF"/>
              </w:rPr>
              <w:t xml:space="preserve">Feature</w:t>
            </w:r>
          </w:p>
        </w:tc>
        <w:tc>
          <w:tcPr>
            <w:tcW w:type="dxa" w:w="1500"/>
            <w:shd w:fill="1F3864" w:val="clear"/>
            <w:tcMar>
              <w:top w:type="dxa" w:w="100"/>
              <w:left w:type="dxa" w:w="120"/>
              <w:bottom w:type="dxa" w:w="100"/>
              <w:right w:type="dxa" w:w="120"/>
            </w:tcMar>
          </w:tcPr>
          <w:p>
            <w:r>
              <w:rPr>
                <w:b/>
                <w:bCs/>
                <w:color w:val="FFFFFF"/>
              </w:rPr>
              <w:t xml:space="preserve">Importance</w:t>
            </w:r>
          </w:p>
        </w:tc>
        <w:tc>
          <w:tcPr>
            <w:tcW w:type="dxa" w:w="3850"/>
            <w:shd w:fill="1F3864" w:val="clear"/>
            <w:tcMar>
              <w:top w:type="dxa" w:w="100"/>
              <w:left w:type="dxa" w:w="120"/>
              <w:bottom w:type="dxa" w:w="100"/>
              <w:right w:type="dxa" w:w="120"/>
            </w:tcMar>
          </w:tcPr>
          <w:p>
            <w:r>
              <w:rPr>
                <w:b/>
                <w:bCs/>
                <w:color w:val="FFFFFF"/>
              </w:rPr>
              <w:t xml:space="preserve">Interpretation</w:t>
            </w:r>
          </w:p>
        </w:tc>
      </w:tr>
      <w:tr>
        <w:tc>
          <w:tcPr>
            <w:tcW w:type="dxa" w:w="700"/>
            <w:tcMar>
              <w:top w:type="dxa" w:w="100"/>
              <w:left w:type="dxa" w:w="120"/>
              <w:bottom w:type="dxa" w:w="100"/>
              <w:right w:type="dxa" w:w="120"/>
            </w:tcMar>
          </w:tcPr>
          <w:p>
            <w:r>
              <w:rPr>
                <w:b w:val="false"/>
                <w:bCs w:val="false"/>
                <w:color w:val="000000"/>
              </w:rPr>
              <w:t xml:space="preserve">1</w:t>
            </w:r>
          </w:p>
        </w:tc>
        <w:tc>
          <w:tcPr>
            <w:tcW w:type="dxa" w:w="3300"/>
            <w:tcMar>
              <w:top w:type="dxa" w:w="100"/>
              <w:left w:type="dxa" w:w="120"/>
              <w:bottom w:type="dxa" w:w="100"/>
              <w:right w:type="dxa" w:w="120"/>
            </w:tcMar>
          </w:tcPr>
          <w:p>
            <w:r>
              <w:rPr>
                <w:b w:val="false"/>
                <w:bCs w:val="false"/>
                <w:color w:val="000000"/>
              </w:rPr>
              <w:t xml:space="preserve">Contract</w:t>
            </w:r>
          </w:p>
        </w:tc>
        <w:tc>
          <w:tcPr>
            <w:tcW w:type="dxa" w:w="1500"/>
            <w:tcMar>
              <w:top w:type="dxa" w:w="100"/>
              <w:left w:type="dxa" w:w="120"/>
              <w:bottom w:type="dxa" w:w="100"/>
              <w:right w:type="dxa" w:w="120"/>
            </w:tcMar>
          </w:tcPr>
          <w:p>
            <w:r>
              <w:rPr>
                <w:b w:val="false"/>
                <w:bCs w:val="false"/>
                <w:color w:val="000000"/>
              </w:rPr>
              <w:t xml:space="preserve">0.176</w:t>
            </w:r>
          </w:p>
        </w:tc>
        <w:tc>
          <w:tcPr>
            <w:tcW w:type="dxa" w:w="3850"/>
            <w:tcMar>
              <w:top w:type="dxa" w:w="100"/>
              <w:left w:type="dxa" w:w="120"/>
              <w:bottom w:type="dxa" w:w="100"/>
              <w:right w:type="dxa" w:w="120"/>
            </w:tcMar>
          </w:tcPr>
          <w:p>
            <w:r>
              <w:rPr>
                <w:b w:val="false"/>
                <w:bCs w:val="false"/>
                <w:color w:val="000000"/>
              </w:rPr>
              <w:t xml:space="preserve">Month-to-month contracts churn far more than annual contracts</w:t>
            </w:r>
          </w:p>
        </w:tc>
      </w:tr>
      <w:tr>
        <w:tc>
          <w:tcPr>
            <w:tcW w:type="dxa" w:w="700"/>
            <w:tcMar>
              <w:top w:type="dxa" w:w="100"/>
              <w:left w:type="dxa" w:w="120"/>
              <w:bottom w:type="dxa" w:w="100"/>
              <w:right w:type="dxa" w:w="120"/>
            </w:tcMar>
          </w:tcPr>
          <w:p>
            <w:r>
              <w:rPr>
                <w:b w:val="false"/>
                <w:bCs w:val="false"/>
                <w:color w:val="000000"/>
              </w:rPr>
              <w:t xml:space="preserve">2</w:t>
            </w:r>
          </w:p>
        </w:tc>
        <w:tc>
          <w:tcPr>
            <w:tcW w:type="dxa" w:w="3300"/>
            <w:tcMar>
              <w:top w:type="dxa" w:w="100"/>
              <w:left w:type="dxa" w:w="120"/>
              <w:bottom w:type="dxa" w:w="100"/>
              <w:right w:type="dxa" w:w="120"/>
            </w:tcMar>
          </w:tcPr>
          <w:p>
            <w:r>
              <w:rPr>
                <w:b w:val="false"/>
                <w:bCs w:val="false"/>
                <w:color w:val="000000"/>
              </w:rPr>
              <w:t xml:space="preserve">tenure</w:t>
            </w:r>
          </w:p>
        </w:tc>
        <w:tc>
          <w:tcPr>
            <w:tcW w:type="dxa" w:w="1500"/>
            <w:tcMar>
              <w:top w:type="dxa" w:w="100"/>
              <w:left w:type="dxa" w:w="120"/>
              <w:bottom w:type="dxa" w:w="100"/>
              <w:right w:type="dxa" w:w="120"/>
            </w:tcMar>
          </w:tcPr>
          <w:p>
            <w:r>
              <w:rPr>
                <w:b w:val="false"/>
                <w:bCs w:val="false"/>
                <w:color w:val="000000"/>
              </w:rPr>
              <w:t xml:space="preserve">0.133</w:t>
            </w:r>
          </w:p>
        </w:tc>
        <w:tc>
          <w:tcPr>
            <w:tcW w:type="dxa" w:w="3850"/>
            <w:tcMar>
              <w:top w:type="dxa" w:w="100"/>
              <w:left w:type="dxa" w:w="120"/>
              <w:bottom w:type="dxa" w:w="100"/>
              <w:right w:type="dxa" w:w="120"/>
            </w:tcMar>
          </w:tcPr>
          <w:p>
            <w:r>
              <w:rPr>
                <w:b w:val="false"/>
                <w:bCs w:val="false"/>
                <w:color w:val="000000"/>
              </w:rPr>
              <w:t xml:space="preserve">Newer customers are much more likely to churn</w:t>
            </w:r>
          </w:p>
        </w:tc>
      </w:tr>
      <w:tr>
        <w:tc>
          <w:tcPr>
            <w:tcW w:type="dxa" w:w="700"/>
            <w:tcMar>
              <w:top w:type="dxa" w:w="100"/>
              <w:left w:type="dxa" w:w="120"/>
              <w:bottom w:type="dxa" w:w="100"/>
              <w:right w:type="dxa" w:w="120"/>
            </w:tcMar>
          </w:tcPr>
          <w:p>
            <w:r>
              <w:rPr>
                <w:b w:val="false"/>
                <w:bCs w:val="false"/>
                <w:color w:val="000000"/>
              </w:rPr>
              <w:t xml:space="preserve">3</w:t>
            </w:r>
          </w:p>
        </w:tc>
        <w:tc>
          <w:tcPr>
            <w:tcW w:type="dxa" w:w="3300"/>
            <w:tcMar>
              <w:top w:type="dxa" w:w="100"/>
              <w:left w:type="dxa" w:w="120"/>
              <w:bottom w:type="dxa" w:w="100"/>
              <w:right w:type="dxa" w:w="120"/>
            </w:tcMar>
          </w:tcPr>
          <w:p>
            <w:r>
              <w:rPr>
                <w:b w:val="false"/>
                <w:bCs w:val="false"/>
                <w:color w:val="000000"/>
              </w:rPr>
              <w:t xml:space="preserve">MonthlyCharges</w:t>
            </w:r>
          </w:p>
        </w:tc>
        <w:tc>
          <w:tcPr>
            <w:tcW w:type="dxa" w:w="1500"/>
            <w:tcMar>
              <w:top w:type="dxa" w:w="100"/>
              <w:left w:type="dxa" w:w="120"/>
              <w:bottom w:type="dxa" w:w="100"/>
              <w:right w:type="dxa" w:w="120"/>
            </w:tcMar>
          </w:tcPr>
          <w:p>
            <w:r>
              <w:rPr>
                <w:b w:val="false"/>
                <w:bCs w:val="false"/>
                <w:color w:val="000000"/>
              </w:rPr>
              <w:t xml:space="preserve">0.093</w:t>
            </w:r>
          </w:p>
        </w:tc>
        <w:tc>
          <w:tcPr>
            <w:tcW w:type="dxa" w:w="3850"/>
            <w:tcMar>
              <w:top w:type="dxa" w:w="100"/>
              <w:left w:type="dxa" w:w="120"/>
              <w:bottom w:type="dxa" w:w="100"/>
              <w:right w:type="dxa" w:w="120"/>
            </w:tcMar>
          </w:tcPr>
          <w:p>
            <w:r>
              <w:rPr>
                <w:b w:val="false"/>
                <w:bCs w:val="false"/>
                <w:color w:val="000000"/>
              </w:rPr>
              <w:t xml:space="preserve">Higher monthly bills associate with higher churn</w:t>
            </w:r>
          </w:p>
        </w:tc>
      </w:tr>
      <w:tr>
        <w:tc>
          <w:tcPr>
            <w:tcW w:type="dxa" w:w="700"/>
            <w:tcMar>
              <w:top w:type="dxa" w:w="100"/>
              <w:left w:type="dxa" w:w="120"/>
              <w:bottom w:type="dxa" w:w="100"/>
              <w:right w:type="dxa" w:w="120"/>
            </w:tcMar>
          </w:tcPr>
          <w:p>
            <w:r>
              <w:rPr>
                <w:b w:val="false"/>
                <w:bCs w:val="false"/>
                <w:color w:val="000000"/>
              </w:rPr>
              <w:t xml:space="preserve">4</w:t>
            </w:r>
          </w:p>
        </w:tc>
        <w:tc>
          <w:tcPr>
            <w:tcW w:type="dxa" w:w="3300"/>
            <w:tcMar>
              <w:top w:type="dxa" w:w="100"/>
              <w:left w:type="dxa" w:w="120"/>
              <w:bottom w:type="dxa" w:w="100"/>
              <w:right w:type="dxa" w:w="120"/>
            </w:tcMar>
          </w:tcPr>
          <w:p>
            <w:r>
              <w:rPr>
                <w:b w:val="false"/>
                <w:bCs w:val="false"/>
                <w:color w:val="000000"/>
              </w:rPr>
              <w:t xml:space="preserve">AvgChargePerService</w:t>
            </w:r>
          </w:p>
        </w:tc>
        <w:tc>
          <w:tcPr>
            <w:tcW w:type="dxa" w:w="1500"/>
            <w:tcMar>
              <w:top w:type="dxa" w:w="100"/>
              <w:left w:type="dxa" w:w="120"/>
              <w:bottom w:type="dxa" w:w="100"/>
              <w:right w:type="dxa" w:w="120"/>
            </w:tcMar>
          </w:tcPr>
          <w:p>
            <w:r>
              <w:rPr>
                <w:b w:val="false"/>
                <w:bCs w:val="false"/>
                <w:color w:val="000000"/>
              </w:rPr>
              <w:t xml:space="preserve">0.090</w:t>
            </w:r>
          </w:p>
        </w:tc>
        <w:tc>
          <w:tcPr>
            <w:tcW w:type="dxa" w:w="3850"/>
            <w:tcMar>
              <w:top w:type="dxa" w:w="100"/>
              <w:left w:type="dxa" w:w="120"/>
              <w:bottom w:type="dxa" w:w="100"/>
              <w:right w:type="dxa" w:w="120"/>
            </w:tcMar>
          </w:tcPr>
          <w:p>
            <w:r>
              <w:rPr>
                <w:b w:val="false"/>
                <w:bCs w:val="false"/>
                <w:color w:val="000000"/>
              </w:rPr>
              <w:t xml:space="preserve">Engineered feature — paying more per service signals dissatisfaction</w:t>
            </w:r>
          </w:p>
        </w:tc>
      </w:tr>
      <w:tr>
        <w:tc>
          <w:tcPr>
            <w:tcW w:type="dxa" w:w="700"/>
            <w:tcMar>
              <w:top w:type="dxa" w:w="100"/>
              <w:left w:type="dxa" w:w="120"/>
              <w:bottom w:type="dxa" w:w="100"/>
              <w:right w:type="dxa" w:w="120"/>
            </w:tcMar>
          </w:tcPr>
          <w:p>
            <w:r>
              <w:rPr>
                <w:b w:val="false"/>
                <w:bCs w:val="false"/>
                <w:color w:val="000000"/>
              </w:rPr>
              <w:t xml:space="preserve">5</w:t>
            </w:r>
          </w:p>
        </w:tc>
        <w:tc>
          <w:tcPr>
            <w:tcW w:type="dxa" w:w="3300"/>
            <w:tcMar>
              <w:top w:type="dxa" w:w="100"/>
              <w:left w:type="dxa" w:w="120"/>
              <w:bottom w:type="dxa" w:w="100"/>
              <w:right w:type="dxa" w:w="120"/>
            </w:tcMar>
          </w:tcPr>
          <w:p>
            <w:r>
              <w:rPr>
                <w:b w:val="false"/>
                <w:bCs w:val="false"/>
                <w:color w:val="000000"/>
              </w:rPr>
              <w:t xml:space="preserve">TotalCharges</w:t>
            </w:r>
          </w:p>
        </w:tc>
        <w:tc>
          <w:tcPr>
            <w:tcW w:type="dxa" w:w="1500"/>
            <w:tcMar>
              <w:top w:type="dxa" w:w="100"/>
              <w:left w:type="dxa" w:w="120"/>
              <w:bottom w:type="dxa" w:w="100"/>
              <w:right w:type="dxa" w:w="120"/>
            </w:tcMar>
          </w:tcPr>
          <w:p>
            <w:r>
              <w:rPr>
                <w:b w:val="false"/>
                <w:bCs w:val="false"/>
                <w:color w:val="000000"/>
              </w:rPr>
              <w:t xml:space="preserve">0.078</w:t>
            </w:r>
          </w:p>
        </w:tc>
        <w:tc>
          <w:tcPr>
            <w:tcW w:type="dxa" w:w="3850"/>
            <w:tcMar>
              <w:top w:type="dxa" w:w="100"/>
              <w:left w:type="dxa" w:w="120"/>
              <w:bottom w:type="dxa" w:w="100"/>
              <w:right w:type="dxa" w:w="120"/>
            </w:tcMar>
          </w:tcPr>
          <w:p>
            <w:r>
              <w:rPr>
                <w:b w:val="false"/>
                <w:bCs w:val="false"/>
                <w:color w:val="000000"/>
              </w:rPr>
              <w:t xml:space="preserve">Correlated with tenure and billing history</w:t>
            </w:r>
          </w:p>
        </w:tc>
      </w:tr>
      <w:tr>
        <w:tc>
          <w:tcPr>
            <w:tcW w:type="dxa" w:w="700"/>
            <w:tcMar>
              <w:top w:type="dxa" w:w="100"/>
              <w:left w:type="dxa" w:w="120"/>
              <w:bottom w:type="dxa" w:w="100"/>
              <w:right w:type="dxa" w:w="120"/>
            </w:tcMar>
          </w:tcPr>
          <w:p>
            <w:r>
              <w:rPr>
                <w:b w:val="false"/>
                <w:bCs w:val="false"/>
                <w:color w:val="000000"/>
              </w:rPr>
              <w:t xml:space="preserve">6</w:t>
            </w:r>
          </w:p>
        </w:tc>
        <w:tc>
          <w:tcPr>
            <w:tcW w:type="dxa" w:w="3300"/>
            <w:tcMar>
              <w:top w:type="dxa" w:w="100"/>
              <w:left w:type="dxa" w:w="120"/>
              <w:bottom w:type="dxa" w:w="100"/>
              <w:right w:type="dxa" w:w="120"/>
            </w:tcMar>
          </w:tcPr>
          <w:p>
            <w:r>
              <w:rPr>
                <w:b w:val="false"/>
                <w:bCs w:val="false"/>
                <w:color w:val="000000"/>
              </w:rPr>
              <w:t xml:space="preserve">InternetService_Fiber optic</w:t>
            </w:r>
          </w:p>
        </w:tc>
        <w:tc>
          <w:tcPr>
            <w:tcW w:type="dxa" w:w="1500"/>
            <w:tcMar>
              <w:top w:type="dxa" w:w="100"/>
              <w:left w:type="dxa" w:w="120"/>
              <w:bottom w:type="dxa" w:w="100"/>
              <w:right w:type="dxa" w:w="120"/>
            </w:tcMar>
          </w:tcPr>
          <w:p>
            <w:r>
              <w:rPr>
                <w:b w:val="false"/>
                <w:bCs w:val="false"/>
                <w:color w:val="000000"/>
              </w:rPr>
              <w:t xml:space="preserve">0.069</w:t>
            </w:r>
          </w:p>
        </w:tc>
        <w:tc>
          <w:tcPr>
            <w:tcW w:type="dxa" w:w="3850"/>
            <w:tcMar>
              <w:top w:type="dxa" w:w="100"/>
              <w:left w:type="dxa" w:w="120"/>
              <w:bottom w:type="dxa" w:w="100"/>
              <w:right w:type="dxa" w:w="120"/>
            </w:tcMar>
          </w:tcPr>
          <w:p>
            <w:r>
              <w:rPr>
                <w:b w:val="false"/>
                <w:bCs w:val="false"/>
                <w:color w:val="000000"/>
              </w:rPr>
              <w:t xml:space="preserve">Fiber customers churn more despite premium pricing</w:t>
            </w:r>
          </w:p>
        </w:tc>
      </w:tr>
      <w:tr>
        <w:tc>
          <w:tcPr>
            <w:tcW w:type="dxa" w:w="700"/>
            <w:tcMar>
              <w:top w:type="dxa" w:w="100"/>
              <w:left w:type="dxa" w:w="120"/>
              <w:bottom w:type="dxa" w:w="100"/>
              <w:right w:type="dxa" w:w="120"/>
            </w:tcMar>
          </w:tcPr>
          <w:p>
            <w:r>
              <w:rPr>
                <w:b w:val="false"/>
                <w:bCs w:val="false"/>
                <w:color w:val="000000"/>
              </w:rPr>
              <w:t xml:space="preserve">7</w:t>
            </w:r>
          </w:p>
        </w:tc>
        <w:tc>
          <w:tcPr>
            <w:tcW w:type="dxa" w:w="3300"/>
            <w:tcMar>
              <w:top w:type="dxa" w:w="100"/>
              <w:left w:type="dxa" w:w="120"/>
              <w:bottom w:type="dxa" w:w="100"/>
              <w:right w:type="dxa" w:w="120"/>
            </w:tcMar>
          </w:tcPr>
          <w:p>
            <w:r>
              <w:rPr>
                <w:b w:val="false"/>
                <w:bCs w:val="false"/>
                <w:color w:val="000000"/>
              </w:rPr>
              <w:t xml:space="preserve">TenureGroup</w:t>
            </w:r>
          </w:p>
        </w:tc>
        <w:tc>
          <w:tcPr>
            <w:tcW w:type="dxa" w:w="1500"/>
            <w:tcMar>
              <w:top w:type="dxa" w:w="100"/>
              <w:left w:type="dxa" w:w="120"/>
              <w:bottom w:type="dxa" w:w="100"/>
              <w:right w:type="dxa" w:w="120"/>
            </w:tcMar>
          </w:tcPr>
          <w:p>
            <w:r>
              <w:rPr>
                <w:b w:val="false"/>
                <w:bCs w:val="false"/>
                <w:color w:val="000000"/>
              </w:rPr>
              <w:t xml:space="preserve">0.065</w:t>
            </w:r>
          </w:p>
        </w:tc>
        <w:tc>
          <w:tcPr>
            <w:tcW w:type="dxa" w:w="3850"/>
            <w:tcMar>
              <w:top w:type="dxa" w:w="100"/>
              <w:left w:type="dxa" w:w="120"/>
              <w:bottom w:type="dxa" w:w="100"/>
              <w:right w:type="dxa" w:w="120"/>
            </w:tcMar>
          </w:tcPr>
          <w:p>
            <w:r>
              <w:rPr>
                <w:b w:val="false"/>
                <w:bCs w:val="false"/>
                <w:color w:val="000000"/>
              </w:rPr>
              <w:t xml:space="preserve">Engineered feature — confirms tenure's non-linear effect</w:t>
            </w:r>
          </w:p>
        </w:tc>
      </w:tr>
      <w:tr>
        <w:tc>
          <w:tcPr>
            <w:tcW w:type="dxa" w:w="700"/>
            <w:tcMar>
              <w:top w:type="dxa" w:w="100"/>
              <w:left w:type="dxa" w:w="120"/>
              <w:bottom w:type="dxa" w:w="100"/>
              <w:right w:type="dxa" w:w="120"/>
            </w:tcMar>
          </w:tcPr>
          <w:p>
            <w:r>
              <w:rPr>
                <w:b w:val="false"/>
                <w:bCs w:val="false"/>
                <w:color w:val="000000"/>
              </w:rPr>
              <w:t xml:space="preserve">8</w:t>
            </w:r>
          </w:p>
        </w:tc>
        <w:tc>
          <w:tcPr>
            <w:tcW w:type="dxa" w:w="3300"/>
            <w:tcMar>
              <w:top w:type="dxa" w:w="100"/>
              <w:left w:type="dxa" w:w="120"/>
              <w:bottom w:type="dxa" w:w="100"/>
              <w:right w:type="dxa" w:w="120"/>
            </w:tcMar>
          </w:tcPr>
          <w:p>
            <w:r>
              <w:rPr>
                <w:b w:val="false"/>
                <w:bCs w:val="false"/>
                <w:color w:val="000000"/>
              </w:rPr>
              <w:t xml:space="preserve">NumServicesSubscribed</w:t>
            </w:r>
          </w:p>
        </w:tc>
        <w:tc>
          <w:tcPr>
            <w:tcW w:type="dxa" w:w="1500"/>
            <w:tcMar>
              <w:top w:type="dxa" w:w="100"/>
              <w:left w:type="dxa" w:w="120"/>
              <w:bottom w:type="dxa" w:w="100"/>
              <w:right w:type="dxa" w:w="120"/>
            </w:tcMar>
          </w:tcPr>
          <w:p>
            <w:r>
              <w:rPr>
                <w:b w:val="false"/>
                <w:bCs w:val="false"/>
                <w:color w:val="000000"/>
              </w:rPr>
              <w:t xml:space="preserve">0.041</w:t>
            </w:r>
          </w:p>
        </w:tc>
        <w:tc>
          <w:tcPr>
            <w:tcW w:type="dxa" w:w="3850"/>
            <w:tcMar>
              <w:top w:type="dxa" w:w="100"/>
              <w:left w:type="dxa" w:w="120"/>
              <w:bottom w:type="dxa" w:w="100"/>
              <w:right w:type="dxa" w:w="120"/>
            </w:tcMar>
          </w:tcPr>
          <w:p>
            <w:r>
              <w:rPr>
                <w:b w:val="false"/>
                <w:bCs w:val="false"/>
                <w:color w:val="000000"/>
              </w:rPr>
              <w:t xml:space="preserve">Engineered feature — fewer services, less “anchoring”</w:t>
            </w:r>
          </w:p>
        </w:tc>
      </w:tr>
      <w:tr>
        <w:tc>
          <w:tcPr>
            <w:tcW w:type="dxa" w:w="700"/>
            <w:tcMar>
              <w:top w:type="dxa" w:w="100"/>
              <w:left w:type="dxa" w:w="120"/>
              <w:bottom w:type="dxa" w:w="100"/>
              <w:right w:type="dxa" w:w="120"/>
            </w:tcMar>
          </w:tcPr>
          <w:p>
            <w:r>
              <w:rPr>
                <w:b w:val="false"/>
                <w:bCs w:val="false"/>
                <w:color w:val="000000"/>
              </w:rPr>
              <w:t xml:space="preserve">9</w:t>
            </w:r>
          </w:p>
        </w:tc>
        <w:tc>
          <w:tcPr>
            <w:tcW w:type="dxa" w:w="3300"/>
            <w:tcMar>
              <w:top w:type="dxa" w:w="100"/>
              <w:left w:type="dxa" w:w="120"/>
              <w:bottom w:type="dxa" w:w="100"/>
              <w:right w:type="dxa" w:w="120"/>
            </w:tcMar>
          </w:tcPr>
          <w:p>
            <w:r>
              <w:rPr>
                <w:b w:val="false"/>
                <w:bCs w:val="false"/>
                <w:color w:val="000000"/>
              </w:rPr>
              <w:t xml:space="preserve">PaymentMethod_Electronic check</w:t>
            </w:r>
          </w:p>
        </w:tc>
        <w:tc>
          <w:tcPr>
            <w:tcW w:type="dxa" w:w="1500"/>
            <w:tcMar>
              <w:top w:type="dxa" w:w="100"/>
              <w:left w:type="dxa" w:w="120"/>
              <w:bottom w:type="dxa" w:w="100"/>
              <w:right w:type="dxa" w:w="120"/>
            </w:tcMar>
          </w:tcPr>
          <w:p>
            <w:r>
              <w:rPr>
                <w:b w:val="false"/>
                <w:bCs w:val="false"/>
                <w:color w:val="000000"/>
              </w:rPr>
              <w:t xml:space="preserve">0.032</w:t>
            </w:r>
          </w:p>
        </w:tc>
        <w:tc>
          <w:tcPr>
            <w:tcW w:type="dxa" w:w="3850"/>
            <w:tcMar>
              <w:top w:type="dxa" w:w="100"/>
              <w:left w:type="dxa" w:w="120"/>
              <w:bottom w:type="dxa" w:w="100"/>
              <w:right w:type="dxa" w:w="120"/>
            </w:tcMar>
          </w:tcPr>
          <w:p>
            <w:r>
              <w:rPr>
                <w:b w:val="false"/>
                <w:bCs w:val="false"/>
                <w:color w:val="000000"/>
              </w:rPr>
              <w:t xml:space="preserve">Electronic check payers churn more than other payment methods</w:t>
            </w:r>
          </w:p>
        </w:tc>
      </w:tr>
      <w:tr>
        <w:tc>
          <w:tcPr>
            <w:tcW w:type="dxa" w:w="700"/>
            <w:tcMar>
              <w:top w:type="dxa" w:w="100"/>
              <w:left w:type="dxa" w:w="120"/>
              <w:bottom w:type="dxa" w:w="100"/>
              <w:right w:type="dxa" w:w="120"/>
            </w:tcMar>
          </w:tcPr>
          <w:p>
            <w:r>
              <w:rPr>
                <w:b w:val="false"/>
                <w:bCs w:val="false"/>
                <w:color w:val="000000"/>
              </w:rPr>
              <w:t xml:space="preserve">10</w:t>
            </w:r>
          </w:p>
        </w:tc>
        <w:tc>
          <w:tcPr>
            <w:tcW w:type="dxa" w:w="3300"/>
            <w:tcMar>
              <w:top w:type="dxa" w:w="100"/>
              <w:left w:type="dxa" w:w="120"/>
              <w:bottom w:type="dxa" w:w="100"/>
              <w:right w:type="dxa" w:w="120"/>
            </w:tcMar>
          </w:tcPr>
          <w:p>
            <w:r>
              <w:rPr>
                <w:b w:val="false"/>
                <w:bCs w:val="false"/>
                <w:color w:val="000000"/>
              </w:rPr>
              <w:t xml:space="preserve">InternetService_No</w:t>
            </w:r>
          </w:p>
        </w:tc>
        <w:tc>
          <w:tcPr>
            <w:tcW w:type="dxa" w:w="1500"/>
            <w:tcMar>
              <w:top w:type="dxa" w:w="100"/>
              <w:left w:type="dxa" w:w="120"/>
              <w:bottom w:type="dxa" w:w="100"/>
              <w:right w:type="dxa" w:w="120"/>
            </w:tcMar>
          </w:tcPr>
          <w:p>
            <w:r>
              <w:rPr>
                <w:b w:val="false"/>
                <w:bCs w:val="false"/>
                <w:color w:val="000000"/>
              </w:rPr>
              <w:t xml:space="preserve">0.030</w:t>
            </w:r>
          </w:p>
        </w:tc>
        <w:tc>
          <w:tcPr>
            <w:tcW w:type="dxa" w:w="3850"/>
            <w:tcMar>
              <w:top w:type="dxa" w:w="100"/>
              <w:left w:type="dxa" w:w="120"/>
              <w:bottom w:type="dxa" w:w="100"/>
              <w:right w:type="dxa" w:w="120"/>
            </w:tcMar>
          </w:tcPr>
          <w:p>
            <w:r>
              <w:rPr>
                <w:b w:val="false"/>
                <w:bCs w:val="false"/>
                <w:color w:val="000000"/>
              </w:rPr>
              <w:t xml:space="preserve">Customers without internet service churn less</w:t>
            </w:r>
          </w:p>
        </w:tc>
      </w:tr>
      <w:tr>
        <w:tc>
          <w:tcPr>
            <w:tcW w:type="dxa" w:w="700"/>
            <w:tcMar>
              <w:top w:type="dxa" w:w="100"/>
              <w:left w:type="dxa" w:w="120"/>
              <w:bottom w:type="dxa" w:w="100"/>
              <w:right w:type="dxa" w:w="120"/>
            </w:tcMar>
          </w:tcPr>
          <w:p>
            <w:r>
              <w:rPr>
                <w:b w:val="false"/>
                <w:bCs w:val="false"/>
                <w:color w:val="000000"/>
              </w:rPr>
              <w:t xml:space="preserve">11</w:t>
            </w:r>
          </w:p>
        </w:tc>
        <w:tc>
          <w:tcPr>
            <w:tcW w:type="dxa" w:w="3300"/>
            <w:tcMar>
              <w:top w:type="dxa" w:w="100"/>
              <w:left w:type="dxa" w:w="120"/>
              <w:bottom w:type="dxa" w:w="100"/>
              <w:right w:type="dxa" w:w="120"/>
            </w:tcMar>
          </w:tcPr>
          <w:p>
            <w:r>
              <w:rPr>
                <w:b w:val="false"/>
                <w:bCs w:val="false"/>
                <w:color w:val="000000"/>
              </w:rPr>
              <w:t xml:space="preserve">OnlineSecurity_Yes</w:t>
            </w:r>
          </w:p>
        </w:tc>
        <w:tc>
          <w:tcPr>
            <w:tcW w:type="dxa" w:w="1500"/>
            <w:tcMar>
              <w:top w:type="dxa" w:w="100"/>
              <w:left w:type="dxa" w:w="120"/>
              <w:bottom w:type="dxa" w:w="100"/>
              <w:right w:type="dxa" w:w="120"/>
            </w:tcMar>
          </w:tcPr>
          <w:p>
            <w:r>
              <w:rPr>
                <w:b w:val="false"/>
                <w:bCs w:val="false"/>
                <w:color w:val="000000"/>
              </w:rPr>
              <w:t xml:space="preserve">0.029</w:t>
            </w:r>
          </w:p>
        </w:tc>
        <w:tc>
          <w:tcPr>
            <w:tcW w:type="dxa" w:w="3850"/>
            <w:tcMar>
              <w:top w:type="dxa" w:w="100"/>
              <w:left w:type="dxa" w:w="120"/>
              <w:bottom w:type="dxa" w:w="100"/>
              <w:right w:type="dxa" w:w="120"/>
            </w:tcMar>
          </w:tcPr>
          <w:p>
            <w:r>
              <w:rPr>
                <w:b w:val="false"/>
                <w:bCs w:val="false"/>
                <w:color w:val="000000"/>
              </w:rPr>
              <w:t xml:space="preserve">Having security add-ons associates with lower churn</w:t>
            </w:r>
          </w:p>
        </w:tc>
      </w:tr>
      <w:tr>
        <w:tc>
          <w:tcPr>
            <w:tcW w:type="dxa" w:w="700"/>
            <w:tcMar>
              <w:top w:type="dxa" w:w="100"/>
              <w:left w:type="dxa" w:w="120"/>
              <w:bottom w:type="dxa" w:w="100"/>
              <w:right w:type="dxa" w:w="120"/>
            </w:tcMar>
          </w:tcPr>
          <w:p>
            <w:r>
              <w:rPr>
                <w:b w:val="false"/>
                <w:bCs w:val="false"/>
                <w:color w:val="000000"/>
              </w:rPr>
              <w:t xml:space="preserve">12</w:t>
            </w:r>
          </w:p>
        </w:tc>
        <w:tc>
          <w:tcPr>
            <w:tcW w:type="dxa" w:w="3300"/>
            <w:tcMar>
              <w:top w:type="dxa" w:w="100"/>
              <w:left w:type="dxa" w:w="120"/>
              <w:bottom w:type="dxa" w:w="100"/>
              <w:right w:type="dxa" w:w="120"/>
            </w:tcMar>
          </w:tcPr>
          <w:p>
            <w:r>
              <w:rPr>
                <w:b w:val="false"/>
                <w:bCs w:val="false"/>
                <w:color w:val="000000"/>
              </w:rPr>
              <w:t xml:space="preserve">Dependents</w:t>
            </w:r>
          </w:p>
        </w:tc>
        <w:tc>
          <w:tcPr>
            <w:tcW w:type="dxa" w:w="1500"/>
            <w:tcMar>
              <w:top w:type="dxa" w:w="100"/>
              <w:left w:type="dxa" w:w="120"/>
              <w:bottom w:type="dxa" w:w="100"/>
              <w:right w:type="dxa" w:w="120"/>
            </w:tcMar>
          </w:tcPr>
          <w:p>
            <w:r>
              <w:rPr>
                <w:b w:val="false"/>
                <w:bCs w:val="false"/>
                <w:color w:val="000000"/>
              </w:rPr>
              <w:t xml:space="preserve">0.025</w:t>
            </w:r>
          </w:p>
        </w:tc>
        <w:tc>
          <w:tcPr>
            <w:tcW w:type="dxa" w:w="3850"/>
            <w:tcMar>
              <w:top w:type="dxa" w:w="100"/>
              <w:left w:type="dxa" w:w="120"/>
              <w:bottom w:type="dxa" w:w="100"/>
              <w:right w:type="dxa" w:w="120"/>
            </w:tcMar>
          </w:tcPr>
          <w:p>
            <w:r>
              <w:rPr>
                <w:b w:val="false"/>
                <w:bCs w:val="false"/>
                <w:color w:val="000000"/>
              </w:rPr>
              <w:t xml:space="preserve">Customers with dependents churn slightly less</w:t>
            </w:r>
          </w:p>
        </w:tc>
      </w:tr>
    </w:tbl>
    <w:p>
      <w:pPr>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857500"/>
                    </a:xfrm>
                    <a:prstGeom prst="rect">
                      <a:avLst/>
                    </a:prstGeom>
                  </pic:spPr>
                </pic:pic>
              </a:graphicData>
            </a:graphic>
          </wp:inline>
        </w:drawing>
      </w:r>
    </w:p>
    <w:p>
      <w:pPr>
        <w:spacing w:after="300"/>
        <w:jc w:val="center"/>
      </w:pPr>
      <w:r>
        <w:rPr>
          <w:i/>
          <w:iCs/>
          <w:color w:val="555555"/>
          <w:sz w:val="18"/>
          <w:szCs w:val="18"/>
        </w:rPr>
        <w:t xml:space="preserve">Figure 1. Top 12 features by Random Forest importance.</w:t>
      </w:r>
    </w:p>
    <w:p>
      <w:pPr>
        <w:pStyle w:val="Heading1"/>
        <w:spacing w:after="160" w:before="320"/>
      </w:pPr>
      <w:r>
        <w:t xml:space="preserve">3. Discussion</w:t>
      </w:r>
    </w:p>
    <w:p>
      <w:pPr>
        <w:spacing w:after="160"/>
      </w:pPr>
      <w:r>
        <w:t xml:space="preserve">The top two features — Contract and tenure — together account for roughly 31% of total importance, confirming that commitment length and customer lifecycle stage are the dominant churn drivers, well ahead of any single service or demographic attribute. This is consistent with the exploratory analysis from Week 1-2, where churn rate dropped from 47.4% for customers in their first year to 9.5% for customers with 4+ years of tenure.</w:t>
      </w:r>
    </w:p>
    <w:p>
      <w:pPr>
        <w:spacing w:after="160"/>
      </w:pPr>
      <w:r>
        <w:t xml:space="preserve">Both features engineered during Week 2 preprocessing — AvgChargePerService (rank 4) and TenureGroup (rank 7) — rank in the top 7, alongside their raw counterparts (MonthlyCharges, TotalCharges, tenure). This cross-validates the feature engineering decisions: the engineered features captured genuine, non-redundant predictive signal rather than simply duplicating information already present in the raw columns.</w:t>
      </w:r>
    </w:p>
    <w:p>
      <w:pPr>
        <w:spacing w:after="160"/>
      </w:pPr>
      <w:r>
        <w:t xml:space="preserve">Billing and service-quality signals form a second tier of importance: MonthlyCharges, TotalCharges, and fiber internet service all rank in the top 6, suggesting price sensitivity and/or service-quality perception play a meaningful secondary role. Notably, fiber-optic customers churn more despite paying a premium — a pattern worth investigating further (e.g. service reliability, competitor pricing for fiber plans).</w:t>
      </w:r>
    </w:p>
    <w:p>
      <w:pPr>
        <w:pStyle w:val="Heading1"/>
        <w:spacing w:after="160" w:before="320"/>
      </w:pPr>
      <w:r>
        <w:t xml:space="preserve">4. Business Interpretation &amp; Recommendations</w:t>
      </w:r>
    </w:p>
    <w:p>
      <w:pPr>
        <w:pStyle w:val="ListParagraph"/>
        <w:numPr>
          <w:ilvl w:val="0"/>
          <w:numId w:val="1"/>
        </w:numPr>
        <w:spacing w:after="80"/>
      </w:pPr>
      <w:r>
        <w:t xml:space="preserve">Contract-upgrade incentives: since Contract is the single strongest predictor, offering discounts or perks for upgrading from month-to-month to 1-2 year contracts is likely the highest-leverage retention action available.</w:t>
      </w:r>
    </w:p>
    <w:p>
      <w:pPr>
        <w:pStyle w:val="ListParagraph"/>
        <w:numPr>
          <w:ilvl w:val="0"/>
          <w:numId w:val="1"/>
        </w:numPr>
        <w:spacing w:after="80"/>
      </w:pPr>
      <w:r>
        <w:t xml:space="preserve">Early-tenure retention program: given how strongly tenure predicts churn, a structured onboarding and check-in program for customers in their first 12 months could directly address the highest-risk segment.</w:t>
      </w:r>
    </w:p>
    <w:p>
      <w:pPr>
        <w:pStyle w:val="ListParagraph"/>
        <w:numPr>
          <w:ilvl w:val="0"/>
          <w:numId w:val="1"/>
        </w:numPr>
        <w:spacing w:after="80"/>
      </w:pPr>
      <w:r>
        <w:t xml:space="preserve">Investigate fiber service quality: fiber customers churning more despite higher spend suggests a service-quality or expectation gap worth a dedicated customer-experience review.</w:t>
      </w:r>
    </w:p>
    <w:p>
      <w:pPr>
        <w:pStyle w:val="ListParagraph"/>
        <w:numPr>
          <w:ilvl w:val="0"/>
          <w:numId w:val="1"/>
        </w:numPr>
        <w:spacing w:after="80"/>
      </w:pPr>
      <w:r>
        <w:t xml:space="preserve">Electronic check payers as a secondary target: this payment method's association with higher churn may reflect a less “locked-in” customer relationship (e.g. no auto-pay commitment) and could be targeted with auto-pay enrollment incentives.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1a1c4b83ab1ba86c4db7b9288689536c81162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2026-08-23T00:58:11.469Z</dcterms:created>
  <dcterms:modified xsi:type="dcterms:W3CDTF">2026-08-23T00:58:11.469Z</dcterms:modified>
</cp:coreProperties>
</file>

<file path=docProps/custom.xml><?xml version="1.0" encoding="utf-8"?>
<Properties xmlns="http://schemas.openxmlformats.org/officeDocument/2006/custom-properties" xmlns:vt="http://schemas.openxmlformats.org/officeDocument/2006/docPropsVTypes"/>
</file>