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E75B6"/>
          <w:sz w:val="20"/>
          <w:szCs w:val="20"/>
        </w:rPr>
        <w:t xml:space="preserve">ANALYSTLAB AFRICA</w:t>
      </w:r>
    </w:p>
    <w:p>
      <w:pPr>
        <w:spacing w:after="400"/>
      </w:pPr>
      <w:r>
        <w:rPr>
          <w:sz w:val="20"/>
          <w:szCs w:val="20"/>
        </w:rPr>
        <w:t xml:space="preserve">Machine Learning Internship Programme — Week 3</w:t>
      </w:r>
    </w:p>
    <w:p>
      <w:pPr>
        <w:spacing w:after="120"/>
      </w:pPr>
      <w:r>
        <w:rPr>
          <w:b/>
          <w:bCs/>
          <w:color w:val="1F3864"/>
          <w:sz w:val="40"/>
          <w:szCs w:val="40"/>
        </w:rPr>
        <w:t xml:space="preserve">Model Evaluation &amp; Feature Importance Report</w:t>
      </w:r>
    </w:p>
    <w:p>
      <w:pPr>
        <w:spacing w:after="400"/>
      </w:pPr>
      <w:r>
        <w:rPr>
          <w:i/>
          <w:iCs/>
          <w:color w:val="2E75B6"/>
          <w:sz w:val="24"/>
          <w:szCs w:val="24"/>
        </w:rPr>
        <w:t xml:space="preserve">Customer Churn Prediction — Technical Evaluation</w:t>
      </w:r>
    </w:p>
    <w:p>
      <w:pPr>
        <w:pStyle w:val="Heading1"/>
        <w:spacing w:after="160" w:before="320"/>
      </w:pPr>
      <w:r>
        <w:t xml:space="preserve">1. Evaluation Setup</w:t>
      </w:r>
    </w:p>
    <w:p>
      <w:pPr>
        <w:spacing w:after="160"/>
      </w:pPr>
      <w:r>
        <w:t xml:space="preserve">Five models were trained on a SMOTE-balanced training set (8,278 rows, 50/50 class split) and evaluated on an untouched, stratified test set (1,409 rows, retaining the real 73.5%/26.5% class distribution). Five metrics were computed for each model: Accuracy, Precision, Recall, F1-score, and ROC-AUC.</w:t>
      </w:r>
    </w:p>
    <w:p>
      <w:pPr>
        <w:pStyle w:val="Heading1"/>
        <w:spacing w:after="160" w:before="320"/>
      </w:pPr>
      <w:r>
        <w:t xml:space="preserve">2. Full Results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50"/>
        <w:gridCol w:w="1000"/>
        <w:gridCol w:w="900"/>
        <w:gridCol w:w="1100"/>
        <w:gridCol w:w="1900"/>
      </w:tblGrid>
      <w:tr>
        <w:tc>
          <w:tcPr>
            <w:tcW w:type="dxa" w:w="2200"/>
            <w:shd w:fill="1F3864" w:val="clear"/>
            <w:tcMar>
              <w:top w:type="dxa" w:w="100"/>
              <w:left w:type="dxa" w:w="120"/>
              <w:bottom w:type="dxa" w:w="100"/>
              <w:right w:type="dxa" w:w="120"/>
            </w:tcMar>
          </w:tcPr>
          <w:p>
            <w:r>
              <w:rPr>
                <w:b/>
                <w:bCs/>
                <w:color w:val="FFFFFF"/>
              </w:rPr>
              <w:t xml:space="preserve">Model</w:t>
            </w:r>
          </w:p>
        </w:tc>
        <w:tc>
          <w:tcPr>
            <w:tcW w:type="dxa" w:w="1100"/>
            <w:shd w:fill="1F3864" w:val="clear"/>
            <w:tcMar>
              <w:top w:type="dxa" w:w="100"/>
              <w:left w:type="dxa" w:w="120"/>
              <w:bottom w:type="dxa" w:w="100"/>
              <w:right w:type="dxa" w:w="120"/>
            </w:tcMar>
          </w:tcPr>
          <w:p>
            <w:r>
              <w:rPr>
                <w:b/>
                <w:bCs/>
                <w:color w:val="FFFFFF"/>
              </w:rPr>
              <w:t xml:space="preserve">Accuracy</w:t>
            </w:r>
          </w:p>
        </w:tc>
        <w:tc>
          <w:tcPr>
            <w:tcW w:type="dxa" w:w="1150"/>
            <w:shd w:fill="1F3864" w:val="clear"/>
            <w:tcMar>
              <w:top w:type="dxa" w:w="100"/>
              <w:left w:type="dxa" w:w="120"/>
              <w:bottom w:type="dxa" w:w="100"/>
              <w:right w:type="dxa" w:w="120"/>
            </w:tcMar>
          </w:tcPr>
          <w:p>
            <w:r>
              <w:rPr>
                <w:b/>
                <w:bCs/>
                <w:color w:val="FFFFFF"/>
              </w:rPr>
              <w:t xml:space="preserve">Precision</w:t>
            </w:r>
          </w:p>
        </w:tc>
        <w:tc>
          <w:tcPr>
            <w:tcW w:type="dxa" w:w="1000"/>
            <w:shd w:fill="1F3864" w:val="clear"/>
            <w:tcMar>
              <w:top w:type="dxa" w:w="100"/>
              <w:left w:type="dxa" w:w="120"/>
              <w:bottom w:type="dxa" w:w="100"/>
              <w:right w:type="dxa" w:w="120"/>
            </w:tcMar>
          </w:tcPr>
          <w:p>
            <w:r>
              <w:rPr>
                <w:b/>
                <w:bCs/>
                <w:color w:val="FFFFFF"/>
              </w:rPr>
              <w:t xml:space="preserve">Recall</w:t>
            </w:r>
          </w:p>
        </w:tc>
        <w:tc>
          <w:tcPr>
            <w:tcW w:type="dxa" w:w="900"/>
            <w:shd w:fill="1F3864" w:val="clear"/>
            <w:tcMar>
              <w:top w:type="dxa" w:w="100"/>
              <w:left w:type="dxa" w:w="120"/>
              <w:bottom w:type="dxa" w:w="100"/>
              <w:right w:type="dxa" w:w="120"/>
            </w:tcMar>
          </w:tcPr>
          <w:p>
            <w:r>
              <w:rPr>
                <w:b/>
                <w:bCs/>
                <w:color w:val="FFFFFF"/>
              </w:rPr>
              <w:t xml:space="preserve">F1</w:t>
            </w:r>
          </w:p>
        </w:tc>
        <w:tc>
          <w:tcPr>
            <w:tcW w:type="dxa" w:w="1100"/>
            <w:shd w:fill="1F3864" w:val="clear"/>
            <w:tcMar>
              <w:top w:type="dxa" w:w="100"/>
              <w:left w:type="dxa" w:w="120"/>
              <w:bottom w:type="dxa" w:w="100"/>
              <w:right w:type="dxa" w:w="120"/>
            </w:tcMar>
          </w:tcPr>
          <w:p>
            <w:r>
              <w:rPr>
                <w:b/>
                <w:bCs/>
                <w:color w:val="FFFFFF"/>
              </w:rPr>
              <w:t xml:space="preserve">ROC-AUC</w:t>
            </w:r>
          </w:p>
        </w:tc>
        <w:tc>
          <w:tcPr>
            <w:tcW w:type="dxa" w:w="1900"/>
            <w:shd w:fill="1F3864" w:val="clear"/>
            <w:tcMar>
              <w:top w:type="dxa" w:w="100"/>
              <w:left w:type="dxa" w:w="120"/>
              <w:bottom w:type="dxa" w:w="100"/>
              <w:right w:type="dxa" w:w="120"/>
            </w:tcMar>
          </w:tcPr>
          <w:p>
            <w:r>
              <w:rPr>
                <w:b/>
                <w:bCs/>
                <w:color w:val="FFFFFF"/>
              </w:rPr>
              <w:t xml:space="preserve">Train Time (s)</w:t>
            </w:r>
          </w:p>
        </w:tc>
      </w:tr>
      <w:tr>
        <w:tc>
          <w:tcPr>
            <w:tcW w:type="dxa" w:w="2200"/>
            <w:tcMar>
              <w:top w:type="dxa" w:w="100"/>
              <w:left w:type="dxa" w:w="120"/>
              <w:bottom w:type="dxa" w:w="100"/>
              <w:right w:type="dxa" w:w="120"/>
            </w:tcMar>
          </w:tcPr>
          <w:p>
            <w:r>
              <w:rPr>
                <w:b w:val="false"/>
                <w:bCs w:val="false"/>
                <w:color w:val="000000"/>
              </w:rPr>
              <w:t xml:space="preserve">Random Forest</w:t>
            </w:r>
          </w:p>
        </w:tc>
        <w:tc>
          <w:tcPr>
            <w:tcW w:type="dxa" w:w="1100"/>
            <w:tcMar>
              <w:top w:type="dxa" w:w="100"/>
              <w:left w:type="dxa" w:w="120"/>
              <w:bottom w:type="dxa" w:w="100"/>
              <w:right w:type="dxa" w:w="120"/>
            </w:tcMar>
          </w:tcPr>
          <w:p>
            <w:r>
              <w:rPr>
                <w:b w:val="false"/>
                <w:bCs w:val="false"/>
                <w:color w:val="000000"/>
              </w:rPr>
              <w:t xml:space="preserve">0.761</w:t>
            </w:r>
          </w:p>
        </w:tc>
        <w:tc>
          <w:tcPr>
            <w:tcW w:type="dxa" w:w="1150"/>
            <w:tcMar>
              <w:top w:type="dxa" w:w="100"/>
              <w:left w:type="dxa" w:w="120"/>
              <w:bottom w:type="dxa" w:w="100"/>
              <w:right w:type="dxa" w:w="120"/>
            </w:tcMar>
          </w:tcPr>
          <w:p>
            <w:r>
              <w:rPr>
                <w:b w:val="false"/>
                <w:bCs w:val="false"/>
                <w:color w:val="000000"/>
              </w:rPr>
              <w:t xml:space="preserve">0.536</w:t>
            </w:r>
          </w:p>
        </w:tc>
        <w:tc>
          <w:tcPr>
            <w:tcW w:type="dxa" w:w="1000"/>
            <w:tcMar>
              <w:top w:type="dxa" w:w="100"/>
              <w:left w:type="dxa" w:w="120"/>
              <w:bottom w:type="dxa" w:w="100"/>
              <w:right w:type="dxa" w:w="120"/>
            </w:tcMar>
          </w:tcPr>
          <w:p>
            <w:r>
              <w:rPr>
                <w:b w:val="false"/>
                <w:bCs w:val="false"/>
                <w:color w:val="000000"/>
              </w:rPr>
              <w:t xml:space="preserve">0.743</w:t>
            </w:r>
          </w:p>
        </w:tc>
        <w:tc>
          <w:tcPr>
            <w:tcW w:type="dxa" w:w="900"/>
            <w:tcMar>
              <w:top w:type="dxa" w:w="100"/>
              <w:left w:type="dxa" w:w="120"/>
              <w:bottom w:type="dxa" w:w="100"/>
              <w:right w:type="dxa" w:w="120"/>
            </w:tcMar>
          </w:tcPr>
          <w:p>
            <w:r>
              <w:rPr>
                <w:b w:val="false"/>
                <w:bCs w:val="false"/>
                <w:color w:val="000000"/>
              </w:rPr>
              <w:t xml:space="preserve">0.623</w:t>
            </w:r>
          </w:p>
        </w:tc>
        <w:tc>
          <w:tcPr>
            <w:tcW w:type="dxa" w:w="1100"/>
            <w:tcMar>
              <w:top w:type="dxa" w:w="100"/>
              <w:left w:type="dxa" w:w="120"/>
              <w:bottom w:type="dxa" w:w="100"/>
              <w:right w:type="dxa" w:w="120"/>
            </w:tcMar>
          </w:tcPr>
          <w:p>
            <w:r>
              <w:rPr>
                <w:b w:val="false"/>
                <w:bCs w:val="false"/>
                <w:color w:val="000000"/>
              </w:rPr>
              <w:t xml:space="preserve">0.836</w:t>
            </w:r>
          </w:p>
        </w:tc>
        <w:tc>
          <w:tcPr>
            <w:tcW w:type="dxa" w:w="1900"/>
            <w:tcMar>
              <w:top w:type="dxa" w:w="100"/>
              <w:left w:type="dxa" w:w="120"/>
              <w:bottom w:type="dxa" w:w="100"/>
              <w:right w:type="dxa" w:w="120"/>
            </w:tcMar>
          </w:tcPr>
          <w:p>
            <w:r>
              <w:rPr>
                <w:b w:val="false"/>
                <w:bCs w:val="false"/>
                <w:color w:val="000000"/>
              </w:rPr>
              <w:t xml:space="preserve">2.17</w:t>
            </w:r>
          </w:p>
        </w:tc>
      </w:tr>
      <w:tr>
        <w:tc>
          <w:tcPr>
            <w:tcW w:type="dxa" w:w="2200"/>
            <w:tcMar>
              <w:top w:type="dxa" w:w="100"/>
              <w:left w:type="dxa" w:w="120"/>
              <w:bottom w:type="dxa" w:w="100"/>
              <w:right w:type="dxa" w:w="120"/>
            </w:tcMar>
          </w:tcPr>
          <w:p>
            <w:r>
              <w:rPr>
                <w:b w:val="false"/>
                <w:bCs w:val="false"/>
                <w:color w:val="000000"/>
              </w:rPr>
              <w:t xml:space="preserve">Logistic Regression</w:t>
            </w:r>
          </w:p>
        </w:tc>
        <w:tc>
          <w:tcPr>
            <w:tcW w:type="dxa" w:w="1100"/>
            <w:tcMar>
              <w:top w:type="dxa" w:w="100"/>
              <w:left w:type="dxa" w:w="120"/>
              <w:bottom w:type="dxa" w:w="100"/>
              <w:right w:type="dxa" w:w="120"/>
            </w:tcMar>
          </w:tcPr>
          <w:p>
            <w:r>
              <w:rPr>
                <w:b w:val="false"/>
                <w:bCs w:val="false"/>
                <w:color w:val="000000"/>
              </w:rPr>
              <w:t xml:space="preserve">0.764</w:t>
            </w:r>
          </w:p>
        </w:tc>
        <w:tc>
          <w:tcPr>
            <w:tcW w:type="dxa" w:w="1150"/>
            <w:tcMar>
              <w:top w:type="dxa" w:w="100"/>
              <w:left w:type="dxa" w:w="120"/>
              <w:bottom w:type="dxa" w:w="100"/>
              <w:right w:type="dxa" w:w="120"/>
            </w:tcMar>
          </w:tcPr>
          <w:p>
            <w:r>
              <w:rPr>
                <w:b w:val="false"/>
                <w:bCs w:val="false"/>
                <w:color w:val="000000"/>
              </w:rPr>
              <w:t xml:space="preserve">0.543</w:t>
            </w:r>
          </w:p>
        </w:tc>
        <w:tc>
          <w:tcPr>
            <w:tcW w:type="dxa" w:w="1000"/>
            <w:tcMar>
              <w:top w:type="dxa" w:w="100"/>
              <w:left w:type="dxa" w:w="120"/>
              <w:bottom w:type="dxa" w:w="100"/>
              <w:right w:type="dxa" w:w="120"/>
            </w:tcMar>
          </w:tcPr>
          <w:p>
            <w:r>
              <w:rPr>
                <w:b w:val="false"/>
                <w:bCs w:val="false"/>
                <w:color w:val="000000"/>
              </w:rPr>
              <w:t xml:space="preserve">0.711</w:t>
            </w:r>
          </w:p>
        </w:tc>
        <w:tc>
          <w:tcPr>
            <w:tcW w:type="dxa" w:w="900"/>
            <w:tcMar>
              <w:top w:type="dxa" w:w="100"/>
              <w:left w:type="dxa" w:w="120"/>
              <w:bottom w:type="dxa" w:w="100"/>
              <w:right w:type="dxa" w:w="120"/>
            </w:tcMar>
          </w:tcPr>
          <w:p>
            <w:r>
              <w:rPr>
                <w:b w:val="false"/>
                <w:bCs w:val="false"/>
                <w:color w:val="000000"/>
              </w:rPr>
              <w:t xml:space="preserve">0.616</w:t>
            </w:r>
          </w:p>
        </w:tc>
        <w:tc>
          <w:tcPr>
            <w:tcW w:type="dxa" w:w="1100"/>
            <w:tcMar>
              <w:top w:type="dxa" w:w="100"/>
              <w:left w:type="dxa" w:w="120"/>
              <w:bottom w:type="dxa" w:w="100"/>
              <w:right w:type="dxa" w:w="120"/>
            </w:tcMar>
          </w:tcPr>
          <w:p>
            <w:r>
              <w:rPr>
                <w:b w:val="false"/>
                <w:bCs w:val="false"/>
                <w:color w:val="000000"/>
              </w:rPr>
              <w:t xml:space="preserve">0.832</w:t>
            </w:r>
          </w:p>
        </w:tc>
        <w:tc>
          <w:tcPr>
            <w:tcW w:type="dxa" w:w="1900"/>
            <w:tcMar>
              <w:top w:type="dxa" w:w="100"/>
              <w:left w:type="dxa" w:w="120"/>
              <w:bottom w:type="dxa" w:w="100"/>
              <w:right w:type="dxa" w:w="120"/>
            </w:tcMar>
          </w:tcPr>
          <w:p>
            <w:r>
              <w:rPr>
                <w:b w:val="false"/>
                <w:bCs w:val="false"/>
                <w:color w:val="000000"/>
              </w:rPr>
              <w:t xml:space="preserve">0.04</w:t>
            </w:r>
          </w:p>
        </w:tc>
      </w:tr>
      <w:tr>
        <w:tc>
          <w:tcPr>
            <w:tcW w:type="dxa" w:w="2200"/>
            <w:tcMar>
              <w:top w:type="dxa" w:w="100"/>
              <w:left w:type="dxa" w:w="120"/>
              <w:bottom w:type="dxa" w:w="100"/>
              <w:right w:type="dxa" w:w="120"/>
            </w:tcMar>
          </w:tcPr>
          <w:p>
            <w:r>
              <w:rPr>
                <w:b w:val="false"/>
                <w:bCs w:val="false"/>
                <w:color w:val="000000"/>
              </w:rPr>
              <w:t xml:space="preserve">Gradient Boosting</w:t>
            </w:r>
          </w:p>
        </w:tc>
        <w:tc>
          <w:tcPr>
            <w:tcW w:type="dxa" w:w="1100"/>
            <w:tcMar>
              <w:top w:type="dxa" w:w="100"/>
              <w:left w:type="dxa" w:w="120"/>
              <w:bottom w:type="dxa" w:w="100"/>
              <w:right w:type="dxa" w:w="120"/>
            </w:tcMar>
          </w:tcPr>
          <w:p>
            <w:r>
              <w:rPr>
                <w:b w:val="false"/>
                <w:bCs w:val="false"/>
                <w:color w:val="000000"/>
              </w:rPr>
              <w:t xml:space="preserve">0.770</w:t>
            </w:r>
          </w:p>
        </w:tc>
        <w:tc>
          <w:tcPr>
            <w:tcW w:type="dxa" w:w="1150"/>
            <w:tcMar>
              <w:top w:type="dxa" w:w="100"/>
              <w:left w:type="dxa" w:w="120"/>
              <w:bottom w:type="dxa" w:w="100"/>
              <w:right w:type="dxa" w:w="120"/>
            </w:tcMar>
          </w:tcPr>
          <w:p>
            <w:r>
              <w:rPr>
                <w:b w:val="false"/>
                <w:bCs w:val="false"/>
                <w:color w:val="000000"/>
              </w:rPr>
              <w:t xml:space="preserve">0.551</w:t>
            </w:r>
          </w:p>
        </w:tc>
        <w:tc>
          <w:tcPr>
            <w:tcW w:type="dxa" w:w="1000"/>
            <w:tcMar>
              <w:top w:type="dxa" w:w="100"/>
              <w:left w:type="dxa" w:w="120"/>
              <w:bottom w:type="dxa" w:w="100"/>
              <w:right w:type="dxa" w:w="120"/>
            </w:tcMar>
          </w:tcPr>
          <w:p>
            <w:r>
              <w:rPr>
                <w:b w:val="false"/>
                <w:bCs w:val="false"/>
                <w:color w:val="000000"/>
              </w:rPr>
              <w:t xml:space="preserve">0.717</w:t>
            </w:r>
          </w:p>
        </w:tc>
        <w:tc>
          <w:tcPr>
            <w:tcW w:type="dxa" w:w="900"/>
            <w:tcMar>
              <w:top w:type="dxa" w:w="100"/>
              <w:left w:type="dxa" w:w="120"/>
              <w:bottom w:type="dxa" w:w="100"/>
              <w:right w:type="dxa" w:w="120"/>
            </w:tcMar>
          </w:tcPr>
          <w:p>
            <w:r>
              <w:rPr>
                <w:b w:val="false"/>
                <w:bCs w:val="false"/>
                <w:color w:val="000000"/>
              </w:rPr>
              <w:t xml:space="preserve">0.623</w:t>
            </w:r>
          </w:p>
        </w:tc>
        <w:tc>
          <w:tcPr>
            <w:tcW w:type="dxa" w:w="1100"/>
            <w:tcMar>
              <w:top w:type="dxa" w:w="100"/>
              <w:left w:type="dxa" w:w="120"/>
              <w:bottom w:type="dxa" w:w="100"/>
              <w:right w:type="dxa" w:w="120"/>
            </w:tcMar>
          </w:tcPr>
          <w:p>
            <w:r>
              <w:rPr>
                <w:b w:val="false"/>
                <w:bCs w:val="false"/>
                <w:color w:val="000000"/>
              </w:rPr>
              <w:t xml:space="preserve">0.830</w:t>
            </w:r>
          </w:p>
        </w:tc>
        <w:tc>
          <w:tcPr>
            <w:tcW w:type="dxa" w:w="1900"/>
            <w:tcMar>
              <w:top w:type="dxa" w:w="100"/>
              <w:left w:type="dxa" w:w="120"/>
              <w:bottom w:type="dxa" w:w="100"/>
              <w:right w:type="dxa" w:w="120"/>
            </w:tcMar>
          </w:tcPr>
          <w:p>
            <w:r>
              <w:rPr>
                <w:b w:val="false"/>
                <w:bCs w:val="false"/>
                <w:color w:val="000000"/>
              </w:rPr>
              <w:t xml:space="preserve">2.83</w:t>
            </w:r>
          </w:p>
        </w:tc>
      </w:tr>
      <w:tr>
        <w:tc>
          <w:tcPr>
            <w:tcW w:type="dxa" w:w="2200"/>
            <w:tcMar>
              <w:top w:type="dxa" w:w="100"/>
              <w:left w:type="dxa" w:w="120"/>
              <w:bottom w:type="dxa" w:w="100"/>
              <w:right w:type="dxa" w:w="120"/>
            </w:tcMar>
          </w:tcPr>
          <w:p>
            <w:r>
              <w:rPr>
                <w:b w:val="false"/>
                <w:bCs w:val="false"/>
                <w:color w:val="000000"/>
              </w:rPr>
              <w:t xml:space="preserve">XGBoost</w:t>
            </w:r>
          </w:p>
        </w:tc>
        <w:tc>
          <w:tcPr>
            <w:tcW w:type="dxa" w:w="1100"/>
            <w:tcMar>
              <w:top w:type="dxa" w:w="100"/>
              <w:left w:type="dxa" w:w="120"/>
              <w:bottom w:type="dxa" w:w="100"/>
              <w:right w:type="dxa" w:w="120"/>
            </w:tcMar>
          </w:tcPr>
          <w:p>
            <w:r>
              <w:rPr>
                <w:b w:val="false"/>
                <w:bCs w:val="false"/>
                <w:color w:val="000000"/>
              </w:rPr>
              <w:t xml:space="preserve">0.764</w:t>
            </w:r>
          </w:p>
        </w:tc>
        <w:tc>
          <w:tcPr>
            <w:tcW w:type="dxa" w:w="1150"/>
            <w:tcMar>
              <w:top w:type="dxa" w:w="100"/>
              <w:left w:type="dxa" w:w="120"/>
              <w:bottom w:type="dxa" w:w="100"/>
              <w:right w:type="dxa" w:w="120"/>
            </w:tcMar>
          </w:tcPr>
          <w:p>
            <w:r>
              <w:rPr>
                <w:b w:val="false"/>
                <w:bCs w:val="false"/>
                <w:color w:val="000000"/>
              </w:rPr>
              <w:t xml:space="preserve">0.547</w:t>
            </w:r>
          </w:p>
        </w:tc>
        <w:tc>
          <w:tcPr>
            <w:tcW w:type="dxa" w:w="1000"/>
            <w:tcMar>
              <w:top w:type="dxa" w:w="100"/>
              <w:left w:type="dxa" w:w="120"/>
              <w:bottom w:type="dxa" w:w="100"/>
              <w:right w:type="dxa" w:w="120"/>
            </w:tcMar>
          </w:tcPr>
          <w:p>
            <w:r>
              <w:rPr>
                <w:b w:val="false"/>
                <w:bCs w:val="false"/>
                <w:color w:val="000000"/>
              </w:rPr>
              <w:t xml:space="preserve">0.634</w:t>
            </w:r>
          </w:p>
        </w:tc>
        <w:tc>
          <w:tcPr>
            <w:tcW w:type="dxa" w:w="900"/>
            <w:tcMar>
              <w:top w:type="dxa" w:w="100"/>
              <w:left w:type="dxa" w:w="120"/>
              <w:bottom w:type="dxa" w:w="100"/>
              <w:right w:type="dxa" w:w="120"/>
            </w:tcMar>
          </w:tcPr>
          <w:p>
            <w:r>
              <w:rPr>
                <w:b w:val="false"/>
                <w:bCs w:val="false"/>
                <w:color w:val="000000"/>
              </w:rPr>
              <w:t xml:space="preserve">0.587</w:t>
            </w:r>
          </w:p>
        </w:tc>
        <w:tc>
          <w:tcPr>
            <w:tcW w:type="dxa" w:w="1100"/>
            <w:tcMar>
              <w:top w:type="dxa" w:w="100"/>
              <w:left w:type="dxa" w:w="120"/>
              <w:bottom w:type="dxa" w:w="100"/>
              <w:right w:type="dxa" w:w="120"/>
            </w:tcMar>
          </w:tcPr>
          <w:p>
            <w:r>
              <w:rPr>
                <w:b w:val="false"/>
                <w:bCs w:val="false"/>
                <w:color w:val="000000"/>
              </w:rPr>
              <w:t xml:space="preserve">0.814</w:t>
            </w:r>
          </w:p>
        </w:tc>
        <w:tc>
          <w:tcPr>
            <w:tcW w:type="dxa" w:w="1900"/>
            <w:tcMar>
              <w:top w:type="dxa" w:w="100"/>
              <w:left w:type="dxa" w:w="120"/>
              <w:bottom w:type="dxa" w:w="100"/>
              <w:right w:type="dxa" w:w="120"/>
            </w:tcMar>
          </w:tcPr>
          <w:p>
            <w:r>
              <w:rPr>
                <w:b w:val="false"/>
                <w:bCs w:val="false"/>
                <w:color w:val="000000"/>
              </w:rPr>
              <w:t xml:space="preserve">0.37</w:t>
            </w:r>
          </w:p>
        </w:tc>
      </w:tr>
      <w:tr>
        <w:tc>
          <w:tcPr>
            <w:tcW w:type="dxa" w:w="2200"/>
            <w:tcMar>
              <w:top w:type="dxa" w:w="100"/>
              <w:left w:type="dxa" w:w="120"/>
              <w:bottom w:type="dxa" w:w="100"/>
              <w:right w:type="dxa" w:w="120"/>
            </w:tcMar>
          </w:tcPr>
          <w:p>
            <w:r>
              <w:rPr>
                <w:b w:val="false"/>
                <w:bCs w:val="false"/>
                <w:color w:val="000000"/>
              </w:rPr>
              <w:t xml:space="preserve">Decision Tree</w:t>
            </w:r>
          </w:p>
        </w:tc>
        <w:tc>
          <w:tcPr>
            <w:tcW w:type="dxa" w:w="1100"/>
            <w:tcMar>
              <w:top w:type="dxa" w:w="100"/>
              <w:left w:type="dxa" w:w="120"/>
              <w:bottom w:type="dxa" w:w="100"/>
              <w:right w:type="dxa" w:w="120"/>
            </w:tcMar>
          </w:tcPr>
          <w:p>
            <w:r>
              <w:rPr>
                <w:b w:val="false"/>
                <w:bCs w:val="false"/>
                <w:color w:val="000000"/>
              </w:rPr>
              <w:t xml:space="preserve">0.738</w:t>
            </w:r>
          </w:p>
        </w:tc>
        <w:tc>
          <w:tcPr>
            <w:tcW w:type="dxa" w:w="1150"/>
            <w:tcMar>
              <w:top w:type="dxa" w:w="100"/>
              <w:left w:type="dxa" w:w="120"/>
              <w:bottom w:type="dxa" w:w="100"/>
              <w:right w:type="dxa" w:w="120"/>
            </w:tcMar>
          </w:tcPr>
          <w:p>
            <w:r>
              <w:rPr>
                <w:b w:val="false"/>
                <w:bCs w:val="false"/>
                <w:color w:val="000000"/>
              </w:rPr>
              <w:t xml:space="preserve">0.505</w:t>
            </w:r>
          </w:p>
        </w:tc>
        <w:tc>
          <w:tcPr>
            <w:tcW w:type="dxa" w:w="1000"/>
            <w:tcMar>
              <w:top w:type="dxa" w:w="100"/>
              <w:left w:type="dxa" w:w="120"/>
              <w:bottom w:type="dxa" w:w="100"/>
              <w:right w:type="dxa" w:w="120"/>
            </w:tcMar>
          </w:tcPr>
          <w:p>
            <w:r>
              <w:rPr>
                <w:b w:val="false"/>
                <w:bCs w:val="false"/>
                <w:color w:val="000000"/>
              </w:rPr>
              <w:t xml:space="preserve">0.727</w:t>
            </w:r>
          </w:p>
        </w:tc>
        <w:tc>
          <w:tcPr>
            <w:tcW w:type="dxa" w:w="900"/>
            <w:tcMar>
              <w:top w:type="dxa" w:w="100"/>
              <w:left w:type="dxa" w:w="120"/>
              <w:bottom w:type="dxa" w:w="100"/>
              <w:right w:type="dxa" w:w="120"/>
            </w:tcMar>
          </w:tcPr>
          <w:p>
            <w:r>
              <w:rPr>
                <w:b w:val="false"/>
                <w:bCs w:val="false"/>
                <w:color w:val="000000"/>
              </w:rPr>
              <w:t xml:space="preserve">0.596</w:t>
            </w:r>
          </w:p>
        </w:tc>
        <w:tc>
          <w:tcPr>
            <w:tcW w:type="dxa" w:w="1100"/>
            <w:tcMar>
              <w:top w:type="dxa" w:w="100"/>
              <w:left w:type="dxa" w:w="120"/>
              <w:bottom w:type="dxa" w:w="100"/>
              <w:right w:type="dxa" w:w="120"/>
            </w:tcMar>
          </w:tcPr>
          <w:p>
            <w:r>
              <w:rPr>
                <w:b w:val="false"/>
                <w:bCs w:val="false"/>
                <w:color w:val="000000"/>
              </w:rPr>
              <w:t xml:space="preserve">0.783</w:t>
            </w:r>
          </w:p>
        </w:tc>
        <w:tc>
          <w:tcPr>
            <w:tcW w:type="dxa" w:w="1900"/>
            <w:tcMar>
              <w:top w:type="dxa" w:w="100"/>
              <w:left w:type="dxa" w:w="120"/>
              <w:bottom w:type="dxa" w:w="100"/>
              <w:right w:type="dxa" w:w="120"/>
            </w:tcMar>
          </w:tcPr>
          <w:p>
            <w:r>
              <w:rPr>
                <w:b w:val="false"/>
                <w:bCs w:val="false"/>
                <w:color w:val="000000"/>
              </w:rPr>
              <w:t xml:space="preserve">0.03</w:t>
            </w:r>
          </w:p>
        </w:tc>
      </w:tr>
    </w:tbl>
    <w:p>
      <w:pPr>
        <w:pStyle w:val="Heading1"/>
        <w:spacing w:after="160" w:before="320"/>
      </w:pPr>
      <w:r>
        <w:t xml:space="preserve">3. Confusion Matrices</w:t>
      </w:r>
    </w:p>
    <w:p>
      <w:pPr>
        <w:spacing w:after="160"/>
      </w:pPr>
      <w:r>
        <w:t xml:space="preserve">Confusion matrices reveal the trade-off each model makes between catching churners (top-right vs bottom-right cells) and avoiding false alarms (bottom-left cell).</w:t>
      </w:r>
    </w:p>
    <w:p>
      <w:pPr>
        <w:jc w:val="center"/>
      </w:pPr>
      <w:r>
        <w:drawing>
          <wp:inline distT="0" distB="0" distL="0" distR="0">
            <wp:extent cx="59055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123950"/>
                    </a:xfrm>
                    <a:prstGeom prst="rect">
                      <a:avLst/>
                    </a:prstGeom>
                  </pic:spPr>
                </pic:pic>
              </a:graphicData>
            </a:graphic>
          </wp:inline>
        </w:drawing>
      </w:r>
    </w:p>
    <w:p>
      <w:pPr>
        <w:spacing w:after="300"/>
        <w:jc w:val="center"/>
      </w:pPr>
      <w:r>
        <w:rPr>
          <w:i/>
          <w:iCs/>
          <w:color w:val="555555"/>
          <w:sz w:val="18"/>
          <w:szCs w:val="18"/>
        </w:rPr>
        <w:t xml:space="preserve">Figure 1. Confusion matrices for all five models on the test set.</w:t>
      </w:r>
    </w:p>
    <w:p>
      <w:pPr>
        <w:pStyle w:val="Heading1"/>
        <w:spacing w:after="160" w:before="320"/>
      </w:pPr>
      <w:r>
        <w:t xml:space="preserve">4. ROC &amp; Precision-Recall Curves</w:t>
      </w:r>
    </w:p>
    <w:p>
      <w:pPr>
        <w:jc w:val="center"/>
      </w:pPr>
      <w:r>
        <w:drawing>
          <wp:inline distT="0" distB="0" distL="0" distR="0">
            <wp:extent cx="3143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95575"/>
                    </a:xfrm>
                    <a:prstGeom prst="rect">
                      <a:avLst/>
                    </a:prstGeom>
                  </pic:spPr>
                </pic:pic>
              </a:graphicData>
            </a:graphic>
          </wp:inline>
        </w:drawing>
      </w:r>
    </w:p>
    <w:p>
      <w:pPr>
        <w:spacing w:after="300"/>
        <w:jc w:val="center"/>
      </w:pPr>
      <w:r>
        <w:rPr>
          <w:i/>
          <w:iCs/>
          <w:color w:val="555555"/>
          <w:sz w:val="18"/>
          <w:szCs w:val="18"/>
        </w:rPr>
        <w:t xml:space="preserve">Figure 2. ROC curves — Random Forest leads with AUC = 0.836.</w:t>
      </w:r>
    </w:p>
    <w:p>
      <w:pPr>
        <w:jc w:val="center"/>
      </w:pPr>
      <w:r>
        <w:drawing>
          <wp:inline distT="0" distB="0" distL="0" distR="0">
            <wp:extent cx="3143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2695575"/>
                    </a:xfrm>
                    <a:prstGeom prst="rect">
                      <a:avLst/>
                    </a:prstGeom>
                  </pic:spPr>
                </pic:pic>
              </a:graphicData>
            </a:graphic>
          </wp:inline>
        </w:drawing>
      </w:r>
    </w:p>
    <w:p>
      <w:pPr>
        <w:spacing w:after="300"/>
        <w:jc w:val="center"/>
      </w:pPr>
      <w:r>
        <w:rPr>
          <w:i/>
          <w:iCs/>
          <w:color w:val="555555"/>
          <w:sz w:val="18"/>
          <w:szCs w:val="18"/>
        </w:rPr>
        <w:t xml:space="preserve">Figure 3. Precision-Recall curves — more informative than ROC under class imbalance.</w:t>
      </w:r>
    </w:p>
    <w:p>
      <w:pPr>
        <w:pStyle w:val="Heading1"/>
        <w:spacing w:after="160" w:before="320"/>
      </w:pPr>
      <w:r>
        <w:t xml:space="preserve">5. Model Comparison Chart</w:t>
      </w:r>
    </w:p>
    <w:p>
      <w:pPr>
        <w:jc w:val="center"/>
      </w:pPr>
      <w:r>
        <w:drawing>
          <wp:inline distT="0" distB="0" distL="0" distR="0">
            <wp:extent cx="43815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390775"/>
                    </a:xfrm>
                    <a:prstGeom prst="rect">
                      <a:avLst/>
                    </a:prstGeom>
                  </pic:spPr>
                </pic:pic>
              </a:graphicData>
            </a:graphic>
          </wp:inline>
        </w:drawing>
      </w:r>
    </w:p>
    <w:p>
      <w:pPr>
        <w:spacing w:after="300"/>
        <w:jc w:val="center"/>
      </w:pPr>
      <w:r>
        <w:rPr>
          <w:i/>
          <w:iCs/>
          <w:color w:val="555555"/>
          <w:sz w:val="18"/>
          <w:szCs w:val="18"/>
        </w:rPr>
        <w:t xml:space="preserve">Figure 4. Side-by-side comparison of all five metrics across models.</w:t>
      </w:r>
    </w:p>
    <w:p>
      <w:pPr>
        <w:pStyle w:val="Heading1"/>
        <w:spacing w:after="160" w:before="320"/>
      </w:pPr>
      <w:r>
        <w:t xml:space="preserve">6. Feature Importance</w:t>
      </w:r>
    </w:p>
    <w:p>
      <w:pPr>
        <w:spacing w:after="160"/>
      </w:pPr>
      <w:r>
        <w:t xml:space="preserve">Random Forest importances (Gini-based) were used to rank predictors: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3150"/>
      </w:tblGrid>
      <w:tr>
        <w:tc>
          <w:tcPr>
            <w:tcW w:type="dxa" w:w="900"/>
            <w:shd w:fill="1F3864" w:val="clear"/>
            <w:tcMar>
              <w:top w:type="dxa" w:w="100"/>
              <w:left w:type="dxa" w:w="120"/>
              <w:bottom w:type="dxa" w:w="100"/>
              <w:right w:type="dxa" w:w="120"/>
            </w:tcMar>
          </w:tcPr>
          <w:p>
            <w:r>
              <w:rPr>
                <w:b/>
                <w:bCs/>
                <w:color w:val="FFFFFF"/>
              </w:rPr>
              <w:t xml:space="preserve">Rank</w:t>
            </w:r>
          </w:p>
        </w:tc>
        <w:tc>
          <w:tcPr>
            <w:tcW w:type="dxa" w:w="5300"/>
            <w:shd w:fill="1F3864" w:val="clear"/>
            <w:tcMar>
              <w:top w:type="dxa" w:w="100"/>
              <w:left w:type="dxa" w:w="120"/>
              <w:bottom w:type="dxa" w:w="100"/>
              <w:right w:type="dxa" w:w="120"/>
            </w:tcMar>
          </w:tcPr>
          <w:p>
            <w:r>
              <w:rPr>
                <w:b/>
                <w:bCs/>
                <w:color w:val="FFFFFF"/>
              </w:rPr>
              <w:t xml:space="preserve">Feature</w:t>
            </w:r>
          </w:p>
        </w:tc>
        <w:tc>
          <w:tcPr>
            <w:tcW w:type="dxa" w:w="3150"/>
            <w:shd w:fill="1F3864" w:val="clear"/>
            <w:tcMar>
              <w:top w:type="dxa" w:w="100"/>
              <w:left w:type="dxa" w:w="120"/>
              <w:bottom w:type="dxa" w:w="100"/>
              <w:right w:type="dxa" w:w="120"/>
            </w:tcMar>
          </w:tcPr>
          <w:p>
            <w:r>
              <w:rPr>
                <w:b/>
                <w:bCs/>
                <w:color w:val="FFFFFF"/>
              </w:rPr>
              <w:t xml:space="preserve">Importance</w:t>
            </w:r>
          </w:p>
        </w:tc>
      </w:tr>
      <w:tr>
        <w:tc>
          <w:tcPr>
            <w:tcW w:type="dxa" w:w="900"/>
            <w:tcMar>
              <w:top w:type="dxa" w:w="100"/>
              <w:left w:type="dxa" w:w="120"/>
              <w:bottom w:type="dxa" w:w="100"/>
              <w:right w:type="dxa" w:w="120"/>
            </w:tcMar>
          </w:tcPr>
          <w:p>
            <w:r>
              <w:rPr>
                <w:b w:val="false"/>
                <w:bCs w:val="false"/>
                <w:color w:val="000000"/>
              </w:rPr>
              <w:t xml:space="preserve">1</w:t>
            </w:r>
          </w:p>
        </w:tc>
        <w:tc>
          <w:tcPr>
            <w:tcW w:type="dxa" w:w="5300"/>
            <w:tcMar>
              <w:top w:type="dxa" w:w="100"/>
              <w:left w:type="dxa" w:w="120"/>
              <w:bottom w:type="dxa" w:w="100"/>
              <w:right w:type="dxa" w:w="120"/>
            </w:tcMar>
          </w:tcPr>
          <w:p>
            <w:r>
              <w:rPr>
                <w:b w:val="false"/>
                <w:bCs w:val="false"/>
                <w:color w:val="000000"/>
              </w:rPr>
              <w:t xml:space="preserve">Contract</w:t>
            </w:r>
          </w:p>
        </w:tc>
        <w:tc>
          <w:tcPr>
            <w:tcW w:type="dxa" w:w="3150"/>
            <w:tcMar>
              <w:top w:type="dxa" w:w="100"/>
              <w:left w:type="dxa" w:w="120"/>
              <w:bottom w:type="dxa" w:w="100"/>
              <w:right w:type="dxa" w:w="120"/>
            </w:tcMar>
          </w:tcPr>
          <w:p>
            <w:r>
              <w:rPr>
                <w:b w:val="false"/>
                <w:bCs w:val="false"/>
                <w:color w:val="000000"/>
              </w:rPr>
              <w:t xml:space="preserve">0.176</w:t>
            </w:r>
          </w:p>
        </w:tc>
      </w:tr>
      <w:tr>
        <w:tc>
          <w:tcPr>
            <w:tcW w:type="dxa" w:w="900"/>
            <w:tcMar>
              <w:top w:type="dxa" w:w="100"/>
              <w:left w:type="dxa" w:w="120"/>
              <w:bottom w:type="dxa" w:w="100"/>
              <w:right w:type="dxa" w:w="120"/>
            </w:tcMar>
          </w:tcPr>
          <w:p>
            <w:r>
              <w:rPr>
                <w:b w:val="false"/>
                <w:bCs w:val="false"/>
                <w:color w:val="000000"/>
              </w:rPr>
              <w:t xml:space="preserve">2</w:t>
            </w:r>
          </w:p>
        </w:tc>
        <w:tc>
          <w:tcPr>
            <w:tcW w:type="dxa" w:w="5300"/>
            <w:tcMar>
              <w:top w:type="dxa" w:w="100"/>
              <w:left w:type="dxa" w:w="120"/>
              <w:bottom w:type="dxa" w:w="100"/>
              <w:right w:type="dxa" w:w="120"/>
            </w:tcMar>
          </w:tcPr>
          <w:p>
            <w:r>
              <w:rPr>
                <w:b w:val="false"/>
                <w:bCs w:val="false"/>
                <w:color w:val="000000"/>
              </w:rPr>
              <w:t xml:space="preserve">tenure</w:t>
            </w:r>
          </w:p>
        </w:tc>
        <w:tc>
          <w:tcPr>
            <w:tcW w:type="dxa" w:w="3150"/>
            <w:tcMar>
              <w:top w:type="dxa" w:w="100"/>
              <w:left w:type="dxa" w:w="120"/>
              <w:bottom w:type="dxa" w:w="100"/>
              <w:right w:type="dxa" w:w="120"/>
            </w:tcMar>
          </w:tcPr>
          <w:p>
            <w:r>
              <w:rPr>
                <w:b w:val="false"/>
                <w:bCs w:val="false"/>
                <w:color w:val="000000"/>
              </w:rPr>
              <w:t xml:space="preserve">0.133</w:t>
            </w:r>
          </w:p>
        </w:tc>
      </w:tr>
      <w:tr>
        <w:tc>
          <w:tcPr>
            <w:tcW w:type="dxa" w:w="900"/>
            <w:tcMar>
              <w:top w:type="dxa" w:w="100"/>
              <w:left w:type="dxa" w:w="120"/>
              <w:bottom w:type="dxa" w:w="100"/>
              <w:right w:type="dxa" w:w="120"/>
            </w:tcMar>
          </w:tcPr>
          <w:p>
            <w:r>
              <w:rPr>
                <w:b w:val="false"/>
                <w:bCs w:val="false"/>
                <w:color w:val="000000"/>
              </w:rPr>
              <w:t xml:space="preserve">3</w:t>
            </w:r>
          </w:p>
        </w:tc>
        <w:tc>
          <w:tcPr>
            <w:tcW w:type="dxa" w:w="5300"/>
            <w:tcMar>
              <w:top w:type="dxa" w:w="100"/>
              <w:left w:type="dxa" w:w="120"/>
              <w:bottom w:type="dxa" w:w="100"/>
              <w:right w:type="dxa" w:w="120"/>
            </w:tcMar>
          </w:tcPr>
          <w:p>
            <w:r>
              <w:rPr>
                <w:b w:val="false"/>
                <w:bCs w:val="false"/>
                <w:color w:val="000000"/>
              </w:rPr>
              <w:t xml:space="preserve">MonthlyCharges</w:t>
            </w:r>
          </w:p>
        </w:tc>
        <w:tc>
          <w:tcPr>
            <w:tcW w:type="dxa" w:w="3150"/>
            <w:tcMar>
              <w:top w:type="dxa" w:w="100"/>
              <w:left w:type="dxa" w:w="120"/>
              <w:bottom w:type="dxa" w:w="100"/>
              <w:right w:type="dxa" w:w="120"/>
            </w:tcMar>
          </w:tcPr>
          <w:p>
            <w:r>
              <w:rPr>
                <w:b w:val="false"/>
                <w:bCs w:val="false"/>
                <w:color w:val="000000"/>
              </w:rPr>
              <w:t xml:space="preserve">0.093</w:t>
            </w:r>
          </w:p>
        </w:tc>
      </w:tr>
      <w:tr>
        <w:tc>
          <w:tcPr>
            <w:tcW w:type="dxa" w:w="900"/>
            <w:tcMar>
              <w:top w:type="dxa" w:w="100"/>
              <w:left w:type="dxa" w:w="120"/>
              <w:bottom w:type="dxa" w:w="100"/>
              <w:right w:type="dxa" w:w="120"/>
            </w:tcMar>
          </w:tcPr>
          <w:p>
            <w:r>
              <w:rPr>
                <w:b w:val="false"/>
                <w:bCs w:val="false"/>
                <w:color w:val="000000"/>
              </w:rPr>
              <w:t xml:space="preserve">4</w:t>
            </w:r>
          </w:p>
        </w:tc>
        <w:tc>
          <w:tcPr>
            <w:tcW w:type="dxa" w:w="5300"/>
            <w:tcMar>
              <w:top w:type="dxa" w:w="100"/>
              <w:left w:type="dxa" w:w="120"/>
              <w:bottom w:type="dxa" w:w="100"/>
              <w:right w:type="dxa" w:w="120"/>
            </w:tcMar>
          </w:tcPr>
          <w:p>
            <w:r>
              <w:rPr>
                <w:b w:val="false"/>
                <w:bCs w:val="false"/>
                <w:color w:val="000000"/>
              </w:rPr>
              <w:t xml:space="preserve">AvgChargePerService</w:t>
            </w:r>
          </w:p>
        </w:tc>
        <w:tc>
          <w:tcPr>
            <w:tcW w:type="dxa" w:w="3150"/>
            <w:tcMar>
              <w:top w:type="dxa" w:w="100"/>
              <w:left w:type="dxa" w:w="120"/>
              <w:bottom w:type="dxa" w:w="100"/>
              <w:right w:type="dxa" w:w="120"/>
            </w:tcMar>
          </w:tcPr>
          <w:p>
            <w:r>
              <w:rPr>
                <w:b w:val="false"/>
                <w:bCs w:val="false"/>
                <w:color w:val="000000"/>
              </w:rPr>
              <w:t xml:space="preserve">0.090</w:t>
            </w:r>
          </w:p>
        </w:tc>
      </w:tr>
      <w:tr>
        <w:tc>
          <w:tcPr>
            <w:tcW w:type="dxa" w:w="900"/>
            <w:tcMar>
              <w:top w:type="dxa" w:w="100"/>
              <w:left w:type="dxa" w:w="120"/>
              <w:bottom w:type="dxa" w:w="100"/>
              <w:right w:type="dxa" w:w="120"/>
            </w:tcMar>
          </w:tcPr>
          <w:p>
            <w:r>
              <w:rPr>
                <w:b w:val="false"/>
                <w:bCs w:val="false"/>
                <w:color w:val="000000"/>
              </w:rPr>
              <w:t xml:space="preserve">5</w:t>
            </w:r>
          </w:p>
        </w:tc>
        <w:tc>
          <w:tcPr>
            <w:tcW w:type="dxa" w:w="5300"/>
            <w:tcMar>
              <w:top w:type="dxa" w:w="100"/>
              <w:left w:type="dxa" w:w="120"/>
              <w:bottom w:type="dxa" w:w="100"/>
              <w:right w:type="dxa" w:w="120"/>
            </w:tcMar>
          </w:tcPr>
          <w:p>
            <w:r>
              <w:rPr>
                <w:b w:val="false"/>
                <w:bCs w:val="false"/>
                <w:color w:val="000000"/>
              </w:rPr>
              <w:t xml:space="preserve">TotalCharges</w:t>
            </w:r>
          </w:p>
        </w:tc>
        <w:tc>
          <w:tcPr>
            <w:tcW w:type="dxa" w:w="3150"/>
            <w:tcMar>
              <w:top w:type="dxa" w:w="100"/>
              <w:left w:type="dxa" w:w="120"/>
              <w:bottom w:type="dxa" w:w="100"/>
              <w:right w:type="dxa" w:w="120"/>
            </w:tcMar>
          </w:tcPr>
          <w:p>
            <w:r>
              <w:rPr>
                <w:b w:val="false"/>
                <w:bCs w:val="false"/>
                <w:color w:val="000000"/>
              </w:rPr>
              <w:t xml:space="preserve">0.078</w:t>
            </w:r>
          </w:p>
        </w:tc>
      </w:tr>
      <w:tr>
        <w:tc>
          <w:tcPr>
            <w:tcW w:type="dxa" w:w="900"/>
            <w:tcMar>
              <w:top w:type="dxa" w:w="100"/>
              <w:left w:type="dxa" w:w="120"/>
              <w:bottom w:type="dxa" w:w="100"/>
              <w:right w:type="dxa" w:w="120"/>
            </w:tcMar>
          </w:tcPr>
          <w:p>
            <w:r>
              <w:rPr>
                <w:b w:val="false"/>
                <w:bCs w:val="false"/>
                <w:color w:val="000000"/>
              </w:rPr>
              <w:t xml:space="preserve">6</w:t>
            </w:r>
          </w:p>
        </w:tc>
        <w:tc>
          <w:tcPr>
            <w:tcW w:type="dxa" w:w="5300"/>
            <w:tcMar>
              <w:top w:type="dxa" w:w="100"/>
              <w:left w:type="dxa" w:w="120"/>
              <w:bottom w:type="dxa" w:w="100"/>
              <w:right w:type="dxa" w:w="120"/>
            </w:tcMar>
          </w:tcPr>
          <w:p>
            <w:r>
              <w:rPr>
                <w:b w:val="false"/>
                <w:bCs w:val="false"/>
                <w:color w:val="000000"/>
              </w:rPr>
              <w:t xml:space="preserve">InternetService_Fiber optic</w:t>
            </w:r>
          </w:p>
        </w:tc>
        <w:tc>
          <w:tcPr>
            <w:tcW w:type="dxa" w:w="3150"/>
            <w:tcMar>
              <w:top w:type="dxa" w:w="100"/>
              <w:left w:type="dxa" w:w="120"/>
              <w:bottom w:type="dxa" w:w="100"/>
              <w:right w:type="dxa" w:w="120"/>
            </w:tcMar>
          </w:tcPr>
          <w:p>
            <w:r>
              <w:rPr>
                <w:b w:val="false"/>
                <w:bCs w:val="false"/>
                <w:color w:val="000000"/>
              </w:rPr>
              <w:t xml:space="preserve">0.069</w:t>
            </w:r>
          </w:p>
        </w:tc>
      </w:tr>
      <w:tr>
        <w:tc>
          <w:tcPr>
            <w:tcW w:type="dxa" w:w="900"/>
            <w:tcMar>
              <w:top w:type="dxa" w:w="100"/>
              <w:left w:type="dxa" w:w="120"/>
              <w:bottom w:type="dxa" w:w="100"/>
              <w:right w:type="dxa" w:w="120"/>
            </w:tcMar>
          </w:tcPr>
          <w:p>
            <w:r>
              <w:rPr>
                <w:b w:val="false"/>
                <w:bCs w:val="false"/>
                <w:color w:val="000000"/>
              </w:rPr>
              <w:t xml:space="preserve">7</w:t>
            </w:r>
          </w:p>
        </w:tc>
        <w:tc>
          <w:tcPr>
            <w:tcW w:type="dxa" w:w="5300"/>
            <w:tcMar>
              <w:top w:type="dxa" w:w="100"/>
              <w:left w:type="dxa" w:w="120"/>
              <w:bottom w:type="dxa" w:w="100"/>
              <w:right w:type="dxa" w:w="120"/>
            </w:tcMar>
          </w:tcPr>
          <w:p>
            <w:r>
              <w:rPr>
                <w:b w:val="false"/>
                <w:bCs w:val="false"/>
                <w:color w:val="000000"/>
              </w:rPr>
              <w:t xml:space="preserve">TenureGroup</w:t>
            </w:r>
          </w:p>
        </w:tc>
        <w:tc>
          <w:tcPr>
            <w:tcW w:type="dxa" w:w="3150"/>
            <w:tcMar>
              <w:top w:type="dxa" w:w="100"/>
              <w:left w:type="dxa" w:w="120"/>
              <w:bottom w:type="dxa" w:w="100"/>
              <w:right w:type="dxa" w:w="120"/>
            </w:tcMar>
          </w:tcPr>
          <w:p>
            <w:r>
              <w:rPr>
                <w:b w:val="false"/>
                <w:bCs w:val="false"/>
                <w:color w:val="000000"/>
              </w:rPr>
              <w:t xml:space="preserve">0.065</w:t>
            </w:r>
          </w:p>
        </w:tc>
      </w:tr>
      <w:tr>
        <w:tc>
          <w:tcPr>
            <w:tcW w:type="dxa" w:w="900"/>
            <w:tcMar>
              <w:top w:type="dxa" w:w="100"/>
              <w:left w:type="dxa" w:w="120"/>
              <w:bottom w:type="dxa" w:w="100"/>
              <w:right w:type="dxa" w:w="120"/>
            </w:tcMar>
          </w:tcPr>
          <w:p>
            <w:r>
              <w:rPr>
                <w:b w:val="false"/>
                <w:bCs w:val="false"/>
                <w:color w:val="000000"/>
              </w:rPr>
              <w:t xml:space="preserve">8</w:t>
            </w:r>
          </w:p>
        </w:tc>
        <w:tc>
          <w:tcPr>
            <w:tcW w:type="dxa" w:w="5300"/>
            <w:tcMar>
              <w:top w:type="dxa" w:w="100"/>
              <w:left w:type="dxa" w:w="120"/>
              <w:bottom w:type="dxa" w:w="100"/>
              <w:right w:type="dxa" w:w="120"/>
            </w:tcMar>
          </w:tcPr>
          <w:p>
            <w:r>
              <w:rPr>
                <w:b w:val="false"/>
                <w:bCs w:val="false"/>
                <w:color w:val="000000"/>
              </w:rPr>
              <w:t xml:space="preserve">NumServicesSubscribed</w:t>
            </w:r>
          </w:p>
        </w:tc>
        <w:tc>
          <w:tcPr>
            <w:tcW w:type="dxa" w:w="3150"/>
            <w:tcMar>
              <w:top w:type="dxa" w:w="100"/>
              <w:left w:type="dxa" w:w="120"/>
              <w:bottom w:type="dxa" w:w="100"/>
              <w:right w:type="dxa" w:w="120"/>
            </w:tcMar>
          </w:tcPr>
          <w:p>
            <w:r>
              <w:rPr>
                <w:b w:val="false"/>
                <w:bCs w:val="false"/>
                <w:color w:val="000000"/>
              </w:rPr>
              <w:t xml:space="preserve">0.041</w:t>
            </w:r>
          </w:p>
        </w:tc>
      </w:tr>
      <w:tr>
        <w:tc>
          <w:tcPr>
            <w:tcW w:type="dxa" w:w="900"/>
            <w:tcMar>
              <w:top w:type="dxa" w:w="100"/>
              <w:left w:type="dxa" w:w="120"/>
              <w:bottom w:type="dxa" w:w="100"/>
              <w:right w:type="dxa" w:w="120"/>
            </w:tcMar>
          </w:tcPr>
          <w:p>
            <w:r>
              <w:rPr>
                <w:b w:val="false"/>
                <w:bCs w:val="false"/>
                <w:color w:val="000000"/>
              </w:rPr>
              <w:t xml:space="preserve">9</w:t>
            </w:r>
          </w:p>
        </w:tc>
        <w:tc>
          <w:tcPr>
            <w:tcW w:type="dxa" w:w="5300"/>
            <w:tcMar>
              <w:top w:type="dxa" w:w="100"/>
              <w:left w:type="dxa" w:w="120"/>
              <w:bottom w:type="dxa" w:w="100"/>
              <w:right w:type="dxa" w:w="120"/>
            </w:tcMar>
          </w:tcPr>
          <w:p>
            <w:r>
              <w:rPr>
                <w:b w:val="false"/>
                <w:bCs w:val="false"/>
                <w:color w:val="000000"/>
              </w:rPr>
              <w:t xml:space="preserve">PaymentMethod_Electronic check</w:t>
            </w:r>
          </w:p>
        </w:tc>
        <w:tc>
          <w:tcPr>
            <w:tcW w:type="dxa" w:w="3150"/>
            <w:tcMar>
              <w:top w:type="dxa" w:w="100"/>
              <w:left w:type="dxa" w:w="120"/>
              <w:bottom w:type="dxa" w:w="100"/>
              <w:right w:type="dxa" w:w="120"/>
            </w:tcMar>
          </w:tcPr>
          <w:p>
            <w:r>
              <w:rPr>
                <w:b w:val="false"/>
                <w:bCs w:val="false"/>
                <w:color w:val="000000"/>
              </w:rPr>
              <w:t xml:space="preserve">0.032</w:t>
            </w:r>
          </w:p>
        </w:tc>
      </w:tr>
      <w:tr>
        <w:tc>
          <w:tcPr>
            <w:tcW w:type="dxa" w:w="900"/>
            <w:tcMar>
              <w:top w:type="dxa" w:w="100"/>
              <w:left w:type="dxa" w:w="120"/>
              <w:bottom w:type="dxa" w:w="100"/>
              <w:right w:type="dxa" w:w="120"/>
            </w:tcMar>
          </w:tcPr>
          <w:p>
            <w:r>
              <w:rPr>
                <w:b w:val="false"/>
                <w:bCs w:val="false"/>
                <w:color w:val="000000"/>
              </w:rPr>
              <w:t xml:space="preserve">10</w:t>
            </w:r>
          </w:p>
        </w:tc>
        <w:tc>
          <w:tcPr>
            <w:tcW w:type="dxa" w:w="5300"/>
            <w:tcMar>
              <w:top w:type="dxa" w:w="100"/>
              <w:left w:type="dxa" w:w="120"/>
              <w:bottom w:type="dxa" w:w="100"/>
              <w:right w:type="dxa" w:w="120"/>
            </w:tcMar>
          </w:tcPr>
          <w:p>
            <w:r>
              <w:rPr>
                <w:b w:val="false"/>
                <w:bCs w:val="false"/>
                <w:color w:val="000000"/>
              </w:rPr>
              <w:t xml:space="preserve">InternetService_No</w:t>
            </w:r>
          </w:p>
        </w:tc>
        <w:tc>
          <w:tcPr>
            <w:tcW w:type="dxa" w:w="3150"/>
            <w:tcMar>
              <w:top w:type="dxa" w:w="100"/>
              <w:left w:type="dxa" w:w="120"/>
              <w:bottom w:type="dxa" w:w="100"/>
              <w:right w:type="dxa" w:w="120"/>
            </w:tcMar>
          </w:tcPr>
          <w:p>
            <w:r>
              <w:rPr>
                <w:b w:val="false"/>
                <w:bCs w:val="false"/>
                <w:color w:val="000000"/>
              </w:rPr>
              <w:t xml:space="preserve">0.030</w:t>
            </w:r>
          </w:p>
        </w:tc>
      </w:tr>
      <w:tr>
        <w:tc>
          <w:tcPr>
            <w:tcW w:type="dxa" w:w="900"/>
            <w:tcMar>
              <w:top w:type="dxa" w:w="100"/>
              <w:left w:type="dxa" w:w="120"/>
              <w:bottom w:type="dxa" w:w="100"/>
              <w:right w:type="dxa" w:w="120"/>
            </w:tcMar>
          </w:tcPr>
          <w:p>
            <w:r>
              <w:rPr>
                <w:b w:val="false"/>
                <w:bCs w:val="false"/>
                <w:color w:val="000000"/>
              </w:rPr>
              <w:t xml:space="preserve">11</w:t>
            </w:r>
          </w:p>
        </w:tc>
        <w:tc>
          <w:tcPr>
            <w:tcW w:type="dxa" w:w="5300"/>
            <w:tcMar>
              <w:top w:type="dxa" w:w="100"/>
              <w:left w:type="dxa" w:w="120"/>
              <w:bottom w:type="dxa" w:w="100"/>
              <w:right w:type="dxa" w:w="120"/>
            </w:tcMar>
          </w:tcPr>
          <w:p>
            <w:r>
              <w:rPr>
                <w:b w:val="false"/>
                <w:bCs w:val="false"/>
                <w:color w:val="000000"/>
              </w:rPr>
              <w:t xml:space="preserve">OnlineSecurity_Yes</w:t>
            </w:r>
          </w:p>
        </w:tc>
        <w:tc>
          <w:tcPr>
            <w:tcW w:type="dxa" w:w="3150"/>
            <w:tcMar>
              <w:top w:type="dxa" w:w="100"/>
              <w:left w:type="dxa" w:w="120"/>
              <w:bottom w:type="dxa" w:w="100"/>
              <w:right w:type="dxa" w:w="120"/>
            </w:tcMar>
          </w:tcPr>
          <w:p>
            <w:r>
              <w:rPr>
                <w:b w:val="false"/>
                <w:bCs w:val="false"/>
                <w:color w:val="000000"/>
              </w:rPr>
              <w:t xml:space="preserve">0.029</w:t>
            </w:r>
          </w:p>
        </w:tc>
      </w:tr>
      <w:tr>
        <w:tc>
          <w:tcPr>
            <w:tcW w:type="dxa" w:w="900"/>
            <w:tcMar>
              <w:top w:type="dxa" w:w="100"/>
              <w:left w:type="dxa" w:w="120"/>
              <w:bottom w:type="dxa" w:w="100"/>
              <w:right w:type="dxa" w:w="120"/>
            </w:tcMar>
          </w:tcPr>
          <w:p>
            <w:r>
              <w:rPr>
                <w:b w:val="false"/>
                <w:bCs w:val="false"/>
                <w:color w:val="000000"/>
              </w:rPr>
              <w:t xml:space="preserve">12</w:t>
            </w:r>
          </w:p>
        </w:tc>
        <w:tc>
          <w:tcPr>
            <w:tcW w:type="dxa" w:w="5300"/>
            <w:tcMar>
              <w:top w:type="dxa" w:w="100"/>
              <w:left w:type="dxa" w:w="120"/>
              <w:bottom w:type="dxa" w:w="100"/>
              <w:right w:type="dxa" w:w="120"/>
            </w:tcMar>
          </w:tcPr>
          <w:p>
            <w:r>
              <w:rPr>
                <w:b w:val="false"/>
                <w:bCs w:val="false"/>
                <w:color w:val="000000"/>
              </w:rPr>
              <w:t xml:space="preserve">Dependents</w:t>
            </w:r>
          </w:p>
        </w:tc>
        <w:tc>
          <w:tcPr>
            <w:tcW w:type="dxa" w:w="3150"/>
            <w:tcMar>
              <w:top w:type="dxa" w:w="100"/>
              <w:left w:type="dxa" w:w="120"/>
              <w:bottom w:type="dxa" w:w="100"/>
              <w:right w:type="dxa" w:w="120"/>
            </w:tcMar>
          </w:tcPr>
          <w:p>
            <w:r>
              <w:rPr>
                <w:b w:val="false"/>
                <w:bCs w:val="false"/>
                <w:color w:val="000000"/>
              </w:rPr>
              <w:t xml:space="preserve">0.025</w:t>
            </w:r>
          </w:p>
        </w:tc>
      </w:tr>
    </w:tbl>
    <w:p>
      <w:pPr>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300"/>
        <w:jc w:val="center"/>
      </w:pPr>
      <w:r>
        <w:rPr>
          <w:i/>
          <w:iCs/>
          <w:color w:val="555555"/>
          <w:sz w:val="18"/>
          <w:szCs w:val="18"/>
        </w:rPr>
        <w:t xml:space="preserve">Figure 5. Top 12 features by Random Forest importance.</w:t>
      </w:r>
    </w:p>
    <w:p>
      <w:pPr>
        <w:spacing w:after="160"/>
      </w:pPr>
      <w:r>
        <w:t xml:space="preserve">Discussion: the two engineered features from Week 2 (AvgChargePerService, TenureGroup) both rank in the top 7, alongside their raw counterparts — cross-validating that the feature engineering added genuine predictive signal rather than redundant noise. Contract and tenure together account for roughly 31% of total importance, confirming that commitment length and customer lifecycle stage are the dominant churn drivers, ahead of any single service or demographic attribute.</w:t>
      </w:r>
    </w:p>
    <w:p>
      <w:pPr>
        <w:pStyle w:val="Heading1"/>
        <w:spacing w:after="160" w:before="320"/>
      </w:pPr>
      <w:r>
        <w:t xml:space="preserve">7. Learning Curve</w:t>
      </w:r>
    </w:p>
    <w:p>
      <w:pPr>
        <w:jc w:val="center"/>
      </w:pPr>
      <w:r>
        <w:drawing>
          <wp:inline distT="0" distB="0" distL="0" distR="0">
            <wp:extent cx="314325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2695575"/>
                    </a:xfrm>
                    <a:prstGeom prst="rect">
                      <a:avLst/>
                    </a:prstGeom>
                  </pic:spPr>
                </pic:pic>
              </a:graphicData>
            </a:graphic>
          </wp:inline>
        </w:drawing>
      </w:r>
    </w:p>
    <w:p>
      <w:pPr>
        <w:spacing w:after="300"/>
        <w:jc w:val="center"/>
      </w:pPr>
      <w:r>
        <w:rPr>
          <w:i/>
          <w:iCs/>
          <w:color w:val="555555"/>
          <w:sz w:val="18"/>
          <w:szCs w:val="18"/>
        </w:rPr>
        <w:t xml:space="preserve">Figure 6. Learning curve for Random Forest — training and validation ROC-AUC converge as training size grows.</w:t>
      </w:r>
    </w:p>
    <w:p>
      <w:pPr>
        <w:spacing w:after="160"/>
      </w:pPr>
      <w:r>
        <w:t xml:space="preserve">The validation score rises steadily and plateaus near 0.90 (cross-validated on the balanced training set), while the gap to the training score narrows but does not fully close — indicating mild variance that more training data or regularization (e.g. limiting tree depth further) could reduce, but not severe overfitting.</w:t>
      </w:r>
    </w:p>
    <w:p>
      <w:pPr>
        <w:pStyle w:val="Heading1"/>
        <w:spacing w:after="160" w:before="320"/>
      </w:pPr>
      <w:r>
        <w:t xml:space="preserve">8. Prediction Distribution</w:t>
      </w:r>
    </w:p>
    <w:p>
      <w:pPr>
        <w:jc w:val="center"/>
      </w:pPr>
      <w:r>
        <w:drawing>
          <wp:inline distT="0" distB="0" distL="0" distR="0">
            <wp:extent cx="3810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857500"/>
                    </a:xfrm>
                    <a:prstGeom prst="rect">
                      <a:avLst/>
                    </a:prstGeom>
                  </pic:spPr>
                </pic:pic>
              </a:graphicData>
            </a:graphic>
          </wp:inline>
        </w:drawing>
      </w:r>
    </w:p>
    <w:p>
      <w:pPr>
        <w:spacing w:after="300"/>
        <w:jc w:val="center"/>
      </w:pPr>
      <w:r>
        <w:rPr>
          <w:i/>
          <w:iCs/>
          <w:color w:val="555555"/>
          <w:sz w:val="18"/>
          <w:szCs w:val="18"/>
        </w:rPr>
        <w:t xml:space="preserve">Figure 7. Distribution of predicted churn probabilities by actual class (Random Forest).</w:t>
      </w:r>
    </w:p>
    <w:p>
      <w:pPr>
        <w:spacing w:after="160"/>
      </w:pPr>
      <w:r>
        <w:t xml:space="preserve">The two distributions are reasonably well separated, with actual non-churners concentrated at low predicted probabilities and actual churners shifted higher — but with meaningful overlap around the 0.5 threshold. This overlap is the direct source of the model's false positives and false negatives, and is a natural target for threshold tuning in a follow-up iteration.</w:t>
      </w:r>
    </w:p>
    <w:p>
      <w:pPr>
        <w:pStyle w:val="Heading1"/>
        <w:spacing w:after="160" w:before="320"/>
      </w:pPr>
      <w:r>
        <w:t xml:space="preserve">9. Conclusion</w:t>
      </w:r>
    </w:p>
    <w:p>
      <w:pPr>
        <w:spacing w:after="160"/>
      </w:pPr>
      <w:r>
        <w:t xml:space="preserve">Random Forest is confirmed as the strongest overall model on this test set (ROC-AUC 0.836, Recall 0.743), with Logistic Regression and Gradient Boosting as close, viable alternatives depending on whether interpretability or precision is prioritized by the business. Decision Tree and XGBoost underperformed relative to the other three on the metrics most relevant to this business problem.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a92f7a19ff9730ca69f68d266d78d39eab33e0.png"/><Relationship Id="rId8" Type="http://schemas.openxmlformats.org/officeDocument/2006/relationships/image" Target="media/4cf356f4dff838a0fda5df77479684790a9d6a37.png"/><Relationship Id="rId9" Type="http://schemas.openxmlformats.org/officeDocument/2006/relationships/image" Target="media/10fb608c8442e55b6221475034d119250db5c546.png"/><Relationship Id="rId10" Type="http://schemas.openxmlformats.org/officeDocument/2006/relationships/image" Target="media/5734fc05581ad2cd15d39a739c138bc950b61f4b.png"/><Relationship Id="rId11" Type="http://schemas.openxmlformats.org/officeDocument/2006/relationships/image" Target="media/be1a1c4b83ab1ba86c4db7b9288689536c81162e.png"/><Relationship Id="rId12" Type="http://schemas.openxmlformats.org/officeDocument/2006/relationships/image" Target="media/6b8c5aa6dd0e9de9f15b5f6124af5fff71f86a14.png"/><Relationship Id="rId13" Type="http://schemas.openxmlformats.org/officeDocument/2006/relationships/image" Target="media/cf890879440c4e790d6e7f88d84aea1953b5acb7.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2026-08-19T00:21:04.290Z</dcterms:created>
  <dcterms:modified xsi:type="dcterms:W3CDTF">2026-08-19T00:21:04.290Z</dcterms:modified>
</cp:coreProperties>
</file>

<file path=docProps/custom.xml><?xml version="1.0" encoding="utf-8"?>
<Properties xmlns="http://schemas.openxmlformats.org/officeDocument/2006/custom-properties" xmlns:vt="http://schemas.openxmlformats.org/officeDocument/2006/docPropsVTypes"/>
</file>