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Operating Systems: Virtual Memory</w:t>
      </w:r>
    </w:p>
    <w:p>
      <w:pPr>
        <w:pStyle w:val="Heading1"/>
      </w:pPr>
      <w:r>
        <w:t>Paging and address translation</w:t>
      </w:r>
    </w:p>
    <w:p>
      <w:r>
        <w:t>Paging divides a process address space into fixed-size pages and physical memory into frames. A page table maps each virtual page to a physical frame.</w:t>
      </w:r>
    </w:p>
    <w:p>
      <w:r>
        <w:rPr>
          <w:b/>
        </w:rPr>
        <w:t>Address translation</w:t>
      </w:r>
      <w:r>
        <w:t> separates a virtual address into a page number and an offset. The page number selects a page-table entry; the offset locates the byte within the frame.</w:t>
      </w:r>
    </w:p>
    <w:p>
      <w:pPr>
        <w:pStyle w:val="Heading2"/>
      </w:pPr>
      <w:r>
        <w:t>What happens on a page fault?</w:t>
      </w:r>
    </w:p>
    <w:p>
      <w:r>
        <w:t>1. The CPU references a page that is not currently in memory.</w:t>
      </w:r>
    </w:p>
    <w:p>
      <w:r>
        <w:t>2. The operating system locates the page on secondary storage and loads it into a frame.</w:t>
      </w:r>
    </w:p>
    <w:p>
      <w:r>
        <w:t>3. The page table is updated, and the interrupted instruction can continue.</w:t>
      </w:r>
    </w:p>
    <w:p>
      <w:r>
        <w:t>The diagram shows the simplified path from a virtual address to a physical address through the page table.</w:t>
      </w:r>
    </w:p>
    <w:p>
      <w:r>
        <w:drawing>
          <wp:inline>
            <wp:extent cx="4572000" cy="1428750"/>
            <wp:docPr id="1" name="Page translation flow diagram" descr="Three-stage flow from virtual page to page table to physical frame"/>
            <wp:cNvGraphicFramePr/>
            <a:graphic>
              <a:graphicData uri="http://schemas.openxmlformats.org/drawingml/2006/picture">
                <pic:pic>
                  <pic:nvPicPr>
                    <pic:cNvPr id="0" name="study-flow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<Relationships xmlns="http://schemas.openxmlformats.org/package/2006/relationships"><Relationship Id="rIdImage" Type="http://schemas.openxmlformats.org/officeDocument/2006/relationships/image" Target="media/study-flow.png"/></Relationships>
</file>