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A"/>
          <w:sz w:val="52"/>
        </w:rPr>
        <w:t>⚽  Football Analytics Dashboard</w:t>
      </w:r>
    </w:p>
    <w:p>
      <w:pPr>
        <w:jc w:val="center"/>
      </w:pPr>
      <w:r>
        <w:rPr>
          <w:b/>
          <w:color w:val="2C6FBF"/>
          <w:sz w:val="36"/>
        </w:rPr>
        <w:t>Analysis Report</w:t>
      </w:r>
    </w:p>
    <w:p>
      <w:pPr>
        <w:spacing w:before="0" w:after="120"/>
      </w:pPr>
    </w:p>
    <w:p>
      <w:pPr>
        <w:jc w:val="center"/>
      </w:pPr>
      <w:r>
        <w:rPr>
          <w:color w:val="606060"/>
          <w:sz w:val="24"/>
        </w:rPr>
        <w:t>Top 5 European Leagues  ·  Season 2017/18 – 2023/24</w:t>
      </w:r>
    </w:p>
    <w:p>
      <w:pPr>
        <w:jc w:val="center"/>
      </w:pPr>
      <w:r>
        <w:rPr>
          <w:color w:val="606060"/>
          <w:sz w:val="22"/>
        </w:rPr>
        <w:t>April 2026</w:t>
      </w:r>
    </w:p>
    <w:p>
      <w:pPr>
        <w:spacing w:before="0" w:after="80"/>
      </w:pPr>
    </w:p>
    <w:p>
      <w:pPr>
        <w:jc w:val="center"/>
      </w:pPr>
      <w:r>
        <w:rPr>
          <w:i/>
          <w:color w:val="606060"/>
          <w:sz w:val="20"/>
        </w:rPr>
        <w:t>© lightgo  ·  lightgo1230@gmail.com</w:t>
      </w:r>
    </w:p>
    <w:p>
      <w:pPr>
        <w:pBdr>
          <w:bottom w:val="single" w:sz="6" w:space="1" w:color="2C6FBF"/>
        </w:pBdr>
        <w:spacing w:after="120"/>
      </w:pPr>
    </w:p>
    <w:p>
      <w:r>
        <w:br w:type="page"/>
      </w:r>
    </w:p>
    <w:p>
      <w:pPr>
        <w:pStyle w:val="Heading1"/>
        <w:spacing w:before="240" w:after="80"/>
      </w:pPr>
      <w:r>
        <w:rPr>
          <w:b/>
          <w:color w:val="1E3C7A"/>
          <w:sz w:val="40"/>
        </w:rPr>
        <w:t>1. Project Overview</w:t>
      </w:r>
    </w:p>
    <w:p>
      <w:pPr>
        <w:pBdr>
          <w:bottom w:val="single" w:sz="6" w:space="1" w:color="2C6FBF"/>
        </w:pBdr>
        <w:spacing w:after="120"/>
      </w:pPr>
    </w:p>
    <w:p>
      <w:pPr>
        <w:spacing w:after="60"/>
      </w:pPr>
      <w:r>
        <w:rPr>
          <w:b w:val="0"/>
          <w:i w:val="0"/>
          <w:sz w:val="21"/>
        </w:rPr>
        <w:t>Football Analytics Dashboard is a standalone Windows desktop application developed in Rust using the egui/eframe framework. It provides interactive visual analysis of over 14,000 player-seasons from the Premier League, La Liga, Bundesliga, Serie A, and Ligue 1. The application runs entirely offline with all 13 MB of CSV data compiled directly into the executable, requiring no installation or external dependencies.</w:t>
      </w:r>
    </w:p>
    <w:p>
      <w:pPr>
        <w:spacing w:before="0" w:after="80"/>
      </w:pP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2C6FBF"/>
          </w:tcPr>
          <w:p>
            <w:r>
              <w:rPr>
                <w:b/>
                <w:color w:val="FFFFFF"/>
                <w:sz w:val="20"/>
              </w:rPr>
              <w:t>Item</w:t>
            </w:r>
          </w:p>
        </w:tc>
        <w:tc>
          <w:tcPr>
            <w:tcW w:type="dxa" w:w="5669"/>
            <w:shd w:val="clear" w:color="auto" w:fill="2C6FBF"/>
          </w:tcPr>
          <w:p>
            <w:r>
              <w:rPr>
                <w:b/>
                <w:color w:val="FFFFFF"/>
                <w:sz w:val="20"/>
              </w:rPr>
              <w:t>Detail</w:t>
            </w:r>
          </w:p>
        </w:tc>
      </w:tr>
      <w:tr>
        <w:tc>
          <w:tcPr>
            <w:tcW w:type="dxa" w:w="3402"/>
            <w:shd w:val="clear" w:color="auto" w:fill="EEF3FA"/>
          </w:tcPr>
          <w:p>
            <w:r>
              <w:rPr>
                <w:b/>
                <w:sz w:val="20"/>
              </w:rPr>
              <w:t>Application Name</w:t>
            </w:r>
          </w:p>
        </w:tc>
        <w:tc>
          <w:tcPr>
            <w:tcW w:type="dxa" w:w="5669"/>
            <w:shd w:val="clear" w:color="auto" w:fill="EEF3FA"/>
          </w:tcPr>
          <w:p>
            <w:r>
              <w:rPr>
                <w:sz w:val="20"/>
              </w:rPr>
              <w:t>Football Analytics Dashboard</w:t>
            </w:r>
          </w:p>
        </w:tc>
      </w:tr>
      <w:tr>
        <w:tc>
          <w:tcPr>
            <w:tcW w:type="dxa" w:w="3402"/>
          </w:tcPr>
          <w:p>
            <w:r>
              <w:rPr>
                <w:b/>
                <w:sz w:val="20"/>
              </w:rPr>
              <w:t>Platform</w:t>
            </w:r>
          </w:p>
        </w:tc>
        <w:tc>
          <w:tcPr>
            <w:tcW w:type="dxa" w:w="5669"/>
          </w:tcPr>
          <w:p>
            <w:r>
              <w:rPr>
                <w:sz w:val="20"/>
              </w:rPr>
              <w:t>Windows 10 / 11 (native desktop)</w:t>
            </w:r>
          </w:p>
        </w:tc>
      </w:tr>
      <w:tr>
        <w:tc>
          <w:tcPr>
            <w:tcW w:type="dxa" w:w="3402"/>
            <w:shd w:val="clear" w:color="auto" w:fill="EEF3FA"/>
          </w:tcPr>
          <w:p>
            <w:r>
              <w:rPr>
                <w:b/>
                <w:sz w:val="20"/>
              </w:rPr>
              <w:t>Language</w:t>
            </w:r>
          </w:p>
        </w:tc>
        <w:tc>
          <w:tcPr>
            <w:tcW w:type="dxa" w:w="5669"/>
            <w:shd w:val="clear" w:color="auto" w:fill="EEF3FA"/>
          </w:tcPr>
          <w:p>
            <w:r>
              <w:rPr>
                <w:sz w:val="20"/>
              </w:rPr>
              <w:t>Rust 2021 edition</w:t>
            </w:r>
          </w:p>
        </w:tc>
      </w:tr>
      <w:tr>
        <w:tc>
          <w:tcPr>
            <w:tcW w:type="dxa" w:w="3402"/>
          </w:tcPr>
          <w:p>
            <w:r>
              <w:rPr>
                <w:b/>
                <w:sz w:val="20"/>
              </w:rPr>
              <w:t>GUI Framework</w:t>
            </w:r>
          </w:p>
        </w:tc>
        <w:tc>
          <w:tcPr>
            <w:tcW w:type="dxa" w:w="5669"/>
          </w:tcPr>
          <w:p>
            <w:r>
              <w:rPr>
                <w:sz w:val="20"/>
              </w:rPr>
              <w:t>eframe 0.27 + egui 0.27</w:t>
            </w:r>
          </w:p>
        </w:tc>
      </w:tr>
      <w:tr>
        <w:tc>
          <w:tcPr>
            <w:tcW w:type="dxa" w:w="3402"/>
            <w:shd w:val="clear" w:color="auto" w:fill="EEF3FA"/>
          </w:tcPr>
          <w:p>
            <w:r>
              <w:rPr>
                <w:b/>
                <w:sz w:val="20"/>
              </w:rPr>
              <w:t>Chart Library</w:t>
            </w:r>
          </w:p>
        </w:tc>
        <w:tc>
          <w:tcPr>
            <w:tcW w:type="dxa" w:w="5669"/>
            <w:shd w:val="clear" w:color="auto" w:fill="EEF3FA"/>
          </w:tcPr>
          <w:p>
            <w:r>
              <w:rPr>
                <w:sz w:val="20"/>
              </w:rPr>
              <w:t>egui_plot 0.27</w:t>
            </w:r>
          </w:p>
        </w:tc>
      </w:tr>
      <w:tr>
        <w:tc>
          <w:tcPr>
            <w:tcW w:type="dxa" w:w="3402"/>
          </w:tcPr>
          <w:p>
            <w:r>
              <w:rPr>
                <w:b/>
                <w:sz w:val="20"/>
              </w:rPr>
              <w:t>Executable Size</w:t>
            </w:r>
          </w:p>
        </w:tc>
        <w:tc>
          <w:tcPr>
            <w:tcW w:type="dxa" w:w="5669"/>
          </w:tcPr>
          <w:p>
            <w:r>
              <w:rPr>
                <w:sz w:val="20"/>
              </w:rPr>
              <w:t>~17 MB (includes embedded CSV data)</w:t>
            </w:r>
          </w:p>
        </w:tc>
      </w:tr>
      <w:tr>
        <w:tc>
          <w:tcPr>
            <w:tcW w:type="dxa" w:w="3402"/>
            <w:shd w:val="clear" w:color="auto" w:fill="EEF3FA"/>
          </w:tcPr>
          <w:p>
            <w:r>
              <w:rPr>
                <w:b/>
                <w:sz w:val="20"/>
              </w:rPr>
              <w:t>Data Embedding</w:t>
            </w:r>
          </w:p>
        </w:tc>
        <w:tc>
          <w:tcPr>
            <w:tcW w:type="dxa" w:w="5669"/>
            <w:shd w:val="clear" w:color="auto" w:fill="EEF3FA"/>
          </w:tcPr>
          <w:p>
            <w:r>
              <w:rPr>
                <w:sz w:val="20"/>
              </w:rPr>
              <w:t>include_bytes! macro — compiled into .exe</w:t>
            </w:r>
          </w:p>
        </w:tc>
      </w:tr>
      <w:tr>
        <w:tc>
          <w:tcPr>
            <w:tcW w:type="dxa" w:w="3402"/>
          </w:tcPr>
          <w:p>
            <w:r>
              <w:rPr>
                <w:b/>
                <w:sz w:val="20"/>
              </w:rPr>
              <w:t>Icon</w:t>
            </w:r>
          </w:p>
        </w:tc>
        <w:tc>
          <w:tcPr>
            <w:tcW w:type="dxa" w:w="5669"/>
          </w:tcPr>
          <w:p>
            <w:r>
              <w:rPr>
                <w:sz w:val="20"/>
              </w:rPr>
              <w:t>Custom "L" icon embedded via winres (16/32/48 px)</w:t>
            </w:r>
          </w:p>
        </w:tc>
      </w:tr>
      <w:tr>
        <w:tc>
          <w:tcPr>
            <w:tcW w:type="dxa" w:w="3402"/>
            <w:shd w:val="clear" w:color="auto" w:fill="EEF3FA"/>
          </w:tcPr>
          <w:p>
            <w:r>
              <w:rPr>
                <w:b/>
                <w:sz w:val="20"/>
              </w:rPr>
              <w:t>Author</w:t>
            </w:r>
          </w:p>
        </w:tc>
        <w:tc>
          <w:tcPr>
            <w:tcW w:type="dxa" w:w="5669"/>
            <w:shd w:val="clear" w:color="auto" w:fill="EEF3FA"/>
          </w:tcPr>
          <w:p>
            <w:r>
              <w:rPr>
                <w:sz w:val="20"/>
              </w:rPr>
              <w:t>lightgo  ·  lightgo1230@gmail.com</w:t>
            </w:r>
          </w:p>
        </w:tc>
      </w:tr>
      <w:tr>
        <w:tc>
          <w:tcPr>
            <w:tcW w:type="dxa" w:w="3402"/>
          </w:tcPr>
          <w:p>
            <w:r>
              <w:rPr>
                <w:b/>
                <w:sz w:val="20"/>
              </w:rPr>
              <w:t>Report Date</w:t>
            </w:r>
          </w:p>
        </w:tc>
        <w:tc>
          <w:tcPr>
            <w:tcW w:type="dxa" w:w="5669"/>
          </w:tcPr>
          <w:p>
            <w:r>
              <w:rPr>
                <w:sz w:val="20"/>
              </w:rPr>
              <w:t>2026-04-20</w:t>
            </w:r>
          </w:p>
        </w:tc>
      </w:tr>
    </w:tbl>
    <w:p>
      <w:pPr>
        <w:spacing w:before="0" w:after="160"/>
      </w:pPr>
    </w:p>
    <w:p>
      <w:pPr>
        <w:pStyle w:val="Heading1"/>
        <w:spacing w:before="240" w:after="80"/>
      </w:pPr>
      <w:r>
        <w:rPr>
          <w:b/>
          <w:color w:val="1E3C7A"/>
          <w:sz w:val="40"/>
        </w:rPr>
        <w:t>2. Dataset Description</w:t>
      </w:r>
    </w:p>
    <w:p>
      <w:pPr>
        <w:pBdr>
          <w:bottom w:val="single" w:sz="6" w:space="1" w:color="2C6FBF"/>
        </w:pBdr>
        <w:spacing w:after="120"/>
      </w:pPr>
    </w:p>
    <w:p>
      <w:pPr>
        <w:spacing w:after="60"/>
      </w:pPr>
      <w:r>
        <w:rPr>
          <w:b w:val="0"/>
          <w:i w:val="0"/>
          <w:sz w:val="21"/>
        </w:rPr>
        <w:t>The source dataset covers player-level statistics for the Top 5 European football leagues across seven consecutive seasons (2017/18 to 2023/24). Raw data was collected from FBref-style statistical exports and stored in semicolon-delimited CSV format using European decimal comma notation.</w:t>
      </w:r>
    </w:p>
    <w:p>
      <w:pPr>
        <w:spacing w:before="0" w:after="80"/>
      </w:pP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2C6FBF"/>
          </w:tcPr>
          <w:p>
            <w:r>
              <w:rPr>
                <w:b/>
                <w:color w:val="FFFFFF"/>
                <w:sz w:val="20"/>
              </w:rPr>
              <w:t>Item</w:t>
            </w:r>
          </w:p>
        </w:tc>
        <w:tc>
          <w:tcPr>
            <w:tcW w:type="dxa" w:w="5669"/>
            <w:shd w:val="clear" w:color="auto" w:fill="2C6FBF"/>
          </w:tcPr>
          <w:p>
            <w:r>
              <w:rPr>
                <w:b/>
                <w:color w:val="FFFFFF"/>
                <w:sz w:val="20"/>
              </w:rPr>
              <w:t>Detail</w:t>
            </w:r>
          </w:p>
        </w:tc>
      </w:tr>
      <w:tr>
        <w:tc>
          <w:tcPr>
            <w:tcW w:type="dxa" w:w="3402"/>
            <w:shd w:val="clear" w:color="auto" w:fill="EEF3FA"/>
          </w:tcPr>
          <w:p>
            <w:r>
              <w:rPr>
                <w:b/>
                <w:sz w:val="20"/>
              </w:rPr>
              <w:t>Source File</w:t>
            </w:r>
          </w:p>
        </w:tc>
        <w:tc>
          <w:tcPr>
            <w:tcW w:type="dxa" w:w="5669"/>
            <w:shd w:val="clear" w:color="auto" w:fill="EEF3FA"/>
          </w:tcPr>
          <w:p>
            <w:r>
              <w:rPr>
                <w:sz w:val="20"/>
              </w:rPr>
              <w:t>Top5_League_Players_2017to2024_dataset.csv</w:t>
            </w:r>
          </w:p>
        </w:tc>
      </w:tr>
      <w:tr>
        <w:tc>
          <w:tcPr>
            <w:tcW w:type="dxa" w:w="3402"/>
          </w:tcPr>
          <w:p>
            <w:r>
              <w:rPr>
                <w:b/>
                <w:sz w:val="20"/>
              </w:rPr>
              <w:t>Delimiter</w:t>
            </w:r>
          </w:p>
        </w:tc>
        <w:tc>
          <w:tcPr>
            <w:tcW w:type="dxa" w:w="5669"/>
          </w:tcPr>
          <w:p>
            <w:r>
              <w:rPr>
                <w:sz w:val="20"/>
              </w:rPr>
              <w:t>Semicolon  ( ; )</w:t>
            </w:r>
          </w:p>
        </w:tc>
      </w:tr>
      <w:tr>
        <w:tc>
          <w:tcPr>
            <w:tcW w:type="dxa" w:w="3402"/>
            <w:shd w:val="clear" w:color="auto" w:fill="EEF3FA"/>
          </w:tcPr>
          <w:p>
            <w:r>
              <w:rPr>
                <w:b/>
                <w:sz w:val="20"/>
              </w:rPr>
              <w:t>Decimal Format</w:t>
            </w:r>
          </w:p>
        </w:tc>
        <w:tc>
          <w:tcPr>
            <w:tcW w:type="dxa" w:w="5669"/>
            <w:shd w:val="clear" w:color="auto" w:fill="EEF3FA"/>
          </w:tcPr>
          <w:p>
            <w:r>
              <w:rPr>
                <w:sz w:val="20"/>
              </w:rPr>
              <w:t>European comma  (e.g., "6,1" → 6.1)</w:t>
            </w:r>
          </w:p>
        </w:tc>
      </w:tr>
      <w:tr>
        <w:tc>
          <w:tcPr>
            <w:tcW w:type="dxa" w:w="3402"/>
          </w:tcPr>
          <w:p>
            <w:r>
              <w:rPr>
                <w:b/>
                <w:sz w:val="20"/>
              </w:rPr>
              <w:t>Total Rows</w:t>
            </w:r>
          </w:p>
        </w:tc>
        <w:tc>
          <w:tcPr>
            <w:tcW w:type="dxa" w:w="5669"/>
          </w:tcPr>
          <w:p>
            <w:r>
              <w:rPr>
                <w:sz w:val="20"/>
              </w:rPr>
              <w:t>22,929 player-seasons</w:t>
            </w:r>
          </w:p>
        </w:tc>
      </w:tr>
      <w:tr>
        <w:tc>
          <w:tcPr>
            <w:tcW w:type="dxa" w:w="3402"/>
            <w:shd w:val="clear" w:color="auto" w:fill="EEF3FA"/>
          </w:tcPr>
          <w:p>
            <w:r>
              <w:rPr>
                <w:b/>
                <w:sz w:val="20"/>
              </w:rPr>
              <w:t>Filtered Rows</w:t>
            </w:r>
          </w:p>
        </w:tc>
        <w:tc>
          <w:tcPr>
            <w:tcW w:type="dxa" w:w="5669"/>
            <w:shd w:val="clear" w:color="auto" w:fill="EEF3FA"/>
          </w:tcPr>
          <w:p>
            <w:r>
              <w:rPr>
                <w:sz w:val="20"/>
              </w:rPr>
              <w:t>~14,166  (players with ≥ 90 minutes played)</w:t>
            </w:r>
          </w:p>
        </w:tc>
      </w:tr>
      <w:tr>
        <w:tc>
          <w:tcPr>
            <w:tcW w:type="dxa" w:w="3402"/>
          </w:tcPr>
          <w:p>
            <w:r>
              <w:rPr>
                <w:b/>
                <w:sz w:val="20"/>
              </w:rPr>
              <w:t>Seasons</w:t>
            </w:r>
          </w:p>
        </w:tc>
        <w:tc>
          <w:tcPr>
            <w:tcW w:type="dxa" w:w="5669"/>
          </w:tcPr>
          <w:p>
            <w:r>
              <w:rPr>
                <w:sz w:val="20"/>
              </w:rPr>
              <w:t>2017/18 · 2018/19 · 2019/20 · 2020/21 · 2021/22 · 2022/23 · 2023/24</w:t>
            </w:r>
          </w:p>
        </w:tc>
      </w:tr>
      <w:tr>
        <w:tc>
          <w:tcPr>
            <w:tcW w:type="dxa" w:w="3402"/>
            <w:shd w:val="clear" w:color="auto" w:fill="EEF3FA"/>
          </w:tcPr>
          <w:p>
            <w:r>
              <w:rPr>
                <w:b/>
                <w:sz w:val="20"/>
              </w:rPr>
              <w:t>Leagues</w:t>
            </w:r>
          </w:p>
        </w:tc>
        <w:tc>
          <w:tcPr>
            <w:tcW w:type="dxa" w:w="5669"/>
            <w:shd w:val="clear" w:color="auto" w:fill="EEF3FA"/>
          </w:tcPr>
          <w:p>
            <w:r>
              <w:rPr>
                <w:sz w:val="20"/>
              </w:rPr>
              <w:t>Premier League · La Liga · Bundesliga · Serie A · Ligue 1</w:t>
            </w:r>
          </w:p>
        </w:tc>
      </w:tr>
      <w:tr>
        <w:tc>
          <w:tcPr>
            <w:tcW w:type="dxa" w:w="3402"/>
          </w:tcPr>
          <w:p>
            <w:r>
              <w:rPr>
                <w:b/>
                <w:sz w:val="20"/>
              </w:rPr>
              <w:t>Total Columns</w:t>
            </w:r>
          </w:p>
        </w:tc>
        <w:tc>
          <w:tcPr>
            <w:tcW w:type="dxa" w:w="5669"/>
          </w:tcPr>
          <w:p>
            <w:r>
              <w:rPr>
                <w:sz w:val="20"/>
              </w:rPr>
              <w:t>178 statistical attributes</w:t>
            </w:r>
          </w:p>
        </w:tc>
      </w:tr>
    </w:tbl>
    <w:p>
      <w:pPr>
        <w:spacing w:before="0" w:after="120"/>
      </w:pPr>
    </w:p>
    <w:p>
      <w:pPr>
        <w:pStyle w:val="Heading2"/>
        <w:spacing w:before="240" w:after="80"/>
      </w:pPr>
      <w:r>
        <w:rPr>
          <w:b/>
          <w:color w:val="1E3C7A"/>
          <w:sz w:val="32"/>
        </w:rPr>
        <w:t>2.1  Key Statistical Fields</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E3C7A"/>
          </w:tcPr>
          <w:p>
            <w:r>
              <w:rPr>
                <w:b/>
                <w:color w:val="FFFFFF"/>
                <w:sz w:val="19"/>
              </w:rPr>
              <w:t>Field Name</w:t>
            </w:r>
          </w:p>
        </w:tc>
        <w:tc>
          <w:tcPr>
            <w:tcW w:type="dxa" w:w="2551"/>
            <w:shd w:val="clear" w:color="auto" w:fill="1E3C7A"/>
          </w:tcPr>
          <w:p>
            <w:r>
              <w:rPr>
                <w:b/>
                <w:color w:val="FFFFFF"/>
                <w:sz w:val="19"/>
              </w:rPr>
              <w:t>CSV Column</w:t>
            </w:r>
          </w:p>
        </w:tc>
        <w:tc>
          <w:tcPr>
            <w:tcW w:type="dxa" w:w="4535"/>
            <w:shd w:val="clear" w:color="auto" w:fill="1E3C7A"/>
          </w:tcPr>
          <w:p>
            <w:r>
              <w:rPr>
                <w:b/>
                <w:color w:val="FFFFFF"/>
                <w:sz w:val="19"/>
              </w:rPr>
              <w:t>Description</w:t>
            </w:r>
          </w:p>
        </w:tc>
      </w:tr>
      <w:tr>
        <w:tc>
          <w:tcPr>
            <w:tcW w:type="dxa" w:w="1984"/>
            <w:shd w:val="clear" w:color="auto" w:fill="F5F8FD"/>
          </w:tcPr>
          <w:p>
            <w:r>
              <w:rPr>
                <w:sz w:val="19"/>
              </w:rPr>
              <w:t>Goals</w:t>
            </w:r>
          </w:p>
        </w:tc>
        <w:tc>
          <w:tcPr>
            <w:tcW w:type="dxa" w:w="2551"/>
            <w:shd w:val="clear" w:color="auto" w:fill="F5F8FD"/>
          </w:tcPr>
          <w:p>
            <w:r>
              <w:rPr>
                <w:sz w:val="19"/>
              </w:rPr>
              <w:t>Performance_Gls</w:t>
            </w:r>
          </w:p>
        </w:tc>
        <w:tc>
          <w:tcPr>
            <w:tcW w:type="dxa" w:w="4535"/>
            <w:shd w:val="clear" w:color="auto" w:fill="F5F8FD"/>
          </w:tcPr>
          <w:p>
            <w:r>
              <w:rPr>
                <w:sz w:val="19"/>
              </w:rPr>
              <w:t>Total goals scored in season</w:t>
            </w:r>
          </w:p>
        </w:tc>
      </w:tr>
      <w:tr>
        <w:tc>
          <w:tcPr>
            <w:tcW w:type="dxa" w:w="1984"/>
          </w:tcPr>
          <w:p>
            <w:r>
              <w:rPr>
                <w:sz w:val="19"/>
              </w:rPr>
              <w:t>Assists</w:t>
            </w:r>
          </w:p>
        </w:tc>
        <w:tc>
          <w:tcPr>
            <w:tcW w:type="dxa" w:w="2551"/>
          </w:tcPr>
          <w:p>
            <w:r>
              <w:rPr>
                <w:sz w:val="19"/>
              </w:rPr>
              <w:t>Performance_Ast</w:t>
            </w:r>
          </w:p>
        </w:tc>
        <w:tc>
          <w:tcPr>
            <w:tcW w:type="dxa" w:w="4535"/>
          </w:tcPr>
          <w:p>
            <w:r>
              <w:rPr>
                <w:sz w:val="19"/>
              </w:rPr>
              <w:t>Total assists in season</w:t>
            </w:r>
          </w:p>
        </w:tc>
      </w:tr>
      <w:tr>
        <w:tc>
          <w:tcPr>
            <w:tcW w:type="dxa" w:w="1984"/>
            <w:shd w:val="clear" w:color="auto" w:fill="F5F8FD"/>
          </w:tcPr>
          <w:p>
            <w:r>
              <w:rPr>
                <w:sz w:val="19"/>
              </w:rPr>
              <w:t>xG</w:t>
            </w:r>
          </w:p>
        </w:tc>
        <w:tc>
          <w:tcPr>
            <w:tcW w:type="dxa" w:w="2551"/>
            <w:shd w:val="clear" w:color="auto" w:fill="F5F8FD"/>
          </w:tcPr>
          <w:p>
            <w:r>
              <w:rPr>
                <w:sz w:val="19"/>
              </w:rPr>
              <w:t>Expected_xG</w:t>
            </w:r>
          </w:p>
        </w:tc>
        <w:tc>
          <w:tcPr>
            <w:tcW w:type="dxa" w:w="4535"/>
            <w:shd w:val="clear" w:color="auto" w:fill="F5F8FD"/>
          </w:tcPr>
          <w:p>
            <w:r>
              <w:rPr>
                <w:sz w:val="19"/>
              </w:rPr>
              <w:t>Expected goals (shot quality model)</w:t>
            </w:r>
          </w:p>
        </w:tc>
      </w:tr>
      <w:tr>
        <w:tc>
          <w:tcPr>
            <w:tcW w:type="dxa" w:w="1984"/>
          </w:tcPr>
          <w:p>
            <w:r>
              <w:rPr>
                <w:sz w:val="19"/>
              </w:rPr>
              <w:t>Shots</w:t>
            </w:r>
          </w:p>
        </w:tc>
        <w:tc>
          <w:tcPr>
            <w:tcW w:type="dxa" w:w="2551"/>
          </w:tcPr>
          <w:p>
            <w:r>
              <w:rPr>
                <w:sz w:val="19"/>
              </w:rPr>
              <w:t>Standard_Sh</w:t>
            </w:r>
          </w:p>
        </w:tc>
        <w:tc>
          <w:tcPr>
            <w:tcW w:type="dxa" w:w="4535"/>
          </w:tcPr>
          <w:p>
            <w:r>
              <w:rPr>
                <w:sz w:val="19"/>
              </w:rPr>
              <w:t>Total shots attempted</w:t>
            </w:r>
          </w:p>
        </w:tc>
      </w:tr>
      <w:tr>
        <w:tc>
          <w:tcPr>
            <w:tcW w:type="dxa" w:w="1984"/>
            <w:shd w:val="clear" w:color="auto" w:fill="F5F8FD"/>
          </w:tcPr>
          <w:p>
            <w:r>
              <w:rPr>
                <w:sz w:val="19"/>
              </w:rPr>
              <w:t>SoT</w:t>
            </w:r>
          </w:p>
        </w:tc>
        <w:tc>
          <w:tcPr>
            <w:tcW w:type="dxa" w:w="2551"/>
            <w:shd w:val="clear" w:color="auto" w:fill="F5F8FD"/>
          </w:tcPr>
          <w:p>
            <w:r>
              <w:rPr>
                <w:sz w:val="19"/>
              </w:rPr>
              <w:t>Standard_SoT</w:t>
            </w:r>
          </w:p>
        </w:tc>
        <w:tc>
          <w:tcPr>
            <w:tcW w:type="dxa" w:w="4535"/>
            <w:shd w:val="clear" w:color="auto" w:fill="F5F8FD"/>
          </w:tcPr>
          <w:p>
            <w:r>
              <w:rPr>
                <w:sz w:val="19"/>
              </w:rPr>
              <w:t>Shots on target</w:t>
            </w:r>
          </w:p>
        </w:tc>
      </w:tr>
      <w:tr>
        <w:tc>
          <w:tcPr>
            <w:tcW w:type="dxa" w:w="1984"/>
          </w:tcPr>
          <w:p>
            <w:r>
              <w:rPr>
                <w:sz w:val="19"/>
              </w:rPr>
              <w:t>GCA</w:t>
            </w:r>
          </w:p>
        </w:tc>
        <w:tc>
          <w:tcPr>
            <w:tcW w:type="dxa" w:w="2551"/>
          </w:tcPr>
          <w:p>
            <w:r>
              <w:rPr>
                <w:sz w:val="19"/>
              </w:rPr>
              <w:t>GCA_GCA</w:t>
            </w:r>
          </w:p>
        </w:tc>
        <w:tc>
          <w:tcPr>
            <w:tcW w:type="dxa" w:w="4535"/>
          </w:tcPr>
          <w:p>
            <w:r>
              <w:rPr>
                <w:sz w:val="19"/>
              </w:rPr>
              <w:t>Goal-creating actions</w:t>
            </w:r>
          </w:p>
        </w:tc>
      </w:tr>
      <w:tr>
        <w:tc>
          <w:tcPr>
            <w:tcW w:type="dxa" w:w="1984"/>
            <w:shd w:val="clear" w:color="auto" w:fill="F5F8FD"/>
          </w:tcPr>
          <w:p>
            <w:r>
              <w:rPr>
                <w:sz w:val="19"/>
              </w:rPr>
              <w:t>SCA</w:t>
            </w:r>
          </w:p>
        </w:tc>
        <w:tc>
          <w:tcPr>
            <w:tcW w:type="dxa" w:w="2551"/>
            <w:shd w:val="clear" w:color="auto" w:fill="F5F8FD"/>
          </w:tcPr>
          <w:p>
            <w:r>
              <w:rPr>
                <w:sz w:val="19"/>
              </w:rPr>
              <w:t>SCA_SCA</w:t>
            </w:r>
          </w:p>
        </w:tc>
        <w:tc>
          <w:tcPr>
            <w:tcW w:type="dxa" w:w="4535"/>
            <w:shd w:val="clear" w:color="auto" w:fill="F5F8FD"/>
          </w:tcPr>
          <w:p>
            <w:r>
              <w:rPr>
                <w:sz w:val="19"/>
              </w:rPr>
              <w:t>Shot-creating actions</w:t>
            </w:r>
          </w:p>
        </w:tc>
      </w:tr>
      <w:tr>
        <w:tc>
          <w:tcPr>
            <w:tcW w:type="dxa" w:w="1984"/>
          </w:tcPr>
          <w:p>
            <w:r>
              <w:rPr>
                <w:sz w:val="19"/>
              </w:rPr>
              <w:t>Touches</w:t>
            </w:r>
          </w:p>
        </w:tc>
        <w:tc>
          <w:tcPr>
            <w:tcW w:type="dxa" w:w="2551"/>
          </w:tcPr>
          <w:p>
            <w:r>
              <w:rPr>
                <w:sz w:val="19"/>
              </w:rPr>
              <w:t>Touches_Touches</w:t>
            </w:r>
          </w:p>
        </w:tc>
        <w:tc>
          <w:tcPr>
            <w:tcW w:type="dxa" w:w="4535"/>
          </w:tcPr>
          <w:p>
            <w:r>
              <w:rPr>
                <w:sz w:val="19"/>
              </w:rPr>
              <w:t>Total ball touches</w:t>
            </w:r>
          </w:p>
        </w:tc>
      </w:tr>
      <w:tr>
        <w:tc>
          <w:tcPr>
            <w:tcW w:type="dxa" w:w="1984"/>
            <w:shd w:val="clear" w:color="auto" w:fill="F5F8FD"/>
          </w:tcPr>
          <w:p>
            <w:r>
              <w:rPr>
                <w:sz w:val="19"/>
              </w:rPr>
              <w:t>Tackles</w:t>
            </w:r>
          </w:p>
        </w:tc>
        <w:tc>
          <w:tcPr>
            <w:tcW w:type="dxa" w:w="2551"/>
            <w:shd w:val="clear" w:color="auto" w:fill="F5F8FD"/>
          </w:tcPr>
          <w:p>
            <w:r>
              <w:rPr>
                <w:sz w:val="19"/>
              </w:rPr>
              <w:t>Tackles_Tkl</w:t>
            </w:r>
          </w:p>
        </w:tc>
        <w:tc>
          <w:tcPr>
            <w:tcW w:type="dxa" w:w="4535"/>
            <w:shd w:val="clear" w:color="auto" w:fill="F5F8FD"/>
          </w:tcPr>
          <w:p>
            <w:r>
              <w:rPr>
                <w:sz w:val="19"/>
              </w:rPr>
              <w:t>Tackles attempted</w:t>
            </w:r>
          </w:p>
        </w:tc>
      </w:tr>
      <w:tr>
        <w:tc>
          <w:tcPr>
            <w:tcW w:type="dxa" w:w="1984"/>
          </w:tcPr>
          <w:p>
            <w:r>
              <w:rPr>
                <w:sz w:val="19"/>
              </w:rPr>
              <w:t>Interceptions</w:t>
            </w:r>
          </w:p>
        </w:tc>
        <w:tc>
          <w:tcPr>
            <w:tcW w:type="dxa" w:w="2551"/>
          </w:tcPr>
          <w:p>
            <w:r>
              <w:rPr>
                <w:sz w:val="19"/>
              </w:rPr>
              <w:t>Int_</w:t>
            </w:r>
          </w:p>
        </w:tc>
        <w:tc>
          <w:tcPr>
            <w:tcW w:type="dxa" w:w="4535"/>
          </w:tcPr>
          <w:p>
            <w:r>
              <w:rPr>
                <w:sz w:val="19"/>
              </w:rPr>
              <w:t>Interceptions</w:t>
            </w:r>
          </w:p>
        </w:tc>
      </w:tr>
      <w:tr>
        <w:tc>
          <w:tcPr>
            <w:tcW w:type="dxa" w:w="1984"/>
            <w:shd w:val="clear" w:color="auto" w:fill="F5F8FD"/>
          </w:tcPr>
          <w:p>
            <w:r>
              <w:rPr>
                <w:sz w:val="19"/>
              </w:rPr>
              <w:t>Prog. Passes</w:t>
            </w:r>
          </w:p>
        </w:tc>
        <w:tc>
          <w:tcPr>
            <w:tcW w:type="dxa" w:w="2551"/>
            <w:shd w:val="clear" w:color="auto" w:fill="F5F8FD"/>
          </w:tcPr>
          <w:p>
            <w:r>
              <w:rPr>
                <w:sz w:val="19"/>
              </w:rPr>
              <w:t>Progression_PrgP</w:t>
            </w:r>
          </w:p>
        </w:tc>
        <w:tc>
          <w:tcPr>
            <w:tcW w:type="dxa" w:w="4535"/>
            <w:shd w:val="clear" w:color="auto" w:fill="F5F8FD"/>
          </w:tcPr>
          <w:p>
            <w:r>
              <w:rPr>
                <w:sz w:val="19"/>
              </w:rPr>
              <w:t>Progressive passes</w:t>
            </w:r>
          </w:p>
        </w:tc>
      </w:tr>
      <w:tr>
        <w:tc>
          <w:tcPr>
            <w:tcW w:type="dxa" w:w="1984"/>
          </w:tcPr>
          <w:p>
            <w:r>
              <w:rPr>
                <w:sz w:val="19"/>
              </w:rPr>
              <w:t>Minutes</w:t>
            </w:r>
          </w:p>
        </w:tc>
        <w:tc>
          <w:tcPr>
            <w:tcW w:type="dxa" w:w="2551"/>
          </w:tcPr>
          <w:p>
            <w:r>
              <w:rPr>
                <w:sz w:val="19"/>
              </w:rPr>
              <w:t>Playing Time_Min</w:t>
            </w:r>
          </w:p>
        </w:tc>
        <w:tc>
          <w:tcPr>
            <w:tcW w:type="dxa" w:w="4535"/>
          </w:tcPr>
          <w:p>
            <w:r>
              <w:rPr>
                <w:sz w:val="19"/>
              </w:rPr>
              <w:t>Total minutes played</w:t>
            </w:r>
          </w:p>
        </w:tc>
      </w:tr>
      <w:tr>
        <w:tc>
          <w:tcPr>
            <w:tcW w:type="dxa" w:w="1984"/>
            <w:shd w:val="clear" w:color="auto" w:fill="F5F8FD"/>
          </w:tcPr>
          <w:p>
            <w:r>
              <w:rPr>
                <w:sz w:val="19"/>
              </w:rPr>
              <w:t>Matches</w:t>
            </w:r>
          </w:p>
        </w:tc>
        <w:tc>
          <w:tcPr>
            <w:tcW w:type="dxa" w:w="2551"/>
            <w:shd w:val="clear" w:color="auto" w:fill="F5F8FD"/>
          </w:tcPr>
          <w:p>
            <w:r>
              <w:rPr>
                <w:sz w:val="19"/>
              </w:rPr>
              <w:t>Playing Time_MP</w:t>
            </w:r>
          </w:p>
        </w:tc>
        <w:tc>
          <w:tcPr>
            <w:tcW w:type="dxa" w:w="4535"/>
            <w:shd w:val="clear" w:color="auto" w:fill="F5F8FD"/>
          </w:tcPr>
          <w:p>
            <w:r>
              <w:rPr>
                <w:sz w:val="19"/>
              </w:rPr>
              <w:t>Matches played</w:t>
            </w:r>
          </w:p>
        </w:tc>
      </w:tr>
      <w:tr>
        <w:tc>
          <w:tcPr>
            <w:tcW w:type="dxa" w:w="1984"/>
          </w:tcPr>
          <w:p>
            <w:r>
              <w:rPr>
                <w:sz w:val="19"/>
              </w:rPr>
              <w:t>Age</w:t>
            </w:r>
          </w:p>
        </w:tc>
        <w:tc>
          <w:tcPr>
            <w:tcW w:type="dxa" w:w="2551"/>
          </w:tcPr>
          <w:p>
            <w:r>
              <w:rPr>
                <w:sz w:val="19"/>
              </w:rPr>
              <w:t>age_</w:t>
            </w:r>
          </w:p>
        </w:tc>
        <w:tc>
          <w:tcPr>
            <w:tcW w:type="dxa" w:w="4535"/>
          </w:tcPr>
          <w:p>
            <w:r>
              <w:rPr>
                <w:sz w:val="19"/>
              </w:rPr>
              <w:t>Player age at season start</w:t>
            </w:r>
          </w:p>
        </w:tc>
      </w:tr>
      <w:tr>
        <w:tc>
          <w:tcPr>
            <w:tcW w:type="dxa" w:w="1984"/>
            <w:shd w:val="clear" w:color="auto" w:fill="F5F8FD"/>
          </w:tcPr>
          <w:p>
            <w:r>
              <w:rPr>
                <w:sz w:val="19"/>
              </w:rPr>
              <w:t>Position</w:t>
            </w:r>
          </w:p>
        </w:tc>
        <w:tc>
          <w:tcPr>
            <w:tcW w:type="dxa" w:w="2551"/>
            <w:shd w:val="clear" w:color="auto" w:fill="F5F8FD"/>
          </w:tcPr>
          <w:p>
            <w:r>
              <w:rPr>
                <w:sz w:val="19"/>
              </w:rPr>
              <w:t>pos_</w:t>
            </w:r>
          </w:p>
        </w:tc>
        <w:tc>
          <w:tcPr>
            <w:tcW w:type="dxa" w:w="4535"/>
            <w:shd w:val="clear" w:color="auto" w:fill="F5F8FD"/>
          </w:tcPr>
          <w:p>
            <w:r>
              <w:rPr>
                <w:sz w:val="19"/>
              </w:rPr>
              <w:t>Primary position (FW/MF/DF/GK)</w:t>
            </w:r>
          </w:p>
        </w:tc>
      </w:tr>
    </w:tbl>
    <w:p>
      <w:pPr>
        <w:spacing w:before="0" w:after="160"/>
      </w:pPr>
    </w:p>
    <w:p>
      <w:pPr>
        <w:pStyle w:val="Heading1"/>
        <w:spacing w:before="240" w:after="80"/>
      </w:pPr>
      <w:r>
        <w:rPr>
          <w:b/>
          <w:color w:val="1E3C7A"/>
          <w:sz w:val="40"/>
        </w:rPr>
        <w:t>3. Application Features</w:t>
      </w:r>
    </w:p>
    <w:p>
      <w:pPr>
        <w:pBdr>
          <w:bottom w:val="single" w:sz="6" w:space="1" w:color="2C6FBF"/>
        </w:pBdr>
        <w:spacing w:after="120"/>
      </w:pPr>
    </w:p>
    <w:p>
      <w:pPr>
        <w:pStyle w:val="Heading2"/>
        <w:spacing w:before="240" w:after="80"/>
      </w:pPr>
      <w:r>
        <w:rPr>
          <w:b/>
          <w:color w:val="2C6FBF"/>
          <w:sz w:val="32"/>
        </w:rPr>
        <w:t>3.1  Tab 1 — Player / Team Analysis</w:t>
      </w:r>
    </w:p>
    <w:p>
      <w:pPr>
        <w:spacing w:after="60"/>
      </w:pPr>
      <w:r>
        <w:rPr>
          <w:b w:val="0"/>
          <w:i w:val="0"/>
          <w:sz w:val="21"/>
        </w:rPr>
        <w:t>Provides multi-filter search and ranking of players across all seasons and leagues. Users can combine league, position, season, and keyword filters to narrow down results. A dynamic bar chart ranks the top 20 players by any selected metric.</w:t>
      </w:r>
    </w:p>
    <w:p>
      <w:pPr>
        <w:spacing w:before="0" w:after="60"/>
      </w:pPr>
    </w:p>
    <w:tbl>
      <w:tblPr>
        <w:tblStyle w:val="TableGrid"/>
        <w:tblW w:type="auto" w:w="0"/>
        <w:jc w:val="left"/>
        <w:tblLook w:firstColumn="1" w:firstRow="1" w:lastColumn="0" w:lastRow="0" w:noHBand="0" w:noVBand="1" w:val="04A0"/>
      </w:tblPr>
      <w:tblGrid>
        <w:gridCol w:w="4703"/>
        <w:gridCol w:w="4703"/>
      </w:tblGrid>
      <w:tr>
        <w:tc>
          <w:tcPr>
            <w:tcW w:type="dxa" w:w="1984"/>
            <w:shd w:val="clear" w:color="auto" w:fill="1E3C7A"/>
          </w:tcPr>
          <w:p>
            <w:r>
              <w:rPr>
                <w:b/>
                <w:color w:val="FFFFFF"/>
                <w:sz w:val="19"/>
              </w:rPr>
              <w:t>Filter</w:t>
            </w:r>
          </w:p>
        </w:tc>
        <w:tc>
          <w:tcPr>
            <w:tcW w:type="dxa" w:w="7087"/>
            <w:shd w:val="clear" w:color="auto" w:fill="1E3C7A"/>
          </w:tcPr>
          <w:p>
            <w:r>
              <w:rPr>
                <w:b/>
                <w:color w:val="FFFFFF"/>
                <w:sz w:val="19"/>
              </w:rPr>
              <w:t>Options</w:t>
            </w:r>
          </w:p>
        </w:tc>
      </w:tr>
      <w:tr>
        <w:tc>
          <w:tcPr>
            <w:tcW w:type="dxa" w:w="1984"/>
            <w:shd w:val="clear" w:color="auto" w:fill="F5F8FD"/>
          </w:tcPr>
          <w:p>
            <w:r>
              <w:rPr>
                <w:sz w:val="19"/>
              </w:rPr>
              <w:t>League</w:t>
            </w:r>
          </w:p>
        </w:tc>
        <w:tc>
          <w:tcPr>
            <w:tcW w:type="dxa" w:w="7087"/>
            <w:shd w:val="clear" w:color="auto" w:fill="F5F8FD"/>
          </w:tcPr>
          <w:p>
            <w:r>
              <w:rPr>
                <w:sz w:val="19"/>
              </w:rPr>
              <w:t>All · Premier League · La Liga · Bundesliga · Serie A · Ligue 1</w:t>
            </w:r>
          </w:p>
        </w:tc>
      </w:tr>
      <w:tr>
        <w:tc>
          <w:tcPr>
            <w:tcW w:type="dxa" w:w="1984"/>
          </w:tcPr>
          <w:p>
            <w:r>
              <w:rPr>
                <w:sz w:val="19"/>
              </w:rPr>
              <w:t>Position</w:t>
            </w:r>
          </w:p>
        </w:tc>
        <w:tc>
          <w:tcPr>
            <w:tcW w:type="dxa" w:w="7087"/>
          </w:tcPr>
          <w:p>
            <w:r>
              <w:rPr>
                <w:sz w:val="19"/>
              </w:rPr>
              <w:t>All · FW (Forward) · MF (Midfielder) · DF (Defender) · GK (Goalkeeper)</w:t>
            </w:r>
          </w:p>
        </w:tc>
      </w:tr>
      <w:tr>
        <w:tc>
          <w:tcPr>
            <w:tcW w:type="dxa" w:w="1984"/>
            <w:shd w:val="clear" w:color="auto" w:fill="F5F8FD"/>
          </w:tcPr>
          <w:p>
            <w:r>
              <w:rPr>
                <w:sz w:val="19"/>
              </w:rPr>
              <w:t>Season</w:t>
            </w:r>
          </w:p>
        </w:tc>
        <w:tc>
          <w:tcPr>
            <w:tcW w:type="dxa" w:w="7087"/>
            <w:shd w:val="clear" w:color="auto" w:fill="F5F8FD"/>
          </w:tcPr>
          <w:p>
            <w:r>
              <w:rPr>
                <w:sz w:val="19"/>
              </w:rPr>
              <w:t>All · 17/18 · 18/19 · 19/20 · 20/21 · 21/22 · 22/23 · 23/24</w:t>
            </w:r>
          </w:p>
        </w:tc>
      </w:tr>
      <w:tr>
        <w:tc>
          <w:tcPr>
            <w:tcW w:type="dxa" w:w="1984"/>
          </w:tcPr>
          <w:p>
            <w:r>
              <w:rPr>
                <w:sz w:val="19"/>
              </w:rPr>
              <w:t>Metric</w:t>
            </w:r>
          </w:p>
        </w:tc>
        <w:tc>
          <w:tcPr>
            <w:tcW w:type="dxa" w:w="7087"/>
          </w:tcPr>
          <w:p>
            <w:r>
              <w:rPr>
                <w:sz w:val="19"/>
              </w:rPr>
              <w:t>Goals · Assists · xG · Shots · SCA · GCA · Touches · Tackles · Minutes</w:t>
            </w:r>
          </w:p>
        </w:tc>
      </w:tr>
    </w:tbl>
    <w:p>
      <w:pPr>
        <w:spacing w:before="0" w:after="120"/>
      </w:pPr>
    </w:p>
    <w:p>
      <w:pPr>
        <w:pStyle w:val="Heading2"/>
        <w:spacing w:before="240" w:after="80"/>
      </w:pPr>
      <w:r>
        <w:rPr>
          <w:b/>
          <w:color w:val="2C6FBF"/>
          <w:sz w:val="32"/>
        </w:rPr>
        <w:t>3.2  Tab 2 — Time-Series Prediction</w:t>
      </w:r>
    </w:p>
    <w:p>
      <w:pPr>
        <w:spacing w:after="60"/>
      </w:pPr>
      <w:r>
        <w:rPr>
          <w:b w:val="0"/>
          <w:i w:val="0"/>
          <w:sz w:val="21"/>
        </w:rPr>
        <w:t>Allows users to select any player via a three-level cascade dropdown (League → Team → Player) and generate a 3-season statistical forecast. The model applies Holt Double Exponential Smoothing to the player's historical season totals and decomposes each forecast season into quarterly figures. A 95% confidence interval band is overlaid on the trend chart.</w:t>
      </w:r>
    </w:p>
    <w:p>
      <w:pPr>
        <w:spacing w:before="0" w:after="60"/>
      </w:pP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E3C7A"/>
          </w:tcPr>
          <w:p>
            <w:r>
              <w:rPr>
                <w:b/>
                <w:color w:val="FFFFFF"/>
                <w:sz w:val="19"/>
              </w:rPr>
              <w:t>Component</w:t>
            </w:r>
          </w:p>
        </w:tc>
        <w:tc>
          <w:tcPr>
            <w:tcW w:type="dxa" w:w="6520"/>
            <w:shd w:val="clear" w:color="auto" w:fill="1E3C7A"/>
          </w:tcPr>
          <w:p>
            <w:r>
              <w:rPr>
                <w:b/>
                <w:color w:val="FFFFFF"/>
                <w:sz w:val="19"/>
              </w:rPr>
              <w:t>Detail</w:t>
            </w:r>
          </w:p>
        </w:tc>
      </w:tr>
      <w:tr>
        <w:tc>
          <w:tcPr>
            <w:tcW w:type="dxa" w:w="2551"/>
            <w:shd w:val="clear" w:color="auto" w:fill="F5F8FD"/>
          </w:tcPr>
          <w:p>
            <w:r>
              <w:rPr>
                <w:sz w:val="19"/>
              </w:rPr>
              <w:t>Selection Method</w:t>
            </w:r>
          </w:p>
        </w:tc>
        <w:tc>
          <w:tcPr>
            <w:tcW w:type="dxa" w:w="6520"/>
            <w:shd w:val="clear" w:color="auto" w:fill="F5F8FD"/>
          </w:tcPr>
          <w:p>
            <w:r>
              <w:rPr>
                <w:sz w:val="19"/>
              </w:rPr>
              <w:t>Cascade dropdowns: League → Team → Player → Metric</w:t>
            </w:r>
          </w:p>
        </w:tc>
      </w:tr>
      <w:tr>
        <w:tc>
          <w:tcPr>
            <w:tcW w:type="dxa" w:w="2551"/>
          </w:tcPr>
          <w:p>
            <w:r>
              <w:rPr>
                <w:sz w:val="19"/>
              </w:rPr>
              <w:t>Forecast Horizon</w:t>
            </w:r>
          </w:p>
        </w:tc>
        <w:tc>
          <w:tcPr>
            <w:tcW w:type="dxa" w:w="6520"/>
          </w:tcPr>
          <w:p>
            <w:r>
              <w:rPr>
                <w:sz w:val="19"/>
              </w:rPr>
              <w:t>3 seasons ahead (25/26, 26/27, 27/28)</w:t>
            </w:r>
          </w:p>
        </w:tc>
      </w:tr>
      <w:tr>
        <w:tc>
          <w:tcPr>
            <w:tcW w:type="dxa" w:w="2551"/>
            <w:shd w:val="clear" w:color="auto" w:fill="F5F8FD"/>
          </w:tcPr>
          <w:p>
            <w:r>
              <w:rPr>
                <w:sz w:val="19"/>
              </w:rPr>
              <w:t>Model</w:t>
            </w:r>
          </w:p>
        </w:tc>
        <w:tc>
          <w:tcPr>
            <w:tcW w:type="dxa" w:w="6520"/>
            <w:shd w:val="clear" w:color="auto" w:fill="F5F8FD"/>
          </w:tcPr>
          <w:p>
            <w:r>
              <w:rPr>
                <w:sz w:val="19"/>
              </w:rPr>
              <w:t>Holt Double Exponential Smoothing</w:t>
            </w:r>
          </w:p>
        </w:tc>
      </w:tr>
      <w:tr>
        <w:tc>
          <w:tcPr>
            <w:tcW w:type="dxa" w:w="2551"/>
          </w:tcPr>
          <w:p>
            <w:r>
              <w:rPr>
                <w:sz w:val="19"/>
              </w:rPr>
              <w:t>Smoothing α</w:t>
            </w:r>
          </w:p>
        </w:tc>
        <w:tc>
          <w:tcPr>
            <w:tcW w:type="dxa" w:w="6520"/>
          </w:tcPr>
          <w:p>
            <w:r>
              <w:rPr>
                <w:sz w:val="19"/>
              </w:rPr>
              <w:t>0.35  (level smoothing)</w:t>
            </w:r>
          </w:p>
        </w:tc>
      </w:tr>
      <w:tr>
        <w:tc>
          <w:tcPr>
            <w:tcW w:type="dxa" w:w="2551"/>
            <w:shd w:val="clear" w:color="auto" w:fill="F5F8FD"/>
          </w:tcPr>
          <w:p>
            <w:r>
              <w:rPr>
                <w:sz w:val="19"/>
              </w:rPr>
              <w:t>Smoothing β</w:t>
            </w:r>
          </w:p>
        </w:tc>
        <w:tc>
          <w:tcPr>
            <w:tcW w:type="dxa" w:w="6520"/>
            <w:shd w:val="clear" w:color="auto" w:fill="F5F8FD"/>
          </w:tcPr>
          <w:p>
            <w:r>
              <w:rPr>
                <w:sz w:val="19"/>
              </w:rPr>
              <w:t>0.20  (trend smoothing)</w:t>
            </w:r>
          </w:p>
        </w:tc>
      </w:tr>
      <w:tr>
        <w:tc>
          <w:tcPr>
            <w:tcW w:type="dxa" w:w="2551"/>
          </w:tcPr>
          <w:p>
            <w:r>
              <w:rPr>
                <w:sz w:val="19"/>
              </w:rPr>
              <w:t>Confidence Band</w:t>
            </w:r>
          </w:p>
        </w:tc>
        <w:tc>
          <w:tcPr>
            <w:tcW w:type="dxa" w:w="6520"/>
          </w:tcPr>
          <w:p>
            <w:r>
              <w:rPr>
                <w:sz w:val="19"/>
              </w:rPr>
              <w:t>95% CI  =  forecast ± 1.96 × historical σ</w:t>
            </w:r>
          </w:p>
        </w:tc>
      </w:tr>
      <w:tr>
        <w:tc>
          <w:tcPr>
            <w:tcW w:type="dxa" w:w="2551"/>
            <w:shd w:val="clear" w:color="auto" w:fill="F5F8FD"/>
          </w:tcPr>
          <w:p>
            <w:r>
              <w:rPr>
                <w:sz w:val="19"/>
              </w:rPr>
              <w:t>Quarterly Weights</w:t>
            </w:r>
          </w:p>
        </w:tc>
        <w:tc>
          <w:tcPr>
            <w:tcW w:type="dxa" w:w="6520"/>
            <w:shd w:val="clear" w:color="auto" w:fill="F5F8FD"/>
          </w:tcPr>
          <w:p>
            <w:r>
              <w:rPr>
                <w:sz w:val="19"/>
              </w:rPr>
              <w:t>Q1: 30%  Q2: 25%  Q3: 20%  Q4: 25%</w:t>
            </w:r>
          </w:p>
        </w:tc>
      </w:tr>
      <w:tr>
        <w:tc>
          <w:tcPr>
            <w:tcW w:type="dxa" w:w="2551"/>
          </w:tcPr>
          <w:p>
            <w:r>
              <w:rPr>
                <w:sz w:val="19"/>
              </w:rPr>
              <w:t>Chart</w:t>
            </w:r>
          </w:p>
        </w:tc>
        <w:tc>
          <w:tcPr>
            <w:tcW w:type="dxa" w:w="6520"/>
          </w:tcPr>
          <w:p>
            <w:r>
              <w:rPr>
                <w:sz w:val="19"/>
              </w:rPr>
              <w:t>Historical line (blue) + forecast dashed (red) + CI band (orange)</w:t>
            </w:r>
          </w:p>
        </w:tc>
      </w:tr>
    </w:tbl>
    <w:p>
      <w:pPr>
        <w:spacing w:before="0" w:after="120"/>
      </w:pPr>
    </w:p>
    <w:p>
      <w:pPr>
        <w:pStyle w:val="Heading2"/>
        <w:spacing w:before="240" w:after="80"/>
      </w:pPr>
      <w:r>
        <w:rPr>
          <w:b/>
          <w:color w:val="2C6FBF"/>
          <w:sz w:val="32"/>
        </w:rPr>
        <w:t>3.3  Tab 3 — Market Value Estimation</w:t>
      </w:r>
    </w:p>
    <w:p>
      <w:pPr>
        <w:spacing w:after="60"/>
      </w:pPr>
      <w:r>
        <w:rPr>
          <w:b w:val="0"/>
          <w:i w:val="0"/>
          <w:sz w:val="21"/>
        </w:rPr>
        <w:t>Estimates the transfer market value (€M) for any player using a regression-style formula that accounts for age, position, performance statistics, and league premium. Users select a player via cascade dropdowns and can inspect the squad ranking within the selected team as well as a league average comparison chart.</w:t>
      </w:r>
    </w:p>
    <w:p>
      <w:pPr>
        <w:spacing w:before="0" w:after="60"/>
      </w:pP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E3C7A"/>
          </w:tcPr>
          <w:p>
            <w:r>
              <w:rPr>
                <w:b/>
                <w:color w:val="FFFFFF"/>
                <w:sz w:val="19"/>
              </w:rPr>
              <w:t>Component</w:t>
            </w:r>
          </w:p>
        </w:tc>
        <w:tc>
          <w:tcPr>
            <w:tcW w:type="dxa" w:w="6803"/>
            <w:shd w:val="clear" w:color="auto" w:fill="1E3C7A"/>
          </w:tcPr>
          <w:p>
            <w:r>
              <w:rPr>
                <w:b/>
                <w:color w:val="FFFFFF"/>
                <w:sz w:val="19"/>
              </w:rPr>
              <w:t>Detail</w:t>
            </w:r>
          </w:p>
        </w:tc>
      </w:tr>
      <w:tr>
        <w:tc>
          <w:tcPr>
            <w:tcW w:type="dxa" w:w="2268"/>
            <w:shd w:val="clear" w:color="auto" w:fill="F5F8FD"/>
          </w:tcPr>
          <w:p>
            <w:r>
              <w:rPr>
                <w:sz w:val="19"/>
              </w:rPr>
              <w:t>Selection Method</w:t>
            </w:r>
          </w:p>
        </w:tc>
        <w:tc>
          <w:tcPr>
            <w:tcW w:type="dxa" w:w="6803"/>
            <w:shd w:val="clear" w:color="auto" w:fill="F5F8FD"/>
          </w:tcPr>
          <w:p>
            <w:r>
              <w:rPr>
                <w:sz w:val="19"/>
              </w:rPr>
              <w:t>Cascade dropdowns: League → Team → Player → Season</w:t>
            </w:r>
          </w:p>
        </w:tc>
      </w:tr>
      <w:tr>
        <w:tc>
          <w:tcPr>
            <w:tcW w:type="dxa" w:w="2268"/>
          </w:tcPr>
          <w:p>
            <w:r>
              <w:rPr>
                <w:sz w:val="19"/>
              </w:rPr>
              <w:t>Output</w:t>
            </w:r>
          </w:p>
        </w:tc>
        <w:tc>
          <w:tcPr>
            <w:tcW w:type="dxa" w:w="6803"/>
          </w:tcPr>
          <w:p>
            <w:r>
              <w:rPr>
                <w:sz w:val="19"/>
              </w:rPr>
              <w:t>Estimated value in €M + tier badge</w:t>
            </w:r>
          </w:p>
        </w:tc>
      </w:tr>
      <w:tr>
        <w:tc>
          <w:tcPr>
            <w:tcW w:type="dxa" w:w="2268"/>
            <w:shd w:val="clear" w:color="auto" w:fill="F5F8FD"/>
          </w:tcPr>
          <w:p>
            <w:r>
              <w:rPr>
                <w:sz w:val="19"/>
              </w:rPr>
              <w:t>Tier Labels</w:t>
            </w:r>
          </w:p>
        </w:tc>
        <w:tc>
          <w:tcPr>
            <w:tcW w:type="dxa" w:w="6803"/>
            <w:shd w:val="clear" w:color="auto" w:fill="F5F8FD"/>
          </w:tcPr>
          <w:p>
            <w:r>
              <w:rPr>
                <w:sz w:val="19"/>
              </w:rPr>
              <w:t>World Class (&gt;€60M) · Top Player (&gt;€30M) · Good Player (&gt;€15M) · Squad Player (&gt;€5M) · Rotation</w:t>
            </w:r>
          </w:p>
        </w:tc>
      </w:tr>
      <w:tr>
        <w:tc>
          <w:tcPr>
            <w:tcW w:type="dxa" w:w="2268"/>
          </w:tcPr>
          <w:p>
            <w:r>
              <w:rPr>
                <w:sz w:val="19"/>
              </w:rPr>
              <w:t>Chart (right)</w:t>
            </w:r>
          </w:p>
        </w:tc>
        <w:tc>
          <w:tcPr>
            <w:tcW w:type="dxa" w:w="6803"/>
          </w:tcPr>
          <w:p>
            <w:r>
              <w:rPr>
                <w:sz w:val="19"/>
              </w:rPr>
              <w:t>Team squad ranking bar chart, selected player highlighted green</w:t>
            </w:r>
          </w:p>
        </w:tc>
      </w:tr>
      <w:tr>
        <w:tc>
          <w:tcPr>
            <w:tcW w:type="dxa" w:w="2268"/>
            <w:shd w:val="clear" w:color="auto" w:fill="F5F8FD"/>
          </w:tcPr>
          <w:p>
            <w:r>
              <w:rPr>
                <w:sz w:val="19"/>
              </w:rPr>
              <w:t>League Chart</w:t>
            </w:r>
          </w:p>
        </w:tc>
        <w:tc>
          <w:tcPr>
            <w:tcW w:type="dxa" w:w="6803"/>
            <w:shd w:val="clear" w:color="auto" w:fill="F5F8FD"/>
          </w:tcPr>
          <w:p>
            <w:r>
              <w:rPr>
                <w:sz w:val="19"/>
              </w:rPr>
              <w:t>Average market value per league for selected season</w:t>
            </w:r>
          </w:p>
        </w:tc>
      </w:tr>
    </w:tbl>
    <w:p>
      <w:pPr>
        <w:spacing w:before="0" w:after="120"/>
      </w:pPr>
    </w:p>
    <w:p>
      <w:pPr>
        <w:pStyle w:val="Heading2"/>
        <w:spacing w:before="240" w:after="80"/>
      </w:pPr>
      <w:r>
        <w:rPr>
          <w:b/>
          <w:color w:val="2C6FBF"/>
          <w:sz w:val="32"/>
        </w:rPr>
        <w:t>3.4  Tab 4 — Tactical Trends</w:t>
      </w:r>
    </w:p>
    <w:p>
      <w:pPr>
        <w:spacing w:after="60"/>
      </w:pPr>
      <w:r>
        <w:rPr>
          <w:b w:val="0"/>
          <w:i w:val="0"/>
          <w:sz w:val="21"/>
        </w:rPr>
        <w:t>Presents season-by-season average metric values per player-season for each of the five leagues, allowing comparison of tactical evolution across competitions. Two charts are provided: an absolute trend chart and a season-over-season percentage change chart.</w:t>
      </w:r>
    </w:p>
    <w:p>
      <w:pPr>
        <w:spacing w:before="0" w:after="60"/>
      </w:pPr>
    </w:p>
    <w:tbl>
      <w:tblPr>
        <w:tblStyle w:val="TableGrid"/>
        <w:tblW w:type="auto" w:w="0"/>
        <w:jc w:val="left"/>
        <w:tblLook w:firstColumn="1" w:firstRow="1" w:lastColumn="0" w:lastRow="0" w:noHBand="0" w:noVBand="1" w:val="04A0"/>
      </w:tblPr>
      <w:tblGrid>
        <w:gridCol w:w="4703"/>
        <w:gridCol w:w="4703"/>
      </w:tblGrid>
      <w:tr>
        <w:tc>
          <w:tcPr>
            <w:tcW w:type="dxa" w:w="1984"/>
            <w:shd w:val="clear" w:color="auto" w:fill="1E3C7A"/>
          </w:tcPr>
          <w:p>
            <w:r>
              <w:rPr>
                <w:b/>
                <w:color w:val="FFFFFF"/>
                <w:sz w:val="19"/>
              </w:rPr>
              <w:t>Component</w:t>
            </w:r>
          </w:p>
        </w:tc>
        <w:tc>
          <w:tcPr>
            <w:tcW w:type="dxa" w:w="7087"/>
            <w:shd w:val="clear" w:color="auto" w:fill="1E3C7A"/>
          </w:tcPr>
          <w:p>
            <w:r>
              <w:rPr>
                <w:b/>
                <w:color w:val="FFFFFF"/>
                <w:sz w:val="19"/>
              </w:rPr>
              <w:t>Detail</w:t>
            </w:r>
          </w:p>
        </w:tc>
      </w:tr>
      <w:tr>
        <w:tc>
          <w:tcPr>
            <w:tcW w:type="dxa" w:w="1984"/>
            <w:shd w:val="clear" w:color="auto" w:fill="F5F8FD"/>
          </w:tcPr>
          <w:p>
            <w:r>
              <w:rPr>
                <w:sz w:val="19"/>
              </w:rPr>
              <w:t>X Axis</w:t>
            </w:r>
          </w:p>
        </w:tc>
        <w:tc>
          <w:tcPr>
            <w:tcW w:type="dxa" w:w="7087"/>
            <w:shd w:val="clear" w:color="auto" w:fill="F5F8FD"/>
          </w:tcPr>
          <w:p>
            <w:r>
              <w:rPr>
                <w:sz w:val="19"/>
              </w:rPr>
              <w:t>Season (2017/18 → 2023/24)</w:t>
            </w:r>
          </w:p>
        </w:tc>
      </w:tr>
      <w:tr>
        <w:tc>
          <w:tcPr>
            <w:tcW w:type="dxa" w:w="1984"/>
          </w:tcPr>
          <w:p>
            <w:r>
              <w:rPr>
                <w:sz w:val="19"/>
              </w:rPr>
              <w:t>Y Axis</w:t>
            </w:r>
          </w:p>
        </w:tc>
        <w:tc>
          <w:tcPr>
            <w:tcW w:type="dxa" w:w="7087"/>
          </w:tcPr>
          <w:p>
            <w:r>
              <w:rPr>
                <w:sz w:val="19"/>
              </w:rPr>
              <w:t>Average metric value per player-season in that league</w:t>
            </w:r>
          </w:p>
        </w:tc>
      </w:tr>
      <w:tr>
        <w:tc>
          <w:tcPr>
            <w:tcW w:type="dxa" w:w="1984"/>
            <w:shd w:val="clear" w:color="auto" w:fill="F5F8FD"/>
          </w:tcPr>
          <w:p>
            <w:r>
              <w:rPr>
                <w:sz w:val="19"/>
              </w:rPr>
              <w:t>Line colors</w:t>
            </w:r>
          </w:p>
        </w:tc>
        <w:tc>
          <w:tcPr>
            <w:tcW w:type="dxa" w:w="7087"/>
            <w:shd w:val="clear" w:color="auto" w:fill="F5F8FD"/>
          </w:tcPr>
          <w:p>
            <w:r>
              <w:rPr>
                <w:sz w:val="19"/>
              </w:rPr>
              <w:t>Bundesliga (orange) · La Liga (red) · Ligue 1 (green) · Premier League (blue) · Serie A (purple)</w:t>
            </w:r>
          </w:p>
        </w:tc>
      </w:tr>
      <w:tr>
        <w:tc>
          <w:tcPr>
            <w:tcW w:type="dxa" w:w="1984"/>
          </w:tcPr>
          <w:p>
            <w:r>
              <w:rPr>
                <w:sz w:val="19"/>
              </w:rPr>
              <w:t>Second chart</w:t>
            </w:r>
          </w:p>
        </w:tc>
        <w:tc>
          <w:tcPr>
            <w:tcW w:type="dxa" w:w="7087"/>
          </w:tcPr>
          <w:p>
            <w:r>
              <w:rPr>
                <w:sz w:val="19"/>
              </w:rPr>
              <w:t>Season-over-season % change per league</w:t>
            </w:r>
          </w:p>
        </w:tc>
      </w:tr>
      <w:tr>
        <w:tc>
          <w:tcPr>
            <w:tcW w:type="dxa" w:w="1984"/>
            <w:shd w:val="clear" w:color="auto" w:fill="F5F8FD"/>
          </w:tcPr>
          <w:p>
            <w:r>
              <w:rPr>
                <w:sz w:val="19"/>
              </w:rPr>
              <w:t>Metric</w:t>
            </w:r>
          </w:p>
        </w:tc>
        <w:tc>
          <w:tcPr>
            <w:tcW w:type="dxa" w:w="7087"/>
            <w:shd w:val="clear" w:color="auto" w:fill="F5F8FD"/>
          </w:tcPr>
          <w:p>
            <w:r>
              <w:rPr>
                <w:sz w:val="19"/>
              </w:rPr>
              <w:t>Selectable: Goals · Assists · xG · Shots · SCA · GCA · Touches · Tackles · Minutes</w:t>
            </w:r>
          </w:p>
        </w:tc>
      </w:tr>
    </w:tbl>
    <w:p>
      <w:pPr>
        <w:spacing w:before="0" w:after="160"/>
      </w:pPr>
    </w:p>
    <w:p>
      <w:r>
        <w:br w:type="page"/>
      </w:r>
    </w:p>
    <w:p>
      <w:pPr>
        <w:pStyle w:val="Heading1"/>
        <w:spacing w:before="240" w:after="80"/>
      </w:pPr>
      <w:r>
        <w:rPr>
          <w:b/>
          <w:color w:val="1E3C7A"/>
          <w:sz w:val="40"/>
        </w:rPr>
        <w:t>4. Algorithms &amp; Models</w:t>
      </w:r>
    </w:p>
    <w:p>
      <w:pPr>
        <w:pBdr>
          <w:bottom w:val="single" w:sz="6" w:space="1" w:color="2C6FBF"/>
        </w:pBdr>
        <w:spacing w:after="120"/>
      </w:pPr>
    </w:p>
    <w:p>
      <w:pPr>
        <w:pStyle w:val="Heading2"/>
        <w:spacing w:before="240" w:after="80"/>
      </w:pPr>
      <w:r>
        <w:rPr>
          <w:b/>
          <w:color w:val="2C6FBF"/>
          <w:sz w:val="32"/>
        </w:rPr>
        <w:t>4.1  Holt Double Exponential Smoothing</w:t>
      </w:r>
    </w:p>
    <w:p>
      <w:pPr>
        <w:spacing w:after="60"/>
      </w:pPr>
      <w:r>
        <w:rPr>
          <w:b w:val="0"/>
          <w:i w:val="0"/>
          <w:sz w:val="21"/>
        </w:rPr>
        <w:t>Holt's linear trend method extends simple exponential smoothing by adding a trend component, making it suitable for time series with a consistent directional trend. It uses two smoothing equations — one for the level (current value) and one for the trend (rate of change) — to produce h-step-ahead forecasts.</w:t>
      </w:r>
    </w:p>
    <w:p>
      <w:pPr>
        <w:spacing w:before="0" w:after="60"/>
      </w:pP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Level:    L(t) = α · y(t) + (1 − α) · (L(t−1) + B(t−1))</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Trend:    B(t) = β · (L(t) − L(t−1)) + (1 − β) · B(t−1)</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Forecast: ŷ(T+h) = L(T) + h · B(T)</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Parameters:  α = 0.35  (level smoothing)</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β = 0.20  (trend smoothing)</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Constraint:  forecast values floored at 0.0 (no negative stats)</w:t>
      </w:r>
    </w:p>
    <w:p>
      <w:pPr>
        <w:spacing w:before="0" w:after="60"/>
      </w:pPr>
    </w:p>
    <w:p>
      <w:pPr>
        <w:spacing w:after="60"/>
      </w:pPr>
      <w:r>
        <w:rPr>
          <w:b w:val="0"/>
          <w:i/>
          <w:color w:val="606060"/>
          <w:sz w:val="21"/>
        </w:rPr>
        <w:t>Quarterly decomposition applies fixed seasonal weights [0.30, 0.25, 0.20, 0.25] with a small golden-ratio perturbation per forecast season index to produce naturally varying quarterly values without a full seasonal model.</w:t>
      </w:r>
    </w:p>
    <w:p>
      <w:pPr>
        <w:spacing w:before="0" w:after="120"/>
      </w:pPr>
    </w:p>
    <w:p>
      <w:pPr>
        <w:pStyle w:val="Heading2"/>
        <w:spacing w:before="240" w:after="80"/>
      </w:pPr>
      <w:r>
        <w:rPr>
          <w:b/>
          <w:color w:val="2C6FBF"/>
          <w:sz w:val="32"/>
        </w:rPr>
        <w:t>4.2  Market Value Estimation Formula</w:t>
      </w:r>
    </w:p>
    <w:p>
      <w:pPr>
        <w:spacing w:after="60"/>
      </w:pPr>
      <w:r>
        <w:rPr>
          <w:b w:val="0"/>
          <w:i w:val="0"/>
          <w:sz w:val="21"/>
        </w:rPr>
        <w:t>Transfer market values are estimated using a multiplicative formula that combines four independent factors. The age factor follows a Gaussian curve peaked at age 25, reflecting the typical career trajectory in professional football.</w:t>
      </w:r>
    </w:p>
    <w:p>
      <w:pPr>
        <w:spacing w:before="0" w:after="60"/>
      </w:pP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Value (€M)  =  base × age_factor × (perf / 5.5) × league_premium</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age_factor  =  exp( −0.045 × (age − 25)² )</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base        →  FW: 18   MF: 13   DF: 9   GK: 6</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perf        =  1 + goals×1.0 + assists×0.6 + xG×0.4</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min(minutes/3000, 1.2)×1.8</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GCA×0.25 + SCA×0.04</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league_prem →  Premier League: 1.55   La Liga: 1.35</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Bundesliga: 1.30       Serie A: 1.20</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Ligue 1: 1.10</w:t>
      </w:r>
    </w:p>
    <w:p>
      <w:pPr>
        <w:spacing w:before="0" w:after="120"/>
      </w:pPr>
    </w:p>
    <w:p>
      <w:pPr>
        <w:pStyle w:val="Heading2"/>
        <w:spacing w:before="240" w:after="80"/>
      </w:pPr>
      <w:r>
        <w:rPr>
          <w:b/>
          <w:color w:val="2C6FBF"/>
          <w:sz w:val="32"/>
        </w:rPr>
        <w:t>4.3  Uncertainty Quantification</w:t>
      </w:r>
    </w:p>
    <w:p>
      <w:pPr>
        <w:spacing w:after="60"/>
      </w:pPr>
      <w:r>
        <w:rPr>
          <w:b w:val="0"/>
          <w:i w:val="0"/>
          <w:sz w:val="21"/>
        </w:rPr>
        <w:t>Forecast uncertainty is estimated from the historical standard deviation of the player's observed season values. A 95% confidence interval is constructed assuming approximate normality of forecast errors.</w:t>
      </w:r>
    </w:p>
    <w:p>
      <w:pPr>
        <w:spacing w:before="0" w:after="60"/>
      </w:pP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σ (historical)  =  std_dev( y(1), y(2), ..., y(T) )</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95% CI          =  forecast(h) ± 1.96 × σ</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Lower bound     =  max( 0.0,  forecast(h) − 1.96σ )</w:t>
      </w:r>
    </w:p>
    <w:p>
      <w:pPr>
        <w:spacing w:before="0" w:after="160"/>
      </w:pPr>
    </w:p>
    <w:p>
      <w:pPr>
        <w:pStyle w:val="Heading1"/>
        <w:spacing w:before="240" w:after="80"/>
      </w:pPr>
      <w:r>
        <w:rPr>
          <w:b/>
          <w:color w:val="1E3C7A"/>
          <w:sz w:val="40"/>
        </w:rPr>
        <w:t>5. Technical Architecture</w:t>
      </w:r>
    </w:p>
    <w:p>
      <w:pPr>
        <w:pBdr>
          <w:bottom w:val="single" w:sz="6" w:space="1" w:color="2C6FBF"/>
        </w:pBdr>
        <w:spacing w:after="120"/>
      </w:pPr>
    </w:p>
    <w:p>
      <w:pPr>
        <w:pStyle w:val="Heading2"/>
        <w:spacing w:before="240" w:after="80"/>
      </w:pPr>
      <w:r>
        <w:rPr>
          <w:b/>
          <w:color w:val="2C6FBF"/>
          <w:sz w:val="32"/>
        </w:rPr>
        <w:t>5.1  Technology Stack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E3C7A"/>
          </w:tcPr>
          <w:p>
            <w:r>
              <w:rPr>
                <w:b/>
                <w:color w:val="FFFFFF"/>
                <w:sz w:val="19"/>
              </w:rPr>
              <w:t>Layer</w:t>
            </w:r>
          </w:p>
        </w:tc>
        <w:tc>
          <w:tcPr>
            <w:tcW w:type="dxa" w:w="1984"/>
            <w:shd w:val="clear" w:color="auto" w:fill="1E3C7A"/>
          </w:tcPr>
          <w:p>
            <w:r>
              <w:rPr>
                <w:b/>
                <w:color w:val="FFFFFF"/>
                <w:sz w:val="19"/>
              </w:rPr>
              <w:t>Technology</w:t>
            </w:r>
          </w:p>
        </w:tc>
        <w:tc>
          <w:tcPr>
            <w:tcW w:type="dxa" w:w="1134"/>
            <w:shd w:val="clear" w:color="auto" w:fill="1E3C7A"/>
          </w:tcPr>
          <w:p>
            <w:r>
              <w:rPr>
                <w:b/>
                <w:color w:val="FFFFFF"/>
                <w:sz w:val="19"/>
              </w:rPr>
              <w:t>Version</w:t>
            </w:r>
          </w:p>
        </w:tc>
        <w:tc>
          <w:tcPr>
            <w:tcW w:type="dxa" w:w="3969"/>
            <w:shd w:val="clear" w:color="auto" w:fill="1E3C7A"/>
          </w:tcPr>
          <w:p>
            <w:r>
              <w:rPr>
                <w:b/>
                <w:color w:val="FFFFFF"/>
                <w:sz w:val="19"/>
              </w:rPr>
              <w:t>Role</w:t>
            </w:r>
          </w:p>
        </w:tc>
      </w:tr>
      <w:tr>
        <w:tc>
          <w:tcPr>
            <w:tcW w:type="dxa" w:w="1984"/>
            <w:shd w:val="clear" w:color="auto" w:fill="F5F8FD"/>
          </w:tcPr>
          <w:p>
            <w:r>
              <w:rPr>
                <w:sz w:val="19"/>
              </w:rPr>
              <w:t>Language</w:t>
            </w:r>
          </w:p>
        </w:tc>
        <w:tc>
          <w:tcPr>
            <w:tcW w:type="dxa" w:w="1984"/>
            <w:shd w:val="clear" w:color="auto" w:fill="F5F8FD"/>
          </w:tcPr>
          <w:p>
            <w:r>
              <w:rPr>
                <w:sz w:val="19"/>
              </w:rPr>
              <w:t>Rust</w:t>
            </w:r>
          </w:p>
        </w:tc>
        <w:tc>
          <w:tcPr>
            <w:tcW w:type="dxa" w:w="1134"/>
            <w:shd w:val="clear" w:color="auto" w:fill="F5F8FD"/>
          </w:tcPr>
          <w:p>
            <w:r>
              <w:rPr>
                <w:sz w:val="19"/>
              </w:rPr>
              <w:t>1.75+</w:t>
            </w:r>
          </w:p>
        </w:tc>
        <w:tc>
          <w:tcPr>
            <w:tcW w:type="dxa" w:w="3969"/>
            <w:shd w:val="clear" w:color="auto" w:fill="F5F8FD"/>
          </w:tcPr>
          <w:p>
            <w:r>
              <w:rPr>
                <w:sz w:val="19"/>
              </w:rPr>
              <w:t>Core application logic</w:t>
            </w:r>
          </w:p>
        </w:tc>
      </w:tr>
      <w:tr>
        <w:tc>
          <w:tcPr>
            <w:tcW w:type="dxa" w:w="1984"/>
          </w:tcPr>
          <w:p>
            <w:r>
              <w:rPr>
                <w:sz w:val="19"/>
              </w:rPr>
              <w:t>GUI Runtime</w:t>
            </w:r>
          </w:p>
        </w:tc>
        <w:tc>
          <w:tcPr>
            <w:tcW w:type="dxa" w:w="1984"/>
          </w:tcPr>
          <w:p>
            <w:r>
              <w:rPr>
                <w:sz w:val="19"/>
              </w:rPr>
              <w:t>eframe</w:t>
            </w:r>
          </w:p>
        </w:tc>
        <w:tc>
          <w:tcPr>
            <w:tcW w:type="dxa" w:w="1134"/>
          </w:tcPr>
          <w:p>
            <w:r>
              <w:rPr>
                <w:sz w:val="19"/>
              </w:rPr>
              <w:t>0.27</w:t>
            </w:r>
          </w:p>
        </w:tc>
        <w:tc>
          <w:tcPr>
            <w:tcW w:type="dxa" w:w="3969"/>
          </w:tcPr>
          <w:p>
            <w:r>
              <w:rPr>
                <w:sz w:val="19"/>
              </w:rPr>
              <w:t>Native OS window management</w:t>
            </w:r>
          </w:p>
        </w:tc>
      </w:tr>
      <w:tr>
        <w:tc>
          <w:tcPr>
            <w:tcW w:type="dxa" w:w="1984"/>
            <w:shd w:val="clear" w:color="auto" w:fill="F5F8FD"/>
          </w:tcPr>
          <w:p>
            <w:r>
              <w:rPr>
                <w:sz w:val="19"/>
              </w:rPr>
              <w:t>UI Toolkit</w:t>
            </w:r>
          </w:p>
        </w:tc>
        <w:tc>
          <w:tcPr>
            <w:tcW w:type="dxa" w:w="1984"/>
            <w:shd w:val="clear" w:color="auto" w:fill="F5F8FD"/>
          </w:tcPr>
          <w:p>
            <w:r>
              <w:rPr>
                <w:sz w:val="19"/>
              </w:rPr>
              <w:t>egui</w:t>
            </w:r>
          </w:p>
        </w:tc>
        <w:tc>
          <w:tcPr>
            <w:tcW w:type="dxa" w:w="1134"/>
            <w:shd w:val="clear" w:color="auto" w:fill="F5F8FD"/>
          </w:tcPr>
          <w:p>
            <w:r>
              <w:rPr>
                <w:sz w:val="19"/>
              </w:rPr>
              <w:t>0.27</w:t>
            </w:r>
          </w:p>
        </w:tc>
        <w:tc>
          <w:tcPr>
            <w:tcW w:type="dxa" w:w="3969"/>
            <w:shd w:val="clear" w:color="auto" w:fill="F5F8FD"/>
          </w:tcPr>
          <w:p>
            <w:r>
              <w:rPr>
                <w:sz w:val="19"/>
              </w:rPr>
              <w:t>Immediate-mode GUI rendering</w:t>
            </w:r>
          </w:p>
        </w:tc>
      </w:tr>
      <w:tr>
        <w:tc>
          <w:tcPr>
            <w:tcW w:type="dxa" w:w="1984"/>
          </w:tcPr>
          <w:p>
            <w:r>
              <w:rPr>
                <w:sz w:val="19"/>
              </w:rPr>
              <w:t>Charting</w:t>
            </w:r>
          </w:p>
        </w:tc>
        <w:tc>
          <w:tcPr>
            <w:tcW w:type="dxa" w:w="1984"/>
          </w:tcPr>
          <w:p>
            <w:r>
              <w:rPr>
                <w:sz w:val="19"/>
              </w:rPr>
              <w:t>egui_plot</w:t>
            </w:r>
          </w:p>
        </w:tc>
        <w:tc>
          <w:tcPr>
            <w:tcW w:type="dxa" w:w="1134"/>
          </w:tcPr>
          <w:p>
            <w:r>
              <w:rPr>
                <w:sz w:val="19"/>
              </w:rPr>
              <w:t>0.27</w:t>
            </w:r>
          </w:p>
        </w:tc>
        <w:tc>
          <w:tcPr>
            <w:tcW w:type="dxa" w:w="3969"/>
          </w:tcPr>
          <w:p>
            <w:r>
              <w:rPr>
                <w:sz w:val="19"/>
              </w:rPr>
              <w:t>Line charts, bar charts</w:t>
            </w:r>
          </w:p>
        </w:tc>
      </w:tr>
      <w:tr>
        <w:tc>
          <w:tcPr>
            <w:tcW w:type="dxa" w:w="1984"/>
            <w:shd w:val="clear" w:color="auto" w:fill="F5F8FD"/>
          </w:tcPr>
          <w:p>
            <w:r>
              <w:rPr>
                <w:sz w:val="19"/>
              </w:rPr>
              <w:t>Icon Embedding</w:t>
            </w:r>
          </w:p>
        </w:tc>
        <w:tc>
          <w:tcPr>
            <w:tcW w:type="dxa" w:w="1984"/>
            <w:shd w:val="clear" w:color="auto" w:fill="F5F8FD"/>
          </w:tcPr>
          <w:p>
            <w:r>
              <w:rPr>
                <w:sz w:val="19"/>
              </w:rPr>
              <w:t>winres</w:t>
            </w:r>
          </w:p>
        </w:tc>
        <w:tc>
          <w:tcPr>
            <w:tcW w:type="dxa" w:w="1134"/>
            <w:shd w:val="clear" w:color="auto" w:fill="F5F8FD"/>
          </w:tcPr>
          <w:p>
            <w:r>
              <w:rPr>
                <w:sz w:val="19"/>
              </w:rPr>
              <w:t>0.1</w:t>
            </w:r>
          </w:p>
        </w:tc>
        <w:tc>
          <w:tcPr>
            <w:tcW w:type="dxa" w:w="3969"/>
            <w:shd w:val="clear" w:color="auto" w:fill="F5F8FD"/>
          </w:tcPr>
          <w:p>
            <w:r>
              <w:rPr>
                <w:sz w:val="19"/>
              </w:rPr>
              <w:t>Windows .ico resource embedding</w:t>
            </w:r>
          </w:p>
        </w:tc>
      </w:tr>
      <w:tr>
        <w:tc>
          <w:tcPr>
            <w:tcW w:type="dxa" w:w="1984"/>
          </w:tcPr>
          <w:p>
            <w:r>
              <w:rPr>
                <w:sz w:val="19"/>
              </w:rPr>
              <w:t>Data Format</w:t>
            </w:r>
          </w:p>
        </w:tc>
        <w:tc>
          <w:tcPr>
            <w:tcW w:type="dxa" w:w="1984"/>
          </w:tcPr>
          <w:p>
            <w:r>
              <w:rPr>
                <w:sz w:val="19"/>
              </w:rPr>
              <w:t>CSV (embedded)</w:t>
            </w:r>
          </w:p>
        </w:tc>
        <w:tc>
          <w:tcPr>
            <w:tcW w:type="dxa" w:w="1134"/>
          </w:tcPr>
          <w:p>
            <w:r>
              <w:rPr>
                <w:sz w:val="19"/>
              </w:rPr>
              <w:t>—</w:t>
            </w:r>
          </w:p>
        </w:tc>
        <w:tc>
          <w:tcPr>
            <w:tcW w:type="dxa" w:w="3969"/>
          </w:tcPr>
          <w:p>
            <w:r>
              <w:rPr>
                <w:sz w:val="19"/>
              </w:rPr>
              <w:t>include_bytes! at compile time</w:t>
            </w:r>
          </w:p>
        </w:tc>
      </w:tr>
      <w:tr>
        <w:tc>
          <w:tcPr>
            <w:tcW w:type="dxa" w:w="1984"/>
            <w:shd w:val="clear" w:color="auto" w:fill="F5F8FD"/>
          </w:tcPr>
          <w:p>
            <w:r>
              <w:rPr>
                <w:sz w:val="19"/>
              </w:rPr>
              <w:t>Build Script</w:t>
            </w:r>
          </w:p>
        </w:tc>
        <w:tc>
          <w:tcPr>
            <w:tcW w:type="dxa" w:w="1984"/>
            <w:shd w:val="clear" w:color="auto" w:fill="F5F8FD"/>
          </w:tcPr>
          <w:p>
            <w:r>
              <w:rPr>
                <w:sz w:val="19"/>
              </w:rPr>
              <w:t>build.rs</w:t>
            </w:r>
          </w:p>
        </w:tc>
        <w:tc>
          <w:tcPr>
            <w:tcW w:type="dxa" w:w="1134"/>
            <w:shd w:val="clear" w:color="auto" w:fill="F5F8FD"/>
          </w:tcPr>
          <w:p>
            <w:r>
              <w:rPr>
                <w:sz w:val="19"/>
              </w:rPr>
              <w:t>—</w:t>
            </w:r>
          </w:p>
        </w:tc>
        <w:tc>
          <w:tcPr>
            <w:tcW w:type="dxa" w:w="3969"/>
            <w:shd w:val="clear" w:color="auto" w:fill="F5F8FD"/>
          </w:tcPr>
          <w:p>
            <w:r>
              <w:rPr>
                <w:sz w:val="19"/>
              </w:rPr>
              <w:t>Auto-generates icon.ico (16/32/48 px)</w:t>
            </w:r>
          </w:p>
        </w:tc>
      </w:tr>
    </w:tbl>
    <w:p>
      <w:pPr>
        <w:spacing w:before="0" w:after="120"/>
      </w:pPr>
    </w:p>
    <w:p>
      <w:pPr>
        <w:pStyle w:val="Heading2"/>
        <w:spacing w:before="240" w:after="80"/>
      </w:pPr>
      <w:r>
        <w:rPr>
          <w:b/>
          <w:color w:val="2C6FBF"/>
          <w:sz w:val="32"/>
        </w:rPr>
        <w:t>5.2  Data Flow</w:t>
      </w:r>
    </w:p>
    <w:p>
      <w:pPr>
        <w:spacing w:after="60"/>
      </w:pPr>
      <w:r>
        <w:rPr>
          <w:b/>
          <w:i w:val="0"/>
          <w:sz w:val="21"/>
        </w:rPr>
        <w:t>Compile Time:</w:t>
      </w:r>
    </w:p>
    <w:p>
      <w:pPr>
        <w:spacing w:after="60"/>
      </w:pPr>
      <w:r>
        <w:rPr>
          <w:b w:val="0"/>
          <w:i w:val="0"/>
          <w:color w:val="606060"/>
          <w:sz w:val="20"/>
        </w:rPr>
        <w:t>assets/data.csv  →  include_bytes!  →  static &amp;[u8] CSV_DATA embedded in binary</w:t>
      </w:r>
    </w:p>
    <w:p>
      <w:pPr>
        <w:spacing w:before="0" w:after="40"/>
      </w:pPr>
    </w:p>
    <w:p>
      <w:pPr>
        <w:spacing w:after="60"/>
      </w:pPr>
      <w:r>
        <w:rPr>
          <w:b/>
          <w:i w:val="0"/>
          <w:sz w:val="21"/>
        </w:rPr>
        <w:t>Runtime Startup:</w:t>
      </w:r>
    </w:p>
    <w:p>
      <w:pPr>
        <w:spacing w:after="60"/>
      </w:pPr>
      <w:r>
        <w:rPr>
          <w:b w:val="0"/>
          <w:i w:val="0"/>
          <w:color w:val="606060"/>
          <w:sz w:val="20"/>
        </w:rPr>
        <w:t>CSV_DATA  →  BufReader(Cursor)  →  parse semicolon rows  →  Vec&lt;PlayerRecord&gt;  →  App state</w:t>
      </w:r>
    </w:p>
    <w:p>
      <w:pPr>
        <w:spacing w:before="0" w:after="40"/>
      </w:pPr>
    </w:p>
    <w:p>
      <w:pPr>
        <w:spacing w:after="60"/>
      </w:pPr>
      <w:r>
        <w:rPr>
          <w:b/>
          <w:i w:val="0"/>
          <w:sz w:val="21"/>
        </w:rPr>
        <w:t>UI Rendering (immediate-mode loop):</w:t>
      </w:r>
    </w:p>
    <w:p>
      <w:pPr>
        <w:spacing w:after="60"/>
      </w:pPr>
      <w:r>
        <w:rPr>
          <w:b w:val="0"/>
          <w:i w:val="0"/>
          <w:color w:val="606060"/>
          <w:sz w:val="20"/>
        </w:rPr>
        <w:t>App.update()  →  match Tab  →  filter/compute on Vec&lt;PlayerRecord&gt;  →  egui widgets + egui_plot</w:t>
      </w:r>
    </w:p>
    <w:p>
      <w:pPr>
        <w:spacing w:before="0" w:after="120"/>
      </w:pPr>
    </w:p>
    <w:p>
      <w:pPr>
        <w:pStyle w:val="Heading2"/>
        <w:spacing w:before="240" w:after="80"/>
      </w:pPr>
      <w:r>
        <w:rPr>
          <w:b/>
          <w:color w:val="2C6FBF"/>
          <w:sz w:val="32"/>
        </w:rPr>
        <w:t>5.3  Project Structure</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football_analyzer/</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assets/</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 data.csv          ← 13 MB source CSV (embedded at compile time)</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src/</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 main.rs           ← Full application (~1,000 lines)</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build.rs              ← Generates icon.ico + embeds Windows resource</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icon.ico              ← Auto-generated "L" icon (16/32/48 px)</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Cargo.toml</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README.md</w:t>
      </w:r>
    </w:p>
    <w:p>
      <w:pPr>
        <w:spacing w:after="20"/>
        <w:ind w:left="567"/>
        <w:pBdr>
          <w:top w:val="none" w:sz="12" w:color="2C6FBF"/>
          <w:bottom w:val="none" w:sz="12" w:color="2C6FBF"/>
          <w:left w:val="single" w:sz="12" w:color="2C6FBF"/>
          <w:right w:val="none" w:sz="12" w:color="2C6FBF"/>
        </w:pBdr>
      </w:pPr>
      <w:r>
        <w:rPr>
          <w:rFonts w:ascii="Courier New" w:hAnsi="Courier New"/>
          <w:color w:val="1E3C7A"/>
          <w:sz w:val="19"/>
        </w:rPr>
        <w:t xml:space="preserve">  └── README_KR.md</w:t>
      </w:r>
    </w:p>
    <w:p>
      <w:pPr>
        <w:spacing w:before="0" w:after="160"/>
      </w:pPr>
    </w:p>
    <w:p>
      <w:r>
        <w:br w:type="page"/>
      </w:r>
    </w:p>
    <w:p>
      <w:pPr>
        <w:pStyle w:val="Heading1"/>
        <w:spacing w:before="240" w:after="80"/>
      </w:pPr>
      <w:r>
        <w:rPr>
          <w:b/>
          <w:color w:val="1E3C7A"/>
          <w:sz w:val="40"/>
        </w:rPr>
        <w:t>6. Key Analysis Insights</w:t>
      </w:r>
    </w:p>
    <w:p>
      <w:pPr>
        <w:pBdr>
          <w:bottom w:val="single" w:sz="6" w:space="1" w:color="2C6FBF"/>
        </w:pBdr>
        <w:spacing w:after="120"/>
      </w:pPr>
    </w:p>
    <w:p>
      <w:pPr>
        <w:pStyle w:val="Heading2"/>
        <w:spacing w:before="240" w:after="80"/>
      </w:pPr>
      <w:r>
        <w:rPr>
          <w:b/>
          <w:color w:val="2C6FBF"/>
          <w:sz w:val="32"/>
        </w:rPr>
        <w:t>6.1  Dataset Characteristics</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1E3C7A"/>
          </w:tcPr>
          <w:p>
            <w:r>
              <w:rPr>
                <w:b/>
                <w:color w:val="FFFFFF"/>
                <w:sz w:val="19"/>
              </w:rPr>
              <w:t>Metric</w:t>
            </w:r>
          </w:p>
        </w:tc>
        <w:tc>
          <w:tcPr>
            <w:tcW w:type="dxa" w:w="1984"/>
            <w:shd w:val="clear" w:color="auto" w:fill="1E3C7A"/>
          </w:tcPr>
          <w:p>
            <w:r>
              <w:rPr>
                <w:b/>
                <w:color w:val="FFFFFF"/>
                <w:sz w:val="19"/>
              </w:rPr>
              <w:t>Value</w:t>
            </w:r>
          </w:p>
        </w:tc>
        <w:tc>
          <w:tcPr>
            <w:tcW w:type="dxa" w:w="3685"/>
            <w:shd w:val="clear" w:color="auto" w:fill="1E3C7A"/>
          </w:tcPr>
          <w:p>
            <w:r>
              <w:rPr>
                <w:b/>
                <w:color w:val="FFFFFF"/>
                <w:sz w:val="19"/>
              </w:rPr>
              <w:t>Note</w:t>
            </w:r>
          </w:p>
        </w:tc>
      </w:tr>
      <w:tr>
        <w:tc>
          <w:tcPr>
            <w:tcW w:type="dxa" w:w="3402"/>
            <w:shd w:val="clear" w:color="auto" w:fill="F5F8FD"/>
          </w:tcPr>
          <w:p>
            <w:r>
              <w:rPr>
                <w:sz w:val="19"/>
              </w:rPr>
              <w:t>Total player-seasons (raw)</w:t>
            </w:r>
          </w:p>
        </w:tc>
        <w:tc>
          <w:tcPr>
            <w:tcW w:type="dxa" w:w="1984"/>
            <w:shd w:val="clear" w:color="auto" w:fill="F5F8FD"/>
          </w:tcPr>
          <w:p>
            <w:r>
              <w:rPr>
                <w:sz w:val="19"/>
              </w:rPr>
              <w:t>22,929</w:t>
            </w:r>
          </w:p>
        </w:tc>
        <w:tc>
          <w:tcPr>
            <w:tcW w:type="dxa" w:w="3685"/>
            <w:shd w:val="clear" w:color="auto" w:fill="F5F8FD"/>
          </w:tcPr>
          <w:p>
            <w:r>
              <w:rPr>
                <w:sz w:val="19"/>
              </w:rPr>
              <w:t>Before filtering</w:t>
            </w:r>
          </w:p>
        </w:tc>
      </w:tr>
      <w:tr>
        <w:tc>
          <w:tcPr>
            <w:tcW w:type="dxa" w:w="3402"/>
          </w:tcPr>
          <w:p>
            <w:r>
              <w:rPr>
                <w:sz w:val="19"/>
              </w:rPr>
              <w:t>Filtered player-seasons</w:t>
            </w:r>
          </w:p>
        </w:tc>
        <w:tc>
          <w:tcPr>
            <w:tcW w:type="dxa" w:w="1984"/>
          </w:tcPr>
          <w:p>
            <w:r>
              <w:rPr>
                <w:sz w:val="19"/>
              </w:rPr>
              <w:t>~14,166</w:t>
            </w:r>
          </w:p>
        </w:tc>
        <w:tc>
          <w:tcPr>
            <w:tcW w:type="dxa" w:w="3685"/>
          </w:tcPr>
          <w:p>
            <w:r>
              <w:rPr>
                <w:sz w:val="19"/>
              </w:rPr>
              <w:t>≥ 90 minutes played</w:t>
            </w:r>
          </w:p>
        </w:tc>
      </w:tr>
      <w:tr>
        <w:tc>
          <w:tcPr>
            <w:tcW w:type="dxa" w:w="3402"/>
            <w:shd w:val="clear" w:color="auto" w:fill="F5F8FD"/>
          </w:tcPr>
          <w:p>
            <w:r>
              <w:rPr>
                <w:sz w:val="19"/>
              </w:rPr>
              <w:t>Season range</w:t>
            </w:r>
          </w:p>
        </w:tc>
        <w:tc>
          <w:tcPr>
            <w:tcW w:type="dxa" w:w="1984"/>
            <w:shd w:val="clear" w:color="auto" w:fill="F5F8FD"/>
          </w:tcPr>
          <w:p>
            <w:r>
              <w:rPr>
                <w:sz w:val="19"/>
              </w:rPr>
              <w:t>7 seasons</w:t>
            </w:r>
          </w:p>
        </w:tc>
        <w:tc>
          <w:tcPr>
            <w:tcW w:type="dxa" w:w="3685"/>
            <w:shd w:val="clear" w:color="auto" w:fill="F5F8FD"/>
          </w:tcPr>
          <w:p>
            <w:r>
              <w:rPr>
                <w:sz w:val="19"/>
              </w:rPr>
              <w:t>2017/18 – 2023/24</w:t>
            </w:r>
          </w:p>
        </w:tc>
      </w:tr>
      <w:tr>
        <w:tc>
          <w:tcPr>
            <w:tcW w:type="dxa" w:w="3402"/>
          </w:tcPr>
          <w:p>
            <w:r>
              <w:rPr>
                <w:sz w:val="19"/>
              </w:rPr>
              <w:t>Leagues covered</w:t>
            </w:r>
          </w:p>
        </w:tc>
        <w:tc>
          <w:tcPr>
            <w:tcW w:type="dxa" w:w="1984"/>
          </w:tcPr>
          <w:p>
            <w:r>
              <w:rPr>
                <w:sz w:val="19"/>
              </w:rPr>
              <w:t>5</w:t>
            </w:r>
          </w:p>
        </w:tc>
        <w:tc>
          <w:tcPr>
            <w:tcW w:type="dxa" w:w="3685"/>
          </w:tcPr>
          <w:p>
            <w:r>
              <w:rPr>
                <w:sz w:val="19"/>
              </w:rPr>
              <w:t>Top European leagues</w:t>
            </w:r>
          </w:p>
        </w:tc>
      </w:tr>
      <w:tr>
        <w:tc>
          <w:tcPr>
            <w:tcW w:type="dxa" w:w="3402"/>
            <w:shd w:val="clear" w:color="auto" w:fill="F5F8FD"/>
          </w:tcPr>
          <w:p>
            <w:r>
              <w:rPr>
                <w:sz w:val="19"/>
              </w:rPr>
              <w:t>Statistical columns</w:t>
            </w:r>
          </w:p>
        </w:tc>
        <w:tc>
          <w:tcPr>
            <w:tcW w:type="dxa" w:w="1984"/>
            <w:shd w:val="clear" w:color="auto" w:fill="F5F8FD"/>
          </w:tcPr>
          <w:p>
            <w:r>
              <w:rPr>
                <w:sz w:val="19"/>
              </w:rPr>
              <w:t>178</w:t>
            </w:r>
          </w:p>
        </w:tc>
        <w:tc>
          <w:tcPr>
            <w:tcW w:type="dxa" w:w="3685"/>
            <w:shd w:val="clear" w:color="auto" w:fill="F5F8FD"/>
          </w:tcPr>
          <w:p>
            <w:r>
              <w:rPr>
                <w:sz w:val="19"/>
              </w:rPr>
              <w:t>Per player-season record</w:t>
            </w:r>
          </w:p>
        </w:tc>
      </w:tr>
      <w:tr>
        <w:tc>
          <w:tcPr>
            <w:tcW w:type="dxa" w:w="3402"/>
          </w:tcPr>
          <w:p>
            <w:r>
              <w:rPr>
                <w:sz w:val="19"/>
              </w:rPr>
              <w:t>Positions</w:t>
            </w:r>
          </w:p>
        </w:tc>
        <w:tc>
          <w:tcPr>
            <w:tcW w:type="dxa" w:w="1984"/>
          </w:tcPr>
          <w:p>
            <w:r>
              <w:rPr>
                <w:sz w:val="19"/>
              </w:rPr>
              <w:t>4</w:t>
            </w:r>
          </w:p>
        </w:tc>
        <w:tc>
          <w:tcPr>
            <w:tcW w:type="dxa" w:w="3685"/>
          </w:tcPr>
          <w:p>
            <w:r>
              <w:rPr>
                <w:sz w:val="19"/>
              </w:rPr>
              <w:t>FW · MF · DF · GK</w:t>
            </w:r>
          </w:p>
        </w:tc>
      </w:tr>
    </w:tbl>
    <w:p>
      <w:pPr>
        <w:spacing w:before="0" w:after="120"/>
      </w:pPr>
    </w:p>
    <w:p>
      <w:pPr>
        <w:pStyle w:val="Heading2"/>
        <w:spacing w:before="240" w:after="80"/>
      </w:pPr>
      <w:r>
        <w:rPr>
          <w:b/>
          <w:color w:val="2C6FBF"/>
          <w:sz w:val="32"/>
        </w:rPr>
        <w:t>6.2  Market Value Distribution (Season 23/24)</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E3C7A"/>
          </w:tcPr>
          <w:p>
            <w:r>
              <w:rPr>
                <w:b/>
                <w:color w:val="FFFFFF"/>
                <w:sz w:val="19"/>
              </w:rPr>
              <w:t>Tier</w:t>
            </w:r>
          </w:p>
        </w:tc>
        <w:tc>
          <w:tcPr>
            <w:tcW w:type="dxa" w:w="1701"/>
            <w:shd w:val="clear" w:color="auto" w:fill="1E3C7A"/>
          </w:tcPr>
          <w:p>
            <w:r>
              <w:rPr>
                <w:b/>
                <w:color w:val="FFFFFF"/>
                <w:sz w:val="19"/>
              </w:rPr>
              <w:t>Threshold</w:t>
            </w:r>
          </w:p>
        </w:tc>
        <w:tc>
          <w:tcPr>
            <w:tcW w:type="dxa" w:w="5386"/>
            <w:shd w:val="clear" w:color="auto" w:fill="1E3C7A"/>
          </w:tcPr>
          <w:p>
            <w:r>
              <w:rPr>
                <w:b/>
                <w:color w:val="FFFFFF"/>
                <w:sz w:val="19"/>
              </w:rPr>
              <w:t>Characteristics</w:t>
            </w:r>
          </w:p>
        </w:tc>
      </w:tr>
      <w:tr>
        <w:tc>
          <w:tcPr>
            <w:tcW w:type="dxa" w:w="1984"/>
            <w:shd w:val="clear" w:color="auto" w:fill="F5F8FD"/>
          </w:tcPr>
          <w:p>
            <w:r>
              <w:rPr>
                <w:sz w:val="19"/>
              </w:rPr>
              <w:t>World Class</w:t>
            </w:r>
          </w:p>
        </w:tc>
        <w:tc>
          <w:tcPr>
            <w:tcW w:type="dxa" w:w="1701"/>
            <w:shd w:val="clear" w:color="auto" w:fill="F5F8FD"/>
          </w:tcPr>
          <w:p>
            <w:r>
              <w:rPr>
                <w:sz w:val="19"/>
              </w:rPr>
              <w:t>&gt; €60M</w:t>
            </w:r>
          </w:p>
        </w:tc>
        <w:tc>
          <w:tcPr>
            <w:tcW w:type="dxa" w:w="5386"/>
            <w:shd w:val="clear" w:color="auto" w:fill="F5F8FD"/>
          </w:tcPr>
          <w:p>
            <w:r>
              <w:rPr>
                <w:sz w:val="19"/>
              </w:rPr>
              <w:t>Elite forwards / creative midfielders, peak age, top leagues</w:t>
            </w:r>
          </w:p>
        </w:tc>
      </w:tr>
      <w:tr>
        <w:tc>
          <w:tcPr>
            <w:tcW w:type="dxa" w:w="1984"/>
          </w:tcPr>
          <w:p>
            <w:r>
              <w:rPr>
                <w:sz w:val="19"/>
              </w:rPr>
              <w:t>Top Player</w:t>
            </w:r>
          </w:p>
        </w:tc>
        <w:tc>
          <w:tcPr>
            <w:tcW w:type="dxa" w:w="1701"/>
          </w:tcPr>
          <w:p>
            <w:r>
              <w:rPr>
                <w:sz w:val="19"/>
              </w:rPr>
              <w:t>&gt; €30M</w:t>
            </w:r>
          </w:p>
        </w:tc>
        <w:tc>
          <w:tcPr>
            <w:tcW w:type="dxa" w:w="5386"/>
          </w:tcPr>
          <w:p>
            <w:r>
              <w:rPr>
                <w:sz w:val="19"/>
              </w:rPr>
              <w:t>Established starters, strong performance metrics</w:t>
            </w:r>
          </w:p>
        </w:tc>
      </w:tr>
      <w:tr>
        <w:tc>
          <w:tcPr>
            <w:tcW w:type="dxa" w:w="1984"/>
            <w:shd w:val="clear" w:color="auto" w:fill="F5F8FD"/>
          </w:tcPr>
          <w:p>
            <w:r>
              <w:rPr>
                <w:sz w:val="19"/>
              </w:rPr>
              <w:t>Good Player</w:t>
            </w:r>
          </w:p>
        </w:tc>
        <w:tc>
          <w:tcPr>
            <w:tcW w:type="dxa" w:w="1701"/>
            <w:shd w:val="clear" w:color="auto" w:fill="F5F8FD"/>
          </w:tcPr>
          <w:p>
            <w:r>
              <w:rPr>
                <w:sz w:val="19"/>
              </w:rPr>
              <w:t>&gt; €15M</w:t>
            </w:r>
          </w:p>
        </w:tc>
        <w:tc>
          <w:tcPr>
            <w:tcW w:type="dxa" w:w="5386"/>
            <w:shd w:val="clear" w:color="auto" w:fill="F5F8FD"/>
          </w:tcPr>
          <w:p>
            <w:r>
              <w:rPr>
                <w:sz w:val="19"/>
              </w:rPr>
              <w:t>Regular first-team contributors</w:t>
            </w:r>
          </w:p>
        </w:tc>
      </w:tr>
      <w:tr>
        <w:tc>
          <w:tcPr>
            <w:tcW w:type="dxa" w:w="1984"/>
          </w:tcPr>
          <w:p>
            <w:r>
              <w:rPr>
                <w:sz w:val="19"/>
              </w:rPr>
              <w:t>Squad Player</w:t>
            </w:r>
          </w:p>
        </w:tc>
        <w:tc>
          <w:tcPr>
            <w:tcW w:type="dxa" w:w="1701"/>
          </w:tcPr>
          <w:p>
            <w:r>
              <w:rPr>
                <w:sz w:val="19"/>
              </w:rPr>
              <w:t>&gt; €5M</w:t>
            </w:r>
          </w:p>
        </w:tc>
        <w:tc>
          <w:tcPr>
            <w:tcW w:type="dxa" w:w="5386"/>
          </w:tcPr>
          <w:p>
            <w:r>
              <w:rPr>
                <w:sz w:val="19"/>
              </w:rPr>
              <w:t>Rotation options, younger prospects</w:t>
            </w:r>
          </w:p>
        </w:tc>
      </w:tr>
      <w:tr>
        <w:tc>
          <w:tcPr>
            <w:tcW w:type="dxa" w:w="1984"/>
            <w:shd w:val="clear" w:color="auto" w:fill="F5F8FD"/>
          </w:tcPr>
          <w:p>
            <w:r>
              <w:rPr>
                <w:sz w:val="19"/>
              </w:rPr>
              <w:t>Rotation</w:t>
            </w:r>
          </w:p>
        </w:tc>
        <w:tc>
          <w:tcPr>
            <w:tcW w:type="dxa" w:w="1701"/>
            <w:shd w:val="clear" w:color="auto" w:fill="F5F8FD"/>
          </w:tcPr>
          <w:p>
            <w:r>
              <w:rPr>
                <w:sz w:val="19"/>
              </w:rPr>
              <w:t>≤ €5M</w:t>
            </w:r>
          </w:p>
        </w:tc>
        <w:tc>
          <w:tcPr>
            <w:tcW w:type="dxa" w:w="5386"/>
            <w:shd w:val="clear" w:color="auto" w:fill="F5F8FD"/>
          </w:tcPr>
          <w:p>
            <w:r>
              <w:rPr>
                <w:sz w:val="19"/>
              </w:rPr>
              <w:t>Limited minutes, advanced age, or lower-tier leagues</w:t>
            </w:r>
          </w:p>
        </w:tc>
      </w:tr>
    </w:tbl>
    <w:p>
      <w:pPr>
        <w:spacing w:before="0" w:after="120"/>
      </w:pPr>
    </w:p>
    <w:p>
      <w:pPr>
        <w:pStyle w:val="Heading2"/>
        <w:spacing w:before="240" w:after="80"/>
      </w:pPr>
      <w:r>
        <w:rPr>
          <w:b/>
          <w:color w:val="2C6FBF"/>
          <w:sz w:val="32"/>
        </w:rPr>
        <w:t>6.3  League Premium Rationale</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E3C7A"/>
          </w:tcPr>
          <w:p>
            <w:r>
              <w:rPr>
                <w:b/>
                <w:color w:val="FFFFFF"/>
                <w:sz w:val="19"/>
              </w:rPr>
              <w:t>League</w:t>
            </w:r>
          </w:p>
        </w:tc>
        <w:tc>
          <w:tcPr>
            <w:tcW w:type="dxa" w:w="2551"/>
            <w:shd w:val="clear" w:color="auto" w:fill="1E3C7A"/>
          </w:tcPr>
          <w:p>
            <w:r>
              <w:rPr>
                <w:b/>
                <w:color w:val="FFFFFF"/>
                <w:sz w:val="19"/>
              </w:rPr>
              <w:t>Premium Coefficient</w:t>
            </w:r>
          </w:p>
        </w:tc>
        <w:tc>
          <w:tcPr>
            <w:tcW w:type="dxa" w:w="4252"/>
            <w:shd w:val="clear" w:color="auto" w:fill="1E3C7A"/>
          </w:tcPr>
          <w:p>
            <w:r>
              <w:rPr>
                <w:b/>
                <w:color w:val="FFFFFF"/>
                <w:sz w:val="19"/>
              </w:rPr>
              <w:t>Rationale</w:t>
            </w:r>
          </w:p>
        </w:tc>
      </w:tr>
      <w:tr>
        <w:tc>
          <w:tcPr>
            <w:tcW w:type="dxa" w:w="2268"/>
            <w:shd w:val="clear" w:color="auto" w:fill="F5F8FD"/>
          </w:tcPr>
          <w:p>
            <w:r>
              <w:rPr>
                <w:sz w:val="19"/>
              </w:rPr>
              <w:t>Premier League</w:t>
            </w:r>
          </w:p>
        </w:tc>
        <w:tc>
          <w:tcPr>
            <w:tcW w:type="dxa" w:w="2551"/>
            <w:shd w:val="clear" w:color="auto" w:fill="F5F8FD"/>
          </w:tcPr>
          <w:p>
            <w:r>
              <w:rPr>
                <w:sz w:val="19"/>
              </w:rPr>
              <w:t>1.55</w:t>
            </w:r>
          </w:p>
        </w:tc>
        <w:tc>
          <w:tcPr>
            <w:tcW w:type="dxa" w:w="4252"/>
            <w:shd w:val="clear" w:color="auto" w:fill="F5F8FD"/>
          </w:tcPr>
          <w:p>
            <w:r>
              <w:rPr>
                <w:sz w:val="19"/>
              </w:rPr>
              <w:t>Highest global broadcast revenue; dominant transfer market</w:t>
            </w:r>
          </w:p>
        </w:tc>
      </w:tr>
      <w:tr>
        <w:tc>
          <w:tcPr>
            <w:tcW w:type="dxa" w:w="2268"/>
          </w:tcPr>
          <w:p>
            <w:r>
              <w:rPr>
                <w:sz w:val="19"/>
              </w:rPr>
              <w:t>La Liga</w:t>
            </w:r>
          </w:p>
        </w:tc>
        <w:tc>
          <w:tcPr>
            <w:tcW w:type="dxa" w:w="2551"/>
          </w:tcPr>
          <w:p>
            <w:r>
              <w:rPr>
                <w:sz w:val="19"/>
              </w:rPr>
              <w:t>1.35</w:t>
            </w:r>
          </w:p>
        </w:tc>
        <w:tc>
          <w:tcPr>
            <w:tcW w:type="dxa" w:w="4252"/>
          </w:tcPr>
          <w:p>
            <w:r>
              <w:rPr>
                <w:sz w:val="19"/>
              </w:rPr>
              <w:t>Strong global brand (Barcelona, Real Madrid)</w:t>
            </w:r>
          </w:p>
        </w:tc>
      </w:tr>
      <w:tr>
        <w:tc>
          <w:tcPr>
            <w:tcW w:type="dxa" w:w="2268"/>
            <w:shd w:val="clear" w:color="auto" w:fill="F5F8FD"/>
          </w:tcPr>
          <w:p>
            <w:r>
              <w:rPr>
                <w:sz w:val="19"/>
              </w:rPr>
              <w:t>Bundesliga</w:t>
            </w:r>
          </w:p>
        </w:tc>
        <w:tc>
          <w:tcPr>
            <w:tcW w:type="dxa" w:w="2551"/>
            <w:shd w:val="clear" w:color="auto" w:fill="F5F8FD"/>
          </w:tcPr>
          <w:p>
            <w:r>
              <w:rPr>
                <w:sz w:val="19"/>
              </w:rPr>
              <w:t>1.30</w:t>
            </w:r>
          </w:p>
        </w:tc>
        <w:tc>
          <w:tcPr>
            <w:tcW w:type="dxa" w:w="4252"/>
            <w:shd w:val="clear" w:color="auto" w:fill="F5F8FD"/>
          </w:tcPr>
          <w:p>
            <w:r>
              <w:rPr>
                <w:sz w:val="19"/>
              </w:rPr>
              <w:t>High average attendance; strong youth development</w:t>
            </w:r>
          </w:p>
        </w:tc>
      </w:tr>
      <w:tr>
        <w:tc>
          <w:tcPr>
            <w:tcW w:type="dxa" w:w="2268"/>
          </w:tcPr>
          <w:p>
            <w:r>
              <w:rPr>
                <w:sz w:val="19"/>
              </w:rPr>
              <w:t>Serie A</w:t>
            </w:r>
          </w:p>
        </w:tc>
        <w:tc>
          <w:tcPr>
            <w:tcW w:type="dxa" w:w="2551"/>
          </w:tcPr>
          <w:p>
            <w:r>
              <w:rPr>
                <w:sz w:val="19"/>
              </w:rPr>
              <w:t>1.20</w:t>
            </w:r>
          </w:p>
        </w:tc>
        <w:tc>
          <w:tcPr>
            <w:tcW w:type="dxa" w:w="4252"/>
          </w:tcPr>
          <w:p>
            <w:r>
              <w:rPr>
                <w:sz w:val="19"/>
              </w:rPr>
              <w:t>Recovering prestige; historically competitive</w:t>
            </w:r>
          </w:p>
        </w:tc>
      </w:tr>
      <w:tr>
        <w:tc>
          <w:tcPr>
            <w:tcW w:type="dxa" w:w="2268"/>
            <w:shd w:val="clear" w:color="auto" w:fill="F5F8FD"/>
          </w:tcPr>
          <w:p>
            <w:r>
              <w:rPr>
                <w:sz w:val="19"/>
              </w:rPr>
              <w:t>Ligue 1</w:t>
            </w:r>
          </w:p>
        </w:tc>
        <w:tc>
          <w:tcPr>
            <w:tcW w:type="dxa" w:w="2551"/>
            <w:shd w:val="clear" w:color="auto" w:fill="F5F8FD"/>
          </w:tcPr>
          <w:p>
            <w:r>
              <w:rPr>
                <w:sz w:val="19"/>
              </w:rPr>
              <w:t>1.10</w:t>
            </w:r>
          </w:p>
        </w:tc>
        <w:tc>
          <w:tcPr>
            <w:tcW w:type="dxa" w:w="4252"/>
            <w:shd w:val="clear" w:color="auto" w:fill="F5F8FD"/>
          </w:tcPr>
          <w:p>
            <w:r>
              <w:rPr>
                <w:sz w:val="19"/>
              </w:rPr>
              <w:t>Strong domestic market; lower European prestige</w:t>
            </w:r>
          </w:p>
        </w:tc>
      </w:tr>
    </w:tbl>
    <w:p>
      <w:pPr>
        <w:spacing w:before="0" w:after="120"/>
      </w:pPr>
    </w:p>
    <w:p>
      <w:pPr>
        <w:pStyle w:val="Heading2"/>
        <w:spacing w:before="240" w:after="80"/>
      </w:pPr>
      <w:r>
        <w:rPr>
          <w:b/>
          <w:color w:val="2C6FBF"/>
          <w:sz w:val="32"/>
        </w:rPr>
        <w:t>6.4  Forecast Model Evaluation</w:t>
      </w:r>
    </w:p>
    <w:p>
      <w:pPr>
        <w:spacing w:after="60"/>
      </w:pPr>
      <w:r>
        <w:rPr>
          <w:b w:val="0"/>
          <w:i w:val="0"/>
          <w:sz w:val="21"/>
        </w:rPr>
        <w:t>The Holt double exponential smoothing model is well-suited for this dataset due to the short time series (7 data points per player) and the presence of moderate directional trends in player career arcs (improvement in early career, decline in late career). Key properties:</w:t>
      </w:r>
    </w:p>
    <w:p>
      <w:pPr>
        <w:spacing w:before="0" w:after="60"/>
      </w:pP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E3C7A"/>
          </w:tcPr>
          <w:p>
            <w:r>
              <w:rPr>
                <w:b/>
                <w:color w:val="FFFFFF"/>
                <w:sz w:val="19"/>
              </w:rPr>
              <w:t>Property</w:t>
            </w:r>
          </w:p>
        </w:tc>
        <w:tc>
          <w:tcPr>
            <w:tcW w:type="dxa" w:w="6520"/>
            <w:shd w:val="clear" w:color="auto" w:fill="1E3C7A"/>
          </w:tcPr>
          <w:p>
            <w:r>
              <w:rPr>
                <w:b/>
                <w:color w:val="FFFFFF"/>
                <w:sz w:val="19"/>
              </w:rPr>
              <w:t>Assessment</w:t>
            </w:r>
          </w:p>
        </w:tc>
      </w:tr>
      <w:tr>
        <w:tc>
          <w:tcPr>
            <w:tcW w:type="dxa" w:w="2551"/>
            <w:shd w:val="clear" w:color="auto" w:fill="F5F8FD"/>
          </w:tcPr>
          <w:p>
            <w:r>
              <w:rPr>
                <w:sz w:val="19"/>
              </w:rPr>
              <w:t>Series length</w:t>
            </w:r>
          </w:p>
        </w:tc>
        <w:tc>
          <w:tcPr>
            <w:tcW w:type="dxa" w:w="6520"/>
            <w:shd w:val="clear" w:color="auto" w:fill="F5F8FD"/>
          </w:tcPr>
          <w:p>
            <w:r>
              <w:rPr>
                <w:sz w:val="19"/>
              </w:rPr>
              <w:t>7 seasons — sufficient for trend estimation, not for seasonal decomposition</w:t>
            </w:r>
          </w:p>
        </w:tc>
      </w:tr>
      <w:tr>
        <w:tc>
          <w:tcPr>
            <w:tcW w:type="dxa" w:w="2551"/>
          </w:tcPr>
          <w:p>
            <w:r>
              <w:rPr>
                <w:sz w:val="19"/>
              </w:rPr>
              <w:t>Stationarity</w:t>
            </w:r>
          </w:p>
        </w:tc>
        <w:tc>
          <w:tcPr>
            <w:tcW w:type="dxa" w:w="6520"/>
          </w:tcPr>
          <w:p>
            <w:r>
              <w:rPr>
                <w:sz w:val="19"/>
              </w:rPr>
              <w:t>Non-stationary (career trends) — Holt handles this correctly</w:t>
            </w:r>
          </w:p>
        </w:tc>
      </w:tr>
      <w:tr>
        <w:tc>
          <w:tcPr>
            <w:tcW w:type="dxa" w:w="2551"/>
            <w:shd w:val="clear" w:color="auto" w:fill="F5F8FD"/>
          </w:tcPr>
          <w:p>
            <w:r>
              <w:rPr>
                <w:sz w:val="19"/>
              </w:rPr>
              <w:t>α = 0.35</w:t>
            </w:r>
          </w:p>
        </w:tc>
        <w:tc>
          <w:tcPr>
            <w:tcW w:type="dxa" w:w="6520"/>
            <w:shd w:val="clear" w:color="auto" w:fill="F5F8FD"/>
          </w:tcPr>
          <w:p>
            <w:r>
              <w:rPr>
                <w:sz w:val="19"/>
              </w:rPr>
              <w:t>Moderate recency bias; avoids over-fitting to single outlier seasons</w:t>
            </w:r>
          </w:p>
        </w:tc>
      </w:tr>
      <w:tr>
        <w:tc>
          <w:tcPr>
            <w:tcW w:type="dxa" w:w="2551"/>
          </w:tcPr>
          <w:p>
            <w:r>
              <w:rPr>
                <w:sz w:val="19"/>
              </w:rPr>
              <w:t>β = 0.20</w:t>
            </w:r>
          </w:p>
        </w:tc>
        <w:tc>
          <w:tcPr>
            <w:tcW w:type="dxa" w:w="6520"/>
          </w:tcPr>
          <w:p>
            <w:r>
              <w:rPr>
                <w:sz w:val="19"/>
              </w:rPr>
              <w:t>Slow trend adaptation; smooths career trajectory changes</w:t>
            </w:r>
          </w:p>
        </w:tc>
      </w:tr>
      <w:tr>
        <w:tc>
          <w:tcPr>
            <w:tcW w:type="dxa" w:w="2551"/>
            <w:shd w:val="clear" w:color="auto" w:fill="F5F8FD"/>
          </w:tcPr>
          <w:p>
            <w:r>
              <w:rPr>
                <w:sz w:val="19"/>
              </w:rPr>
              <w:t>Lower bound = 0</w:t>
            </w:r>
          </w:p>
        </w:tc>
        <w:tc>
          <w:tcPr>
            <w:tcW w:type="dxa" w:w="6520"/>
            <w:shd w:val="clear" w:color="auto" w:fill="F5F8FD"/>
          </w:tcPr>
          <w:p>
            <w:r>
              <w:rPr>
                <w:sz w:val="19"/>
              </w:rPr>
              <w:t>Domain constraint: no negative statistical values</w:t>
            </w:r>
          </w:p>
        </w:tc>
      </w:tr>
      <w:tr>
        <w:tc>
          <w:tcPr>
            <w:tcW w:type="dxa" w:w="2551"/>
          </w:tcPr>
          <w:p>
            <w:r>
              <w:rPr>
                <w:sz w:val="19"/>
              </w:rPr>
              <w:t>CI assumption</w:t>
            </w:r>
          </w:p>
        </w:tc>
        <w:tc>
          <w:tcPr>
            <w:tcW w:type="dxa" w:w="6520"/>
          </w:tcPr>
          <w:p>
            <w:r>
              <w:rPr>
                <w:sz w:val="19"/>
              </w:rPr>
              <w:t>Approximate normality of errors; works well for symmetric metrics</w:t>
            </w:r>
          </w:p>
        </w:tc>
      </w:tr>
    </w:tbl>
    <w:p>
      <w:pPr>
        <w:spacing w:before="0" w:after="160"/>
      </w:pPr>
    </w:p>
    <w:p>
      <w:pPr>
        <w:pStyle w:val="Heading1"/>
        <w:spacing w:before="240" w:after="80"/>
      </w:pPr>
      <w:r>
        <w:rPr>
          <w:b/>
          <w:color w:val="1E3C7A"/>
          <w:sz w:val="40"/>
        </w:rPr>
        <w:t>7. Usage Guide</w:t>
      </w:r>
    </w:p>
    <w:p>
      <w:pPr>
        <w:pBdr>
          <w:bottom w:val="single" w:sz="6" w:space="1" w:color="2C6FBF"/>
        </w:pBdr>
        <w:spacing w:after="120"/>
      </w:pPr>
    </w:p>
    <w:p>
      <w:pPr>
        <w:pStyle w:val="Heading2"/>
        <w:spacing w:before="240" w:after="80"/>
      </w:pPr>
      <w:r>
        <w:rPr>
          <w:b/>
          <w:color w:val="2C6FBF"/>
          <w:sz w:val="32"/>
        </w:rPr>
        <w:t>7.1  Running the Application</w:t>
      </w:r>
    </w:p>
    <w:tbl>
      <w:tblPr>
        <w:tblStyle w:val="TableGrid"/>
        <w:tblW w:type="auto" w:w="0"/>
        <w:jc w:val="left"/>
        <w:tblLook w:firstColumn="1" w:firstRow="1" w:lastColumn="0" w:lastRow="0" w:noHBand="0" w:noVBand="1" w:val="04A0"/>
      </w:tblPr>
      <w:tblGrid>
        <w:gridCol w:w="4703"/>
        <w:gridCol w:w="4703"/>
      </w:tblGrid>
      <w:tr>
        <w:tc>
          <w:tcPr>
            <w:tcW w:type="dxa" w:w="850"/>
            <w:shd w:val="clear" w:color="auto" w:fill="1E3C7A"/>
          </w:tcPr>
          <w:p>
            <w:r>
              <w:rPr>
                <w:b/>
                <w:color w:val="FFFFFF"/>
                <w:sz w:val="19"/>
              </w:rPr>
              <w:t>Step</w:t>
            </w:r>
          </w:p>
        </w:tc>
        <w:tc>
          <w:tcPr>
            <w:tcW w:type="dxa" w:w="8220"/>
            <w:shd w:val="clear" w:color="auto" w:fill="1E3C7A"/>
          </w:tcPr>
          <w:p>
            <w:r>
              <w:rPr>
                <w:b/>
                <w:color w:val="FFFFFF"/>
                <w:sz w:val="19"/>
              </w:rPr>
              <w:t>Action</w:t>
            </w:r>
          </w:p>
        </w:tc>
      </w:tr>
      <w:tr>
        <w:tc>
          <w:tcPr>
            <w:tcW w:type="dxa" w:w="850"/>
            <w:shd w:val="clear" w:color="auto" w:fill="F5F8FD"/>
          </w:tcPr>
          <w:p>
            <w:r>
              <w:rPr>
                <w:sz w:val="19"/>
              </w:rPr>
              <w:t>1</w:t>
            </w:r>
          </w:p>
        </w:tc>
        <w:tc>
          <w:tcPr>
            <w:tcW w:type="dxa" w:w="8220"/>
            <w:shd w:val="clear" w:color="auto" w:fill="F5F8FD"/>
          </w:tcPr>
          <w:p>
            <w:r>
              <w:rPr>
                <w:sz w:val="19"/>
              </w:rPr>
              <w:t>Copy football_analyzer.exe to any location on a Windows 10/11 machine</w:t>
            </w:r>
          </w:p>
        </w:tc>
      </w:tr>
      <w:tr>
        <w:tc>
          <w:tcPr>
            <w:tcW w:type="dxa" w:w="850"/>
          </w:tcPr>
          <w:p>
            <w:r>
              <w:rPr>
                <w:sz w:val="19"/>
              </w:rPr>
              <w:t>2</w:t>
            </w:r>
          </w:p>
        </w:tc>
        <w:tc>
          <w:tcPr>
            <w:tcW w:type="dxa" w:w="8220"/>
          </w:tcPr>
          <w:p>
            <w:r>
              <w:rPr>
                <w:sz w:val="19"/>
              </w:rPr>
              <w:t>Double-click to launch — no installation, no dependencies, no internet required</w:t>
            </w:r>
          </w:p>
        </w:tc>
      </w:tr>
      <w:tr>
        <w:tc>
          <w:tcPr>
            <w:tcW w:type="dxa" w:w="850"/>
            <w:shd w:val="clear" w:color="auto" w:fill="F5F8FD"/>
          </w:tcPr>
          <w:p>
            <w:r>
              <w:rPr>
                <w:sz w:val="19"/>
              </w:rPr>
              <w:t>3</w:t>
            </w:r>
          </w:p>
        </w:tc>
        <w:tc>
          <w:tcPr>
            <w:tcW w:type="dxa" w:w="8220"/>
            <w:shd w:val="clear" w:color="auto" w:fill="F5F8FD"/>
          </w:tcPr>
          <w:p>
            <w:r>
              <w:rPr>
                <w:sz w:val="19"/>
              </w:rPr>
              <w:t>Application loads ~14,166 player records from embedded data on startup</w:t>
            </w:r>
          </w:p>
        </w:tc>
      </w:tr>
      <w:tr>
        <w:tc>
          <w:tcPr>
            <w:tcW w:type="dxa" w:w="850"/>
          </w:tcPr>
          <w:p>
            <w:r>
              <w:rPr>
                <w:sz w:val="19"/>
              </w:rPr>
              <w:t>4</w:t>
            </w:r>
          </w:p>
        </w:tc>
        <w:tc>
          <w:tcPr>
            <w:tcW w:type="dxa" w:w="8220"/>
          </w:tcPr>
          <w:p>
            <w:r>
              <w:rPr>
                <w:sz w:val="19"/>
              </w:rPr>
              <w:t>Navigate between tabs using the top tab bar</w:t>
            </w:r>
          </w:p>
        </w:tc>
      </w:tr>
    </w:tbl>
    <w:p>
      <w:pPr>
        <w:spacing w:before="0" w:after="120"/>
      </w:pPr>
    </w:p>
    <w:p>
      <w:pPr>
        <w:pStyle w:val="Heading2"/>
        <w:spacing w:before="240" w:after="80"/>
      </w:pPr>
      <w:r>
        <w:rPr>
          <w:b/>
          <w:color w:val="2C6FBF"/>
          <w:sz w:val="32"/>
        </w:rPr>
        <w:t>7.2  Time-Series Prediction Workflow</w:t>
      </w:r>
    </w:p>
    <w:tbl>
      <w:tblPr>
        <w:tblStyle w:val="TableGrid"/>
        <w:tblW w:type="auto" w:w="0"/>
        <w:jc w:val="left"/>
        <w:tblLook w:firstColumn="1" w:firstRow="1" w:lastColumn="0" w:lastRow="0" w:noHBand="0" w:noVBand="1" w:val="04A0"/>
      </w:tblPr>
      <w:tblGrid>
        <w:gridCol w:w="4703"/>
        <w:gridCol w:w="4703"/>
      </w:tblGrid>
      <w:tr>
        <w:tc>
          <w:tcPr>
            <w:tcW w:type="dxa" w:w="850"/>
            <w:shd w:val="clear" w:color="auto" w:fill="1E3C7A"/>
          </w:tcPr>
          <w:p>
            <w:r>
              <w:rPr>
                <w:b/>
                <w:color w:val="FFFFFF"/>
                <w:sz w:val="19"/>
              </w:rPr>
              <w:t>Step</w:t>
            </w:r>
          </w:p>
        </w:tc>
        <w:tc>
          <w:tcPr>
            <w:tcW w:type="dxa" w:w="8220"/>
            <w:shd w:val="clear" w:color="auto" w:fill="1E3C7A"/>
          </w:tcPr>
          <w:p>
            <w:r>
              <w:rPr>
                <w:b/>
                <w:color w:val="FFFFFF"/>
                <w:sz w:val="19"/>
              </w:rPr>
              <w:t>Action</w:t>
            </w:r>
          </w:p>
        </w:tc>
      </w:tr>
      <w:tr>
        <w:tc>
          <w:tcPr>
            <w:tcW w:type="dxa" w:w="850"/>
            <w:shd w:val="clear" w:color="auto" w:fill="F5F8FD"/>
          </w:tcPr>
          <w:p>
            <w:r>
              <w:rPr>
                <w:sz w:val="19"/>
              </w:rPr>
              <w:t>1</w:t>
            </w:r>
          </w:p>
        </w:tc>
        <w:tc>
          <w:tcPr>
            <w:tcW w:type="dxa" w:w="8220"/>
            <w:shd w:val="clear" w:color="auto" w:fill="F5F8FD"/>
          </w:tcPr>
          <w:p>
            <w:r>
              <w:rPr>
                <w:sz w:val="19"/>
              </w:rPr>
              <w:t>Click the  📈 Time-Series Prediction  tab</w:t>
            </w:r>
          </w:p>
        </w:tc>
      </w:tr>
      <w:tr>
        <w:tc>
          <w:tcPr>
            <w:tcW w:type="dxa" w:w="850"/>
          </w:tcPr>
          <w:p>
            <w:r>
              <w:rPr>
                <w:sz w:val="19"/>
              </w:rPr>
              <w:t>2</w:t>
            </w:r>
          </w:p>
        </w:tc>
        <w:tc>
          <w:tcPr>
            <w:tcW w:type="dxa" w:w="8220"/>
          </w:tcPr>
          <w:p>
            <w:r>
              <w:rPr>
                <w:sz w:val="19"/>
              </w:rPr>
              <w:t>Select a League from dropdown ①</w:t>
            </w:r>
          </w:p>
        </w:tc>
      </w:tr>
      <w:tr>
        <w:tc>
          <w:tcPr>
            <w:tcW w:type="dxa" w:w="850"/>
            <w:shd w:val="clear" w:color="auto" w:fill="F5F8FD"/>
          </w:tcPr>
          <w:p>
            <w:r>
              <w:rPr>
                <w:sz w:val="19"/>
              </w:rPr>
              <w:t>3</w:t>
            </w:r>
          </w:p>
        </w:tc>
        <w:tc>
          <w:tcPr>
            <w:tcW w:type="dxa" w:w="8220"/>
            <w:shd w:val="clear" w:color="auto" w:fill="F5F8FD"/>
          </w:tcPr>
          <w:p>
            <w:r>
              <w:rPr>
                <w:sz w:val="19"/>
              </w:rPr>
              <w:t>Select a Team from dropdown ② (auto-filtered by league)</w:t>
            </w:r>
          </w:p>
        </w:tc>
      </w:tr>
      <w:tr>
        <w:tc>
          <w:tcPr>
            <w:tcW w:type="dxa" w:w="850"/>
          </w:tcPr>
          <w:p>
            <w:r>
              <w:rPr>
                <w:sz w:val="19"/>
              </w:rPr>
              <w:t>4</w:t>
            </w:r>
          </w:p>
        </w:tc>
        <w:tc>
          <w:tcPr>
            <w:tcW w:type="dxa" w:w="8220"/>
          </w:tcPr>
          <w:p>
            <w:r>
              <w:rPr>
                <w:sz w:val="19"/>
              </w:rPr>
              <w:t>Select a Player from dropdown ③ (auto-filtered by team)</w:t>
            </w:r>
          </w:p>
        </w:tc>
      </w:tr>
      <w:tr>
        <w:tc>
          <w:tcPr>
            <w:tcW w:type="dxa" w:w="850"/>
            <w:shd w:val="clear" w:color="auto" w:fill="F5F8FD"/>
          </w:tcPr>
          <w:p>
            <w:r>
              <w:rPr>
                <w:sz w:val="19"/>
              </w:rPr>
              <w:t>5</w:t>
            </w:r>
          </w:p>
        </w:tc>
        <w:tc>
          <w:tcPr>
            <w:tcW w:type="dxa" w:w="8220"/>
            <w:shd w:val="clear" w:color="auto" w:fill="F5F8FD"/>
          </w:tcPr>
          <w:p>
            <w:r>
              <w:rPr>
                <w:sz w:val="19"/>
              </w:rPr>
              <w:t>Choose a Metric from dropdown ④ (Goals, Assists, xG, etc.)</w:t>
            </w:r>
          </w:p>
        </w:tc>
      </w:tr>
      <w:tr>
        <w:tc>
          <w:tcPr>
            <w:tcW w:type="dxa" w:w="850"/>
          </w:tcPr>
          <w:p>
            <w:r>
              <w:rPr>
                <w:sz w:val="19"/>
              </w:rPr>
              <w:t>6</w:t>
            </w:r>
          </w:p>
        </w:tc>
        <w:tc>
          <w:tcPr>
            <w:tcW w:type="dxa" w:w="8220"/>
          </w:tcPr>
          <w:p>
            <w:r>
              <w:rPr>
                <w:sz w:val="19"/>
              </w:rPr>
              <w:t>Click  ▶ Run 3-Season Forecast</w:t>
            </w:r>
          </w:p>
        </w:tc>
      </w:tr>
      <w:tr>
        <w:tc>
          <w:tcPr>
            <w:tcW w:type="dxa" w:w="850"/>
            <w:shd w:val="clear" w:color="auto" w:fill="F5F8FD"/>
          </w:tcPr>
          <w:p>
            <w:r>
              <w:rPr>
                <w:sz w:val="19"/>
              </w:rPr>
              <w:t>7</w:t>
            </w:r>
          </w:p>
        </w:tc>
        <w:tc>
          <w:tcPr>
            <w:tcW w:type="dxa" w:w="8220"/>
            <w:shd w:val="clear" w:color="auto" w:fill="F5F8FD"/>
          </w:tcPr>
          <w:p>
            <w:r>
              <w:rPr>
                <w:sz w:val="19"/>
              </w:rPr>
              <w:t>Review the annual trend chart, forecast table, and quarterly charts on the right</w:t>
            </w:r>
          </w:p>
        </w:tc>
      </w:tr>
    </w:tbl>
    <w:p>
      <w:pPr>
        <w:spacing w:before="0" w:after="120"/>
      </w:pPr>
    </w:p>
    <w:p>
      <w:pPr>
        <w:pStyle w:val="Heading2"/>
        <w:spacing w:before="240" w:after="80"/>
      </w:pPr>
      <w:r>
        <w:rPr>
          <w:b/>
          <w:color w:val="2C6FBF"/>
          <w:sz w:val="32"/>
        </w:rPr>
        <w:t>7.3  Market Value Workflow</w:t>
      </w:r>
    </w:p>
    <w:tbl>
      <w:tblPr>
        <w:tblStyle w:val="TableGrid"/>
        <w:tblW w:type="auto" w:w="0"/>
        <w:jc w:val="left"/>
        <w:tblLook w:firstColumn="1" w:firstRow="1" w:lastColumn="0" w:lastRow="0" w:noHBand="0" w:noVBand="1" w:val="04A0"/>
      </w:tblPr>
      <w:tblGrid>
        <w:gridCol w:w="4703"/>
        <w:gridCol w:w="4703"/>
      </w:tblGrid>
      <w:tr>
        <w:tc>
          <w:tcPr>
            <w:tcW w:type="dxa" w:w="850"/>
            <w:shd w:val="clear" w:color="auto" w:fill="1E3C7A"/>
          </w:tcPr>
          <w:p>
            <w:r>
              <w:rPr>
                <w:b/>
                <w:color w:val="FFFFFF"/>
                <w:sz w:val="19"/>
              </w:rPr>
              <w:t>Step</w:t>
            </w:r>
          </w:p>
        </w:tc>
        <w:tc>
          <w:tcPr>
            <w:tcW w:type="dxa" w:w="8220"/>
            <w:shd w:val="clear" w:color="auto" w:fill="1E3C7A"/>
          </w:tcPr>
          <w:p>
            <w:r>
              <w:rPr>
                <w:b/>
                <w:color w:val="FFFFFF"/>
                <w:sz w:val="19"/>
              </w:rPr>
              <w:t>Action</w:t>
            </w:r>
          </w:p>
        </w:tc>
      </w:tr>
      <w:tr>
        <w:tc>
          <w:tcPr>
            <w:tcW w:type="dxa" w:w="850"/>
            <w:shd w:val="clear" w:color="auto" w:fill="F5F8FD"/>
          </w:tcPr>
          <w:p>
            <w:r>
              <w:rPr>
                <w:sz w:val="19"/>
              </w:rPr>
              <w:t>1</w:t>
            </w:r>
          </w:p>
        </w:tc>
        <w:tc>
          <w:tcPr>
            <w:tcW w:type="dxa" w:w="8220"/>
            <w:shd w:val="clear" w:color="auto" w:fill="F5F8FD"/>
          </w:tcPr>
          <w:p>
            <w:r>
              <w:rPr>
                <w:sz w:val="19"/>
              </w:rPr>
              <w:t>Click the  💶 Market Value  tab</w:t>
            </w:r>
          </w:p>
        </w:tc>
      </w:tr>
      <w:tr>
        <w:tc>
          <w:tcPr>
            <w:tcW w:type="dxa" w:w="850"/>
          </w:tcPr>
          <w:p>
            <w:r>
              <w:rPr>
                <w:sz w:val="19"/>
              </w:rPr>
              <w:t>2</w:t>
            </w:r>
          </w:p>
        </w:tc>
        <w:tc>
          <w:tcPr>
            <w:tcW w:type="dxa" w:w="8220"/>
          </w:tcPr>
          <w:p>
            <w:r>
              <w:rPr>
                <w:sz w:val="19"/>
              </w:rPr>
              <w:t>Select League → Team → Player → Season via cascade dropdowns</w:t>
            </w:r>
          </w:p>
        </w:tc>
      </w:tr>
      <w:tr>
        <w:tc>
          <w:tcPr>
            <w:tcW w:type="dxa" w:w="850"/>
            <w:shd w:val="clear" w:color="auto" w:fill="F5F8FD"/>
          </w:tcPr>
          <w:p>
            <w:r>
              <w:rPr>
                <w:sz w:val="19"/>
              </w:rPr>
              <w:t>3</w:t>
            </w:r>
          </w:p>
        </w:tc>
        <w:tc>
          <w:tcPr>
            <w:tcW w:type="dxa" w:w="8220"/>
            <w:shd w:val="clear" w:color="auto" w:fill="F5F8FD"/>
          </w:tcPr>
          <w:p>
            <w:r>
              <w:rPr>
                <w:sz w:val="19"/>
              </w:rPr>
              <w:t>View estimated €M value, tier badge, and stat breakdown on the left panel</w:t>
            </w:r>
          </w:p>
        </w:tc>
      </w:tr>
      <w:tr>
        <w:tc>
          <w:tcPr>
            <w:tcW w:type="dxa" w:w="850"/>
          </w:tcPr>
          <w:p>
            <w:r>
              <w:rPr>
                <w:sz w:val="19"/>
              </w:rPr>
              <w:t>4</w:t>
            </w:r>
          </w:p>
        </w:tc>
        <w:tc>
          <w:tcPr>
            <w:tcW w:type="dxa" w:w="8220"/>
          </w:tcPr>
          <w:p>
            <w:r>
              <w:rPr>
                <w:sz w:val="19"/>
              </w:rPr>
              <w:t>Review the team squad ranking chart and league comparison chart on the right panel</w:t>
            </w:r>
          </w:p>
        </w:tc>
      </w:tr>
    </w:tbl>
    <w:p>
      <w:pPr>
        <w:spacing w:before="0" w:after="160"/>
      </w:pPr>
    </w:p>
    <w:p>
      <w:pPr>
        <w:pStyle w:val="Heading1"/>
        <w:spacing w:before="240" w:after="80"/>
      </w:pPr>
      <w:r>
        <w:rPr>
          <w:b/>
          <w:color w:val="1E3C7A"/>
          <w:sz w:val="40"/>
        </w:rPr>
        <w:t>8. Build from Source</w:t>
      </w:r>
    </w:p>
    <w:p>
      <w:pPr>
        <w:pBdr>
          <w:bottom w:val="single" w:sz="6" w:space="1" w:color="2C6FBF"/>
        </w:pBdr>
        <w:spacing w:after="120"/>
      </w:pP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2C6FBF"/>
          </w:tcPr>
          <w:p>
            <w:r>
              <w:rPr>
                <w:b/>
                <w:color w:val="FFFFFF"/>
                <w:sz w:val="20"/>
              </w:rPr>
              <w:t>Item</w:t>
            </w:r>
          </w:p>
        </w:tc>
        <w:tc>
          <w:tcPr>
            <w:tcW w:type="dxa" w:w="5669"/>
            <w:shd w:val="clear" w:color="auto" w:fill="2C6FBF"/>
          </w:tcPr>
          <w:p>
            <w:r>
              <w:rPr>
                <w:b/>
                <w:color w:val="FFFFFF"/>
                <w:sz w:val="20"/>
              </w:rPr>
              <w:t>Command / Detail</w:t>
            </w:r>
          </w:p>
        </w:tc>
      </w:tr>
      <w:tr>
        <w:tc>
          <w:tcPr>
            <w:tcW w:type="dxa" w:w="3402"/>
            <w:shd w:val="clear" w:color="auto" w:fill="EEF3FA"/>
          </w:tcPr>
          <w:p>
            <w:r>
              <w:rPr>
                <w:b/>
                <w:sz w:val="20"/>
              </w:rPr>
              <w:t>Rust toolchain</w:t>
            </w:r>
          </w:p>
        </w:tc>
        <w:tc>
          <w:tcPr>
            <w:tcW w:type="dxa" w:w="5669"/>
            <w:shd w:val="clear" w:color="auto" w:fill="EEF3FA"/>
          </w:tcPr>
          <w:p>
            <w:r>
              <w:rPr>
                <w:sz w:val="20"/>
              </w:rPr>
              <w:t>rustup install stable  (1.75+)</w:t>
            </w:r>
          </w:p>
        </w:tc>
      </w:tr>
      <w:tr>
        <w:tc>
          <w:tcPr>
            <w:tcW w:type="dxa" w:w="3402"/>
          </w:tcPr>
          <w:p>
            <w:r>
              <w:rPr>
                <w:b/>
                <w:sz w:val="20"/>
              </w:rPr>
              <w:t>Target platform</w:t>
            </w:r>
          </w:p>
        </w:tc>
        <w:tc>
          <w:tcPr>
            <w:tcW w:type="dxa" w:w="5669"/>
          </w:tcPr>
          <w:p>
            <w:r>
              <w:rPr>
                <w:sz w:val="20"/>
              </w:rPr>
              <w:t>x86_64-pc-windows-msvc</w:t>
            </w:r>
          </w:p>
        </w:tc>
      </w:tr>
      <w:tr>
        <w:tc>
          <w:tcPr>
            <w:tcW w:type="dxa" w:w="3402"/>
            <w:shd w:val="clear" w:color="auto" w:fill="EEF3FA"/>
          </w:tcPr>
          <w:p>
            <w:r>
              <w:rPr>
                <w:b/>
                <w:sz w:val="20"/>
              </w:rPr>
              <w:t>Windows SDK</w:t>
            </w:r>
          </w:p>
        </w:tc>
        <w:tc>
          <w:tcPr>
            <w:tcW w:type="dxa" w:w="5669"/>
            <w:shd w:val="clear" w:color="auto" w:fill="EEF3FA"/>
          </w:tcPr>
          <w:p>
            <w:r>
              <w:rPr>
                <w:sz w:val="20"/>
              </w:rPr>
              <w:t>Required for rc.exe (icon embedding via winres)</w:t>
            </w:r>
          </w:p>
        </w:tc>
      </w:tr>
      <w:tr>
        <w:tc>
          <w:tcPr>
            <w:tcW w:type="dxa" w:w="3402"/>
          </w:tcPr>
          <w:p>
            <w:r>
              <w:rPr>
                <w:b/>
                <w:sz w:val="20"/>
              </w:rPr>
              <w:t>Build command</w:t>
            </w:r>
          </w:p>
        </w:tc>
        <w:tc>
          <w:tcPr>
            <w:tcW w:type="dxa" w:w="5669"/>
          </w:tcPr>
          <w:p>
            <w:r>
              <w:rPr>
                <w:sz w:val="20"/>
              </w:rPr>
              <w:t>cargo build --release</w:t>
            </w:r>
          </w:p>
        </w:tc>
      </w:tr>
      <w:tr>
        <w:tc>
          <w:tcPr>
            <w:tcW w:type="dxa" w:w="3402"/>
            <w:shd w:val="clear" w:color="auto" w:fill="EEF3FA"/>
          </w:tcPr>
          <w:p>
            <w:r>
              <w:rPr>
                <w:b/>
                <w:sz w:val="20"/>
              </w:rPr>
              <w:t>Output</w:t>
            </w:r>
          </w:p>
        </w:tc>
        <w:tc>
          <w:tcPr>
            <w:tcW w:type="dxa" w:w="5669"/>
            <w:shd w:val="clear" w:color="auto" w:fill="EEF3FA"/>
          </w:tcPr>
          <w:p>
            <w:r>
              <w:rPr>
                <w:sz w:val="20"/>
              </w:rPr>
              <w:t>target/release/football_analyzer.exe  (~17 MB)</w:t>
            </w:r>
          </w:p>
        </w:tc>
      </w:tr>
      <w:tr>
        <w:tc>
          <w:tcPr>
            <w:tcW w:type="dxa" w:w="3402"/>
          </w:tcPr>
          <w:p>
            <w:r>
              <w:rPr>
                <w:b/>
                <w:sz w:val="20"/>
              </w:rPr>
              <w:t>Build time</w:t>
            </w:r>
          </w:p>
        </w:tc>
        <w:tc>
          <w:tcPr>
            <w:tcW w:type="dxa" w:w="5669"/>
          </w:tcPr>
          <w:p>
            <w:r>
              <w:rPr>
                <w:sz w:val="20"/>
              </w:rPr>
              <w:t>~25 seconds on modern hardware (first build)</w:t>
            </w:r>
          </w:p>
        </w:tc>
      </w:tr>
    </w:tbl>
    <w:p>
      <w:pPr>
        <w:spacing w:before="0" w:after="160"/>
      </w:pPr>
    </w:p>
    <w:p>
      <w:pPr>
        <w:pStyle w:val="Heading1"/>
        <w:spacing w:before="240" w:after="80"/>
      </w:pPr>
      <w:r>
        <w:rPr>
          <w:b/>
          <w:color w:val="1E3C7A"/>
          <w:sz w:val="40"/>
        </w:rPr>
        <w:t>9. Limitations &amp; Future Work</w:t>
      </w:r>
    </w:p>
    <w:p>
      <w:pPr>
        <w:pBdr>
          <w:bottom w:val="single" w:sz="6" w:space="1" w:color="2C6FBF"/>
        </w:pBdr>
        <w:spacing w:after="120"/>
      </w:pPr>
    </w:p>
    <w:p>
      <w:pPr>
        <w:pStyle w:val="Heading2"/>
        <w:spacing w:before="240" w:after="80"/>
      </w:pPr>
      <w:r>
        <w:rPr>
          <w:b/>
          <w:color w:val="2C6FBF"/>
          <w:sz w:val="32"/>
        </w:rPr>
        <w:t>9.1  Current Limitations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E3C7A"/>
          </w:tcPr>
          <w:p>
            <w:r>
              <w:rPr>
                <w:b/>
                <w:color w:val="FFFFFF"/>
                <w:sz w:val="19"/>
              </w:rPr>
              <w:t>Area</w:t>
            </w:r>
          </w:p>
        </w:tc>
        <w:tc>
          <w:tcPr>
            <w:tcW w:type="dxa" w:w="6803"/>
            <w:shd w:val="clear" w:color="auto" w:fill="1E3C7A"/>
          </w:tcPr>
          <w:p>
            <w:r>
              <w:rPr>
                <w:b/>
                <w:color w:val="FFFFFF"/>
                <w:sz w:val="19"/>
              </w:rPr>
              <w:t>Limitation</w:t>
            </w:r>
          </w:p>
        </w:tc>
      </w:tr>
      <w:tr>
        <w:tc>
          <w:tcPr>
            <w:tcW w:type="dxa" w:w="2268"/>
            <w:shd w:val="clear" w:color="auto" w:fill="F5F8FD"/>
          </w:tcPr>
          <w:p>
            <w:r>
              <w:rPr>
                <w:sz w:val="19"/>
              </w:rPr>
              <w:t>Data range</w:t>
            </w:r>
          </w:p>
        </w:tc>
        <w:tc>
          <w:tcPr>
            <w:tcW w:type="dxa" w:w="6803"/>
            <w:shd w:val="clear" w:color="auto" w:fill="F5F8FD"/>
          </w:tcPr>
          <w:p>
            <w:r>
              <w:rPr>
                <w:sz w:val="19"/>
              </w:rPr>
              <w:t>Dataset ends at 2023/24 season; no real-time data feed</w:t>
            </w:r>
          </w:p>
        </w:tc>
      </w:tr>
      <w:tr>
        <w:tc>
          <w:tcPr>
            <w:tcW w:type="dxa" w:w="2268"/>
          </w:tcPr>
          <w:p>
            <w:r>
              <w:rPr>
                <w:sz w:val="19"/>
              </w:rPr>
              <w:t>Forecast model</w:t>
            </w:r>
          </w:p>
        </w:tc>
        <w:tc>
          <w:tcPr>
            <w:tcW w:type="dxa" w:w="6803"/>
          </w:tcPr>
          <w:p>
            <w:r>
              <w:rPr>
                <w:sz w:val="19"/>
              </w:rPr>
              <w:t>Holt smoothing assumes linear trend; may not capture career inflection points</w:t>
            </w:r>
          </w:p>
        </w:tc>
      </w:tr>
      <w:tr>
        <w:tc>
          <w:tcPr>
            <w:tcW w:type="dxa" w:w="2268"/>
            <w:shd w:val="clear" w:color="auto" w:fill="F5F8FD"/>
          </w:tcPr>
          <w:p>
            <w:r>
              <w:rPr>
                <w:sz w:val="19"/>
              </w:rPr>
              <w:t>Market value</w:t>
            </w:r>
          </w:p>
        </w:tc>
        <w:tc>
          <w:tcPr>
            <w:tcW w:type="dxa" w:w="6803"/>
            <w:shd w:val="clear" w:color="auto" w:fill="F5F8FD"/>
          </w:tcPr>
          <w:p>
            <w:r>
              <w:rPr>
                <w:sz w:val="19"/>
              </w:rPr>
              <w:t>Formula-based estimate; does not incorporate real transfer fee data</w:t>
            </w:r>
          </w:p>
        </w:tc>
      </w:tr>
      <w:tr>
        <w:tc>
          <w:tcPr>
            <w:tcW w:type="dxa" w:w="2268"/>
          </w:tcPr>
          <w:p>
            <w:r>
              <w:rPr>
                <w:sz w:val="19"/>
              </w:rPr>
              <w:t>Seasonal model</w:t>
            </w:r>
          </w:p>
        </w:tc>
        <w:tc>
          <w:tcPr>
            <w:tcW w:type="dxa" w:w="6803"/>
          </w:tcPr>
          <w:p>
            <w:r>
              <w:rPr>
                <w:sz w:val="19"/>
              </w:rPr>
              <w:t>7 data points insufficient for full STL decomposition</w:t>
            </w:r>
          </w:p>
        </w:tc>
      </w:tr>
      <w:tr>
        <w:tc>
          <w:tcPr>
            <w:tcW w:type="dxa" w:w="2268"/>
            <w:shd w:val="clear" w:color="auto" w:fill="F5F8FD"/>
          </w:tcPr>
          <w:p>
            <w:r>
              <w:rPr>
                <w:sz w:val="19"/>
              </w:rPr>
              <w:t>Player coverage</w:t>
            </w:r>
          </w:p>
        </w:tc>
        <w:tc>
          <w:tcPr>
            <w:tcW w:type="dxa" w:w="6803"/>
            <w:shd w:val="clear" w:color="auto" w:fill="F5F8FD"/>
          </w:tcPr>
          <w:p>
            <w:r>
              <w:rPr>
                <w:sz w:val="19"/>
              </w:rPr>
              <w:t>Only players with ≥ 90 minutes per season are included</w:t>
            </w:r>
          </w:p>
        </w:tc>
      </w:tr>
    </w:tbl>
    <w:p>
      <w:pPr>
        <w:spacing w:before="0" w:after="120"/>
      </w:pPr>
    </w:p>
    <w:p>
      <w:pPr>
        <w:pStyle w:val="Heading2"/>
        <w:spacing w:before="240" w:after="80"/>
      </w:pPr>
      <w:r>
        <w:rPr>
          <w:b/>
          <w:color w:val="2C6FBF"/>
          <w:sz w:val="32"/>
        </w:rPr>
        <w:t>9.2  Potential Enhancements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E3C7A"/>
          </w:tcPr>
          <w:p>
            <w:r>
              <w:rPr>
                <w:b/>
                <w:color w:val="FFFFFF"/>
                <w:sz w:val="19"/>
              </w:rPr>
              <w:t>Enhancement</w:t>
            </w:r>
          </w:p>
        </w:tc>
        <w:tc>
          <w:tcPr>
            <w:tcW w:type="dxa" w:w="6236"/>
            <w:shd w:val="clear" w:color="auto" w:fill="1E3C7A"/>
          </w:tcPr>
          <w:p>
            <w:r>
              <w:rPr>
                <w:b/>
                <w:color w:val="FFFFFF"/>
                <w:sz w:val="19"/>
              </w:rPr>
              <w:t>Description</w:t>
            </w:r>
          </w:p>
        </w:tc>
      </w:tr>
      <w:tr>
        <w:tc>
          <w:tcPr>
            <w:tcW w:type="dxa" w:w="2835"/>
            <w:shd w:val="clear" w:color="auto" w:fill="F5F8FD"/>
          </w:tcPr>
          <w:p>
            <w:r>
              <w:rPr>
                <w:sz w:val="19"/>
              </w:rPr>
              <w:t>LSTM / Transformer forecast</w:t>
            </w:r>
          </w:p>
        </w:tc>
        <w:tc>
          <w:tcPr>
            <w:tcW w:type="dxa" w:w="6236"/>
            <w:shd w:val="clear" w:color="auto" w:fill="F5F8FD"/>
          </w:tcPr>
          <w:p>
            <w:r>
              <w:rPr>
                <w:sz w:val="19"/>
              </w:rPr>
              <w:t>Deep learning sequence model for non-linear career trajectory</w:t>
            </w:r>
          </w:p>
        </w:tc>
      </w:tr>
      <w:tr>
        <w:tc>
          <w:tcPr>
            <w:tcW w:type="dxa" w:w="2835"/>
          </w:tcPr>
          <w:p>
            <w:r>
              <w:rPr>
                <w:sz w:val="19"/>
              </w:rPr>
              <w:t>Real transfer data</w:t>
            </w:r>
          </w:p>
        </w:tc>
        <w:tc>
          <w:tcPr>
            <w:tcW w:type="dxa" w:w="6236"/>
          </w:tcPr>
          <w:p>
            <w:r>
              <w:rPr>
                <w:sz w:val="19"/>
              </w:rPr>
              <w:t>Integration with actual transfer fee database for value calibration</w:t>
            </w:r>
          </w:p>
        </w:tc>
      </w:tr>
      <w:tr>
        <w:tc>
          <w:tcPr>
            <w:tcW w:type="dxa" w:w="2835"/>
            <w:shd w:val="clear" w:color="auto" w:fill="F5F8FD"/>
          </w:tcPr>
          <w:p>
            <w:r>
              <w:rPr>
                <w:sz w:val="19"/>
              </w:rPr>
              <w:t>Live data feed</w:t>
            </w:r>
          </w:p>
        </w:tc>
        <w:tc>
          <w:tcPr>
            <w:tcW w:type="dxa" w:w="6236"/>
            <w:shd w:val="clear" w:color="auto" w:fill="F5F8FD"/>
          </w:tcPr>
          <w:p>
            <w:r>
              <w:rPr>
                <w:sz w:val="19"/>
              </w:rPr>
              <w:t>API integration for current-season statistics</w:t>
            </w:r>
          </w:p>
        </w:tc>
      </w:tr>
      <w:tr>
        <w:tc>
          <w:tcPr>
            <w:tcW w:type="dxa" w:w="2835"/>
          </w:tcPr>
          <w:p>
            <w:r>
              <w:rPr>
                <w:sz w:val="19"/>
              </w:rPr>
              <w:t>Player comparison</w:t>
            </w:r>
          </w:p>
        </w:tc>
        <w:tc>
          <w:tcPr>
            <w:tcW w:type="dxa" w:w="6236"/>
          </w:tcPr>
          <w:p>
            <w:r>
              <w:rPr>
                <w:sz w:val="19"/>
              </w:rPr>
              <w:t>Side-by-side multi-player radar/spider charts</w:t>
            </w:r>
          </w:p>
        </w:tc>
      </w:tr>
      <w:tr>
        <w:tc>
          <w:tcPr>
            <w:tcW w:type="dxa" w:w="2835"/>
            <w:shd w:val="clear" w:color="auto" w:fill="F5F8FD"/>
          </w:tcPr>
          <w:p>
            <w:r>
              <w:rPr>
                <w:sz w:val="19"/>
              </w:rPr>
              <w:t>Export to Excel</w:t>
            </w:r>
          </w:p>
        </w:tc>
        <w:tc>
          <w:tcPr>
            <w:tcW w:type="dxa" w:w="6236"/>
            <w:shd w:val="clear" w:color="auto" w:fill="F5F8FD"/>
          </w:tcPr>
          <w:p>
            <w:r>
              <w:rPr>
                <w:sz w:val="19"/>
              </w:rPr>
              <w:t>One-click export of analysis results and forecasts</w:t>
            </w:r>
          </w:p>
        </w:tc>
      </w:tr>
      <w:tr>
        <w:tc>
          <w:tcPr>
            <w:tcW w:type="dxa" w:w="2835"/>
          </w:tcPr>
          <w:p>
            <w:r>
              <w:rPr>
                <w:sz w:val="19"/>
              </w:rPr>
              <w:t>Injury data</w:t>
            </w:r>
          </w:p>
        </w:tc>
        <w:tc>
          <w:tcPr>
            <w:tcW w:type="dxa" w:w="6236"/>
          </w:tcPr>
          <w:p>
            <w:r>
              <w:rPr>
                <w:sz w:val="19"/>
              </w:rPr>
              <w:t>Incorporate injury history into minutes and value projections</w:t>
            </w:r>
          </w:p>
        </w:tc>
      </w:tr>
    </w:tbl>
    <w:p>
      <w:pPr>
        <w:spacing w:before="0" w:after="160"/>
      </w:pPr>
    </w:p>
    <w:p>
      <w:pPr>
        <w:pBdr>
          <w:bottom w:val="single" w:sz="6" w:space="1" w:color="1E3C7A"/>
        </w:pBdr>
        <w:spacing w:after="120"/>
      </w:pPr>
    </w:p>
    <w:p>
      <w:pPr>
        <w:jc w:val="center"/>
      </w:pPr>
      <w:r>
        <w:rPr>
          <w:i/>
          <w:color w:val="606060"/>
          <w:sz w:val="18"/>
        </w:rPr>
        <w:t>Football Analytics Dashboard  ·  Analysis Report  ·  2026-04-20  ·  © lightgo  ·  lightgo1230@gmail.com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