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/>
          <w:b/>
          <w:color w:val="2C3E50"/>
          <w:sz w:val="36"/>
        </w:rPr>
        <w:t>Gene Expression Analysis &amp; Disease Relationship</w:t>
      </w:r>
    </w:p>
    <w:p>
      <w:pPr>
        <w:spacing w:before="200" w:after="80"/>
        <w:jc w:val="center"/>
      </w:pPr>
      <w:r>
        <w:rPr>
          <w:rFonts w:ascii="Calibri" w:hAnsi="Calibri"/>
          <w:b/>
          <w:color w:val="808080"/>
          <w:sz w:val="22"/>
        </w:rPr>
        <w:t>UMAP Visualization Report — PyTorch Autoencoder</w:t>
      </w:r>
    </w:p>
    <w:p>
      <w:pPr>
        <w:pBdr>
          <w:bottom w:val="single" w:sz="6" w:space="1" w:color="2980B9"/>
        </w:pBd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color w:val="2980B9"/>
          <w:sz w:val="28"/>
        </w:rPr>
        <w:t>1. Overview</w:t>
      </w:r>
    </w:p>
    <w:p>
      <w:pPr>
        <w:spacing w:before="0" w:after="80"/>
        <w:jc w:val="both"/>
      </w:pPr>
      <w:r>
        <w:rPr>
          <w:rFonts w:ascii="Calibri" w:hAnsi="Calibri"/>
          <w:sz w:val="19"/>
        </w:rPr>
        <w:t>This report presents a dimensionality reduction and clustering analysis of a synthetic single-cell gene expression dataset. A PyTorch-based Autoencoder was trained to extract compact latent representations from six gene features, followed by UMAP projection to 2-dimensional space for visualization. Results are compared between raw normalized features and the 16-dimensional Autoencoder latent space.</w:t>
      </w:r>
    </w:p>
    <w:p>
      <w:pPr>
        <w:spacing w:before="200" w:after="80"/>
      </w:pPr>
      <w:r>
        <w:rPr>
          <w:rFonts w:ascii="Calibri" w:hAnsi="Calibri"/>
          <w:b/>
          <w:color w:val="2980B9"/>
          <w:sz w:val="28"/>
        </w:rPr>
        <w:t>2. Dataset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6803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68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Total Cells</w:t>
            </w:r>
          </w:p>
        </w:tc>
        <w:tc>
          <w:tcPr>
            <w:tcW w:type="dxa" w:w="6803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3,000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Feature Columns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6  (5 gene expressions + 1 inflammatory pathway score)</w:t>
            </w:r>
          </w:p>
        </w:tc>
      </w:tr>
      <w:tr>
        <w:tc>
          <w:tcPr>
            <w:tcW w:type="dxa" w:w="2268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Cell Types</w:t>
            </w:r>
          </w:p>
        </w:tc>
        <w:tc>
          <w:tcPr>
            <w:tcW w:type="dxa" w:w="6803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T_Cell (1,000) / Cancer (1,000) / Fibroblast (1,000)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Disease Status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Tumor (2,595) / Healthy_Control (405)</w:t>
            </w:r>
          </w:p>
        </w:tc>
      </w:tr>
      <w:tr>
        <w:tc>
          <w:tcPr>
            <w:tcW w:type="dxa" w:w="2268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Normalization</w:t>
            </w:r>
          </w:p>
        </w:tc>
        <w:tc>
          <w:tcPr>
            <w:tcW w:type="dxa" w:w="6803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Z-score via PyTorch (per-feature mean / std)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980B9"/>
          <w:sz w:val="28"/>
        </w:rPr>
        <w:t>3. PyTorch Autoencoder Architecture</w:t>
      </w:r>
    </w:p>
    <w:p>
      <w:pPr>
        <w:spacing w:before="0" w:after="80"/>
        <w:jc w:val="both"/>
      </w:pPr>
      <w:r>
        <w:rPr>
          <w:rFonts w:ascii="Calibri" w:hAnsi="Calibri"/>
          <w:sz w:val="19"/>
        </w:rPr>
        <w:t>The Autoencoder compresses 6-dimensional gene expression vectors into a 16-dimensional latent space through two hidden layers (64 units each, BatchNorm + ReLU). Training ran for 100 epochs with Adam optimizer (lr=1e-3) and StepLR scheduler, achieving a final MSE loss of ~0.006.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247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247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4422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Activation</w:t>
            </w:r>
          </w:p>
        </w:tc>
      </w:tr>
      <w:tr>
        <w:tc>
          <w:tcPr>
            <w:tcW w:type="dxa" w:w="215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Encoder FC-1</w:t>
            </w:r>
          </w:p>
        </w:tc>
        <w:tc>
          <w:tcPr>
            <w:tcW w:type="dxa" w:w="1247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</w:t>
            </w:r>
          </w:p>
        </w:tc>
        <w:tc>
          <w:tcPr>
            <w:tcW w:type="dxa" w:w="1247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64</w:t>
            </w:r>
          </w:p>
        </w:tc>
        <w:tc>
          <w:tcPr>
            <w:tcW w:type="dxa" w:w="4422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BatchNorm + ReLU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Encoder FC-2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64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64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BatchNorm + ReLU</w:t>
            </w:r>
          </w:p>
        </w:tc>
      </w:tr>
      <w:tr>
        <w:tc>
          <w:tcPr>
            <w:tcW w:type="dxa" w:w="215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Encoder FC-3</w:t>
            </w:r>
          </w:p>
        </w:tc>
        <w:tc>
          <w:tcPr>
            <w:tcW w:type="dxa" w:w="1247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64</w:t>
            </w:r>
          </w:p>
        </w:tc>
        <w:tc>
          <w:tcPr>
            <w:tcW w:type="dxa" w:w="1247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16</w:t>
            </w:r>
          </w:p>
        </w:tc>
        <w:tc>
          <w:tcPr>
            <w:tcW w:type="dxa" w:w="4422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— (Latent Vector)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Decoder FC-1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16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64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BatchNorm + ReLU</w:t>
            </w:r>
          </w:p>
        </w:tc>
      </w:tr>
      <w:tr>
        <w:tc>
          <w:tcPr>
            <w:tcW w:type="dxa" w:w="215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Decoder FC-2</w:t>
            </w:r>
          </w:p>
        </w:tc>
        <w:tc>
          <w:tcPr>
            <w:tcW w:type="dxa" w:w="1247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64</w:t>
            </w:r>
          </w:p>
        </w:tc>
        <w:tc>
          <w:tcPr>
            <w:tcW w:type="dxa" w:w="1247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64</w:t>
            </w:r>
          </w:p>
        </w:tc>
        <w:tc>
          <w:tcPr>
            <w:tcW w:type="dxa" w:w="4422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BatchNorm + ReLU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Decoder FC-3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64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6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— (Reconstruction)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980B9"/>
          <w:sz w:val="28"/>
        </w:rPr>
        <w:t>4. Autoencoder Training Loss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4680000" cy="2302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toencoder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808080"/>
          <w:sz w:val="17"/>
        </w:rPr>
        <w:t>Fig 1. MSE loss curve over 100 training epochs.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2980B9"/>
          <w:sz w:val="28"/>
        </w:rPr>
        <w:t>5. UMAP Visualization</w:t>
      </w:r>
    </w:p>
    <w:p>
      <w:pPr>
        <w:spacing w:before="200" w:after="80"/>
      </w:pPr>
      <w:r>
        <w:rPr>
          <w:rFonts w:ascii="Calibri" w:hAnsi="Calibri"/>
          <w:b/>
          <w:color w:val="555555"/>
          <w:sz w:val="22"/>
        </w:rPr>
        <w:t>5.1 Raw Normalized Features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040000" cy="3755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map_raw_cell_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808080"/>
          <w:sz w:val="17"/>
        </w:rPr>
        <w:t>Fig 2. UMAP of raw features colored by Cell Type.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040000" cy="3755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map_raw_disease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808080"/>
          <w:sz w:val="17"/>
        </w:rPr>
        <w:t>Fig 3. UMAP of raw features colored by Disease Status.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555555"/>
          <w:sz w:val="22"/>
        </w:rPr>
        <w:t>5.2 Autoencoder Latent Space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040000" cy="3755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map_latent_cell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808080"/>
          <w:sz w:val="17"/>
        </w:rPr>
        <w:t>Fig 4. UMAP of AE latent space colored by Cell Type.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040000" cy="3755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map_latent_disease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808080"/>
          <w:sz w:val="17"/>
        </w:rPr>
        <w:t>Fig 5. UMAP of AE latent space colored by Disease Status.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2980B9"/>
          <w:sz w:val="28"/>
        </w:rPr>
        <w:t>6. Gene Expression Statistics</w:t>
      </w:r>
    </w:p>
    <w:p>
      <w:pPr>
        <w:spacing w:before="200" w:after="80"/>
      </w:pPr>
      <w:r>
        <w:rPr>
          <w:rFonts w:ascii="Calibri" w:hAnsi="Calibri"/>
          <w:b/>
          <w:color w:val="555555"/>
          <w:sz w:val="22"/>
        </w:rPr>
        <w:t>6.1 Mean Expression by Cell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HK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Oncogene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Immune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Stromal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Therapy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Inflam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Cancer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5.002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14.005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2.966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3.510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9.961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6.624</w:t>
            </w:r>
          </w:p>
        </w:tc>
      </w:tr>
      <w:tr>
        <w:tc>
          <w:tcPr>
            <w:tcW w:type="dxa" w:w="181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Fibroblast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5.010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4.010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2.967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13.523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2.966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3.628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T_Cell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4.996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3.942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12.015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3.524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1.930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10.877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555555"/>
          <w:sz w:val="22"/>
        </w:rPr>
        <w:t>6.2 Mean Expression by Disease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HK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Oncogene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Immune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Stromal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Therapy</w:t>
            </w:r>
          </w:p>
        </w:tc>
        <w:tc>
          <w:tcPr>
            <w:tcW w:type="dxa" w:w="1134"/>
            <w:vAlign w:val="center"/>
            <w:shd w:val="clear" w:color="auto" w:fill="2C3E5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Inflam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Healthy_Control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4.992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3.982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7.372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8.785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2.545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7.231</w:t>
            </w:r>
          </w:p>
        </w:tc>
      </w:tr>
      <w:tr>
        <w:tc>
          <w:tcPr>
            <w:tcW w:type="dxa" w:w="181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Tumor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5.004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7.840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5.766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6.551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5.328</w:t>
            </w:r>
          </w:p>
        </w:tc>
        <w:tc>
          <w:tcPr>
            <w:tcW w:type="dxa" w:w="1134"/>
            <w:vAlign w:val="center"/>
            <w:shd w:val="clear" w:color="auto" w:fill="EBF5FB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7.014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980B9"/>
          <w:sz w:val="28"/>
        </w:rPr>
        <w:t>7. Key Findings</w:t>
      </w:r>
    </w:p>
    <w:p>
      <w:pPr>
        <w:pStyle w:val="ListBullet"/>
        <w:spacing w:before="0" w:after="60"/>
      </w:pPr>
      <w:r>
        <w:rPr>
          <w:rFonts w:ascii="Calibri" w:hAnsi="Calibri"/>
          <w:sz w:val="19"/>
        </w:rPr>
        <w:t>Cancer cells: Highest Gene_A_Oncogene (~14.0) and Gene_D_Therapy (~10.0), reflecting active oncogenic signaling and elevated treatment target expression.</w:t>
      </w:r>
    </w:p>
    <w:p>
      <w:pPr>
        <w:pStyle w:val="ListBullet"/>
        <w:spacing w:before="0" w:after="60"/>
      </w:pPr>
      <w:r>
        <w:rPr>
          <w:rFonts w:ascii="Calibri" w:hAnsi="Calibri"/>
          <w:sz w:val="19"/>
        </w:rPr>
        <w:t>T Cells: Highest Gene_B_Immune (~12.0) and Pathway_Score_Inflam (~10.9), consistent with immune-mediated inflammatory activity.</w:t>
      </w:r>
    </w:p>
    <w:p>
      <w:pPr>
        <w:pStyle w:val="ListBullet"/>
        <w:spacing w:before="0" w:after="60"/>
      </w:pPr>
      <w:r>
        <w:rPr>
          <w:rFonts w:ascii="Calibri" w:hAnsi="Calibri"/>
          <w:sz w:val="19"/>
        </w:rPr>
        <w:t>Fibroblasts: Dominant Gene_C_Stromal (~13.5), characteristic of stromal microenvironment support.</w:t>
      </w:r>
    </w:p>
    <w:p>
      <w:pPr>
        <w:pStyle w:val="ListBullet"/>
        <w:spacing w:before="0" w:after="60"/>
      </w:pPr>
      <w:r>
        <w:rPr>
          <w:rFonts w:ascii="Calibri" w:hAnsi="Calibri"/>
          <w:sz w:val="19"/>
        </w:rPr>
        <w:t>Tumor vs. Healthy Control: Tumor samples show elevated Oncogene and Therapy gene expression; Healthy_Control shows higher Stromal and Immune scores.</w:t>
      </w:r>
    </w:p>
    <w:p>
      <w:pPr>
        <w:pStyle w:val="ListBullet"/>
        <w:spacing w:before="0" w:after="60"/>
      </w:pPr>
      <w:r>
        <w:rPr>
          <w:rFonts w:ascii="Calibri" w:hAnsi="Calibri"/>
          <w:sz w:val="19"/>
        </w:rPr>
        <w:t>UMAP clustering: All three cell types form well-separated clusters in both raw and latent space, confirming biologically meaningful data structure.</w:t>
      </w:r>
    </w:p>
    <w:p>
      <w:pPr>
        <w:pBdr>
          <w:bottom w:val="single" w:sz="6" w:space="1" w:color="2980B9"/>
        </w:pBdr>
        <w:spacing w:before="0" w:after="120"/>
      </w:pPr>
    </w:p>
    <w:p>
      <w:pPr>
        <w:spacing w:before="40" w:after="160"/>
        <w:jc w:val="center"/>
      </w:pPr>
      <w:r>
        <w:rPr>
          <w:rFonts w:ascii="Calibri" w:hAnsi="Calibri"/>
          <w:i/>
          <w:color w:val="808080"/>
          <w:sz w:val="17"/>
        </w:rPr>
        <w:t>Analysis pipeline: PyTorch (normalization + Autoencoder) → UMAP (umap-learn) → python-docx (report)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