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E40AF"/>
          <w:sz w:val="72"/>
        </w:rPr>
        <w:t>YouTube Analytics</w:t>
      </w:r>
    </w:p>
    <w:p>
      <w:pPr>
        <w:jc w:val="center"/>
      </w:pPr>
      <w:r>
        <w:rPr>
          <w:b/>
          <w:color w:val="1D4ED8"/>
          <w:sz w:val="56"/>
        </w:rPr>
        <w:t>Comparative Analysis Report</w:t>
      </w:r>
    </w:p>
    <w:p/>
    <w:p>
      <w:pPr>
        <w:jc w:val="center"/>
      </w:pPr>
      <w:r>
        <w:rPr>
          <w:i/>
          <w:color w:val="475569"/>
          <w:sz w:val="26"/>
        </w:rPr>
        <w:t>NumPy / Pandas Statistical Analysis  vs  Deep Learning (MLP Neural Network)</w:t>
      </w:r>
    </w:p>
    <w:p/>
    <w:p>
      <w:pPr>
        <w:jc w:val="center"/>
      </w:pPr>
      <w:r>
        <w:rPr>
          <w:color w:val="1E40AF"/>
        </w:rPr>
        <w:t>─────────────────────────────────────</w:t>
      </w:r>
    </w:p>
    <w:p/>
    <w:tbl>
      <w:tblPr>
        <w:tblStyle w:val="TableGrid"/>
        <w:tblW w:type="auto" w:w="0"/>
        <w:jc w:val="center"/>
        <w:tblLook w:firstColumn="1" w:firstRow="1" w:lastColumn="0" w:lastRow="0" w:noHBand="0" w:noVBand="1" w:val="04A0"/>
      </w:tblPr>
      <w:tblGrid>
        <w:gridCol w:w="4703"/>
        <w:gridCol w:w="4703"/>
      </w:tblGrid>
      <w:tr>
        <w:trPr>
          <w:trHeight w:val="510"/>
        </w:trPr>
        <w:tc>
          <w:tcPr>
            <w:tcW w:type="dxa" w:w="2551"/>
            <w:shd w:val="clear" w:color="auto" w:fill="1E40AF"/>
            <w:vAlign w:val="center"/>
          </w:tcPr>
          <w:p>
            <w:pPr>
              <w:jc w:val="center"/>
            </w:pPr>
            <w:r>
              <w:rPr>
                <w:b/>
                <w:color w:val="FFFFFF"/>
                <w:sz w:val="20"/>
              </w:rPr>
              <w:t>Reports Compared</w:t>
            </w:r>
          </w:p>
        </w:tc>
        <w:tc>
          <w:tcPr>
            <w:tcW w:type="dxa" w:w="6803"/>
            <w:shd w:val="clear" w:color="auto" w:fill="EFF6FF"/>
            <w:vAlign w:val="center"/>
          </w:tcPr>
          <w:p>
            <w:r>
              <w:rPr>
                <w:color w:val="1D4ED8"/>
                <w:sz w:val="19"/>
              </w:rPr>
              <w:t>YouTube_Trending_Analysis_Report  ·  YouTube_Views_Prediction_Report</w:t>
            </w:r>
          </w:p>
        </w:tc>
      </w:tr>
      <w:tr>
        <w:trPr>
          <w:trHeight w:val="510"/>
        </w:trPr>
        <w:tc>
          <w:tcPr>
            <w:tcW w:type="dxa" w:w="2551"/>
            <w:shd w:val="clear" w:color="auto" w:fill="1E40AF"/>
            <w:vAlign w:val="center"/>
          </w:tcPr>
          <w:p>
            <w:pPr>
              <w:jc w:val="center"/>
            </w:pPr>
            <w:r>
              <w:rPr>
                <w:b/>
                <w:color w:val="FFFFFF"/>
                <w:sz w:val="20"/>
              </w:rPr>
              <w:t>Analysis A</w:t>
            </w:r>
          </w:p>
        </w:tc>
        <w:tc>
          <w:tcPr>
            <w:tcW w:type="dxa" w:w="6803"/>
            <w:shd w:val="clear" w:color="auto" w:fill="EFF6FF"/>
            <w:vAlign w:val="center"/>
          </w:tcPr>
          <w:p>
            <w:r>
              <w:rPr>
                <w:color w:val="1D4ED8"/>
                <w:sz w:val="19"/>
              </w:rPr>
              <w:t>NumPy / Pandas — Statistical Descriptive Analysis</w:t>
              <w:br/>
              <w:t>10,000 videos · 24 countries · 17 categories</w:t>
            </w:r>
          </w:p>
        </w:tc>
      </w:tr>
      <w:tr>
        <w:trPr>
          <w:trHeight w:val="510"/>
        </w:trPr>
        <w:tc>
          <w:tcPr>
            <w:tcW w:type="dxa" w:w="2551"/>
            <w:shd w:val="clear" w:color="auto" w:fill="1E40AF"/>
            <w:vAlign w:val="center"/>
          </w:tcPr>
          <w:p>
            <w:pPr>
              <w:jc w:val="center"/>
            </w:pPr>
            <w:r>
              <w:rPr>
                <w:b/>
                <w:color w:val="FFFFFF"/>
                <w:sz w:val="20"/>
              </w:rPr>
              <w:t>Analysis B</w:t>
            </w:r>
          </w:p>
        </w:tc>
        <w:tc>
          <w:tcPr>
            <w:tcW w:type="dxa" w:w="6803"/>
            <w:shd w:val="clear" w:color="auto" w:fill="EFF6FF"/>
            <w:vAlign w:val="center"/>
          </w:tcPr>
          <w:p>
            <w:r>
              <w:rPr>
                <w:color w:val="1D4ED8"/>
                <w:sz w:val="19"/>
              </w:rPr>
              <w:t>Deep Learning (MLP) — Time-Series View Forecast</w:t>
              <w:br/>
              <w:t>73 months · 2 independent models</w:t>
            </w:r>
          </w:p>
        </w:tc>
      </w:tr>
      <w:tr>
        <w:trPr>
          <w:trHeight w:val="510"/>
        </w:trPr>
        <w:tc>
          <w:tcPr>
            <w:tcW w:type="dxa" w:w="2551"/>
            <w:shd w:val="clear" w:color="auto" w:fill="1E40AF"/>
            <w:vAlign w:val="center"/>
          </w:tcPr>
          <w:p>
            <w:pPr>
              <w:jc w:val="center"/>
            </w:pPr>
            <w:r>
              <w:rPr>
                <w:b/>
                <w:color w:val="FFFFFF"/>
                <w:sz w:val="20"/>
              </w:rPr>
              <w:t>Report Date</w:t>
            </w:r>
          </w:p>
        </w:tc>
        <w:tc>
          <w:tcPr>
            <w:tcW w:type="dxa" w:w="6803"/>
            <w:shd w:val="clear" w:color="auto" w:fill="EFF6FF"/>
            <w:vAlign w:val="center"/>
          </w:tcPr>
          <w:p>
            <w:r>
              <w:rPr>
                <w:color w:val="1D4ED8"/>
                <w:sz w:val="19"/>
              </w:rPr>
              <w:t>April 18, 2026</w:t>
            </w:r>
          </w:p>
        </w:tc>
      </w:tr>
      <w:tr>
        <w:trPr>
          <w:trHeight w:val="510"/>
        </w:trPr>
        <w:tc>
          <w:tcPr>
            <w:tcW w:type="dxa" w:w="2551"/>
            <w:shd w:val="clear" w:color="auto" w:fill="1E40AF"/>
            <w:vAlign w:val="center"/>
          </w:tcPr>
          <w:p>
            <w:pPr>
              <w:jc w:val="center"/>
            </w:pPr>
            <w:r>
              <w:rPr>
                <w:b/>
                <w:color w:val="FFFFFF"/>
                <w:sz w:val="20"/>
              </w:rPr>
              <w:t>Classification</w:t>
            </w:r>
          </w:p>
        </w:tc>
        <w:tc>
          <w:tcPr>
            <w:tcW w:type="dxa" w:w="6803"/>
            <w:shd w:val="clear" w:color="auto" w:fill="EFF6FF"/>
            <w:vAlign w:val="center"/>
          </w:tcPr>
          <w:p>
            <w:r>
              <w:rPr>
                <w:color w:val="1D4ED8"/>
                <w:sz w:val="19"/>
              </w:rPr>
              <w:t>Analytical Methodology Comparison — Confidential</w:t>
            </w:r>
          </w:p>
        </w:tc>
      </w:tr>
    </w:tbl>
    <w:p/>
    <w:p>
      <w:pPr>
        <w:jc w:val="center"/>
      </w:pPr>
      <w:r>
        <w:rPr>
          <w:i/>
          <w:color w:val="6B7280"/>
          <w:sz w:val="18"/>
        </w:rPr>
        <w:t>Copyright 2024 Meruva Kodanda Suraj  ·  Licensed under Apache License, Version 2.0</w:t>
      </w:r>
    </w:p>
    <w:p>
      <w:pPr>
        <w:jc w:val="center"/>
      </w:pPr>
      <w:r>
        <w:rPr>
          <w:i/>
          <w:color w:val="067BA9"/>
          <w:sz w:val="18"/>
        </w:rPr>
        <w:t>http://www.apache.org/licenses/LICENSE-2.0</w:t>
      </w:r>
    </w:p>
    <w:p>
      <w:r>
        <w:br w:type="page"/>
      </w:r>
    </w:p>
    <w:p>
      <w:pPr>
        <w:spacing w:before="280" w:after="120"/>
      </w:pPr>
      <w:r>
        <w:rPr>
          <w:b/>
          <w:color w:val="1E40AF"/>
          <w:sz w:val="30"/>
        </w:rPr>
        <w:t>1.  Analysis Overview</w:t>
      </w:r>
    </w:p>
    <w:p>
      <w:pPr>
        <w:pBdr>
          <w:bottom w:val="single" w:sz="6" w:space="1" w:color="1E40AF"/>
        </w:pBdr>
        <w:spacing w:before="40" w:after="120"/>
      </w:pPr>
    </w:p>
    <w:p>
      <w:pPr>
        <w:spacing w:after="120"/>
      </w:pPr>
      <w:r>
        <w:rPr>
          <w:b w:val="0"/>
          <w:i w:val="0"/>
          <w:color w:val="1F2D3D"/>
          <w:sz w:val="21"/>
        </w:rPr>
        <w:t>This report compares the analytical outcomes, capabilities, and practical utility of two distinct data science approaches applied to YouTube data. Analysis A uses NumPy and Pandas-based descriptive statistics to survey 10,000 trending videos across 24 countries, extracting broad patterns, correlations, and segment-level benchmarks. Analysis B applies a Deep Learning MLP neural network to 73 months of single-channel monthly view counts, learning temporal patterns to forecast views 36 months into the future.</w:t>
      </w:r>
    </w:p>
    <w:p/>
    <w:tbl>
      <w:tblPr>
        <w:tblStyle w:val="TableGrid"/>
        <w:tblW w:type="auto" w:w="0"/>
        <w:jc w:val="left"/>
        <w:tblLook w:firstColumn="1" w:firstRow="1" w:lastColumn="0" w:lastRow="0" w:noHBand="0" w:noVBand="1" w:val="04A0"/>
      </w:tblPr>
      <w:tblGrid>
        <w:gridCol w:w="3135"/>
        <w:gridCol w:w="3135"/>
        <w:gridCol w:w="3135"/>
      </w:tblGrid>
      <w:tr>
        <w:trPr>
          <w:trHeight w:val="425"/>
        </w:trPr>
        <w:tc>
          <w:tcPr>
            <w:tcW w:type="dxa" w:w="2551"/>
            <w:shd w:val="clear" w:color="auto" w:fill="1E40AF"/>
            <w:vAlign w:val="center"/>
          </w:tcPr>
          <w:p>
            <w:r>
              <w:rPr>
                <w:b/>
                <w:color w:val="FFFFFF"/>
                <w:sz w:val="21"/>
              </w:rPr>
              <w:t>Item</w:t>
            </w:r>
          </w:p>
        </w:tc>
        <w:tc>
          <w:tcPr>
            <w:tcW w:type="dxa" w:w="3685"/>
            <w:shd w:val="clear" w:color="auto" w:fill="1E40AF"/>
            <w:vAlign w:val="center"/>
          </w:tcPr>
          <w:p>
            <w:r>
              <w:rPr>
                <w:b/>
                <w:color w:val="FFFFFF"/>
                <w:sz w:val="21"/>
              </w:rPr>
              <w:t>Statistical Analysis (Np · Pd)</w:t>
            </w:r>
          </w:p>
        </w:tc>
        <w:tc>
          <w:tcPr>
            <w:tcW w:type="dxa" w:w="3685"/>
            <w:shd w:val="clear" w:color="auto" w:fill="1E40AF"/>
            <w:vAlign w:val="center"/>
          </w:tcPr>
          <w:p>
            <w:r>
              <w:rPr>
                <w:b/>
                <w:color w:val="FFFFFF"/>
                <w:sz w:val="21"/>
              </w:rPr>
              <w:t>Deep Learning (MLP)</w:t>
            </w:r>
          </w:p>
        </w:tc>
      </w:tr>
      <w:tr>
        <w:trPr>
          <w:trHeight w:val="408"/>
        </w:trPr>
        <w:tc>
          <w:tcPr>
            <w:tcW w:type="dxa" w:w="2551"/>
            <w:shd w:val="clear" w:color="auto" w:fill="DBEAFE"/>
            <w:vAlign w:val="center"/>
          </w:tcPr>
          <w:p>
            <w:r>
              <w:rPr>
                <w:b/>
                <w:color w:val="1D4ED8"/>
                <w:sz w:val="21"/>
              </w:rPr>
              <w:t>Dataset</w:t>
            </w:r>
          </w:p>
        </w:tc>
        <w:tc>
          <w:tcPr>
            <w:tcW w:type="dxa" w:w="3685"/>
            <w:shd w:val="clear" w:color="auto" w:fill="EFF6FF"/>
            <w:vAlign w:val="center"/>
          </w:tcPr>
          <w:p>
            <w:r>
              <w:rPr>
                <w:b w:val="0"/>
                <w:color w:val="1F2D3D"/>
                <w:sz w:val="21"/>
              </w:rPr>
              <w:t>10,000 trending videos · 24 countries</w:t>
            </w:r>
          </w:p>
        </w:tc>
        <w:tc>
          <w:tcPr>
            <w:tcW w:type="dxa" w:w="3685"/>
            <w:shd w:val="clear" w:color="auto" w:fill="EFF6FF"/>
            <w:vAlign w:val="center"/>
          </w:tcPr>
          <w:p>
            <w:r>
              <w:rPr>
                <w:b w:val="0"/>
                <w:color w:val="1F2D3D"/>
                <w:sz w:val="21"/>
              </w:rPr>
              <w:t>Single channel · 73 months (2020–2026)</w:t>
            </w:r>
          </w:p>
        </w:tc>
      </w:tr>
      <w:tr>
        <w:trPr>
          <w:trHeight w:val="408"/>
        </w:trPr>
        <w:tc>
          <w:tcPr>
            <w:tcW w:type="dxa" w:w="2551"/>
            <w:shd w:val="clear" w:color="auto" w:fill="DBEAFE"/>
            <w:vAlign w:val="center"/>
          </w:tcPr>
          <w:p>
            <w:r>
              <w:rPr>
                <w:b/>
                <w:color w:val="1D4ED8"/>
                <w:sz w:val="21"/>
              </w:rPr>
              <w:t>Primary Tools</w:t>
            </w:r>
          </w:p>
        </w:tc>
        <w:tc>
          <w:tcPr>
            <w:tcW w:type="dxa" w:w="3685"/>
            <w:shd w:val="clear" w:color="auto" w:fill="FFFFFF"/>
            <w:vAlign w:val="center"/>
          </w:tcPr>
          <w:p>
            <w:r>
              <w:rPr>
                <w:b w:val="0"/>
                <w:color w:val="1F2D3D"/>
                <w:sz w:val="21"/>
              </w:rPr>
              <w:t>NumPy, Pandas</w:t>
            </w:r>
          </w:p>
        </w:tc>
        <w:tc>
          <w:tcPr>
            <w:tcW w:type="dxa" w:w="3685"/>
            <w:shd w:val="clear" w:color="auto" w:fill="FFFFFF"/>
            <w:vAlign w:val="center"/>
          </w:tcPr>
          <w:p>
            <w:r>
              <w:rPr>
                <w:b w:val="0"/>
                <w:color w:val="1F2D3D"/>
                <w:sz w:val="21"/>
              </w:rPr>
              <w:t>MLP + Batch Norm + Residual Blocks (Rust)</w:t>
            </w:r>
          </w:p>
        </w:tc>
      </w:tr>
      <w:tr>
        <w:trPr>
          <w:trHeight w:val="408"/>
        </w:trPr>
        <w:tc>
          <w:tcPr>
            <w:tcW w:type="dxa" w:w="2551"/>
            <w:shd w:val="clear" w:color="auto" w:fill="DBEAFE"/>
            <w:vAlign w:val="center"/>
          </w:tcPr>
          <w:p>
            <w:r>
              <w:rPr>
                <w:b/>
                <w:color w:val="1D4ED8"/>
                <w:sz w:val="21"/>
              </w:rPr>
              <w:t>Analysis Type</w:t>
            </w:r>
          </w:p>
        </w:tc>
        <w:tc>
          <w:tcPr>
            <w:tcW w:type="dxa" w:w="3685"/>
            <w:shd w:val="clear" w:color="auto" w:fill="EFF6FF"/>
            <w:vAlign w:val="center"/>
          </w:tcPr>
          <w:p>
            <w:r>
              <w:rPr>
                <w:b w:val="0"/>
                <w:color w:val="1F2D3D"/>
                <w:sz w:val="21"/>
              </w:rPr>
              <w:t>Descriptive · Correlation · Segmentation</w:t>
            </w:r>
          </w:p>
        </w:tc>
        <w:tc>
          <w:tcPr>
            <w:tcW w:type="dxa" w:w="3685"/>
            <w:shd w:val="clear" w:color="auto" w:fill="EFF6FF"/>
            <w:vAlign w:val="center"/>
          </w:tcPr>
          <w:p>
            <w:r>
              <w:rPr>
                <w:b w:val="0"/>
                <w:color w:val="1F2D3D"/>
                <w:sz w:val="21"/>
              </w:rPr>
              <w:t>Time-series forecasting (36 months)</w:t>
            </w:r>
          </w:p>
        </w:tc>
      </w:tr>
      <w:tr>
        <w:trPr>
          <w:trHeight w:val="408"/>
        </w:trPr>
        <w:tc>
          <w:tcPr>
            <w:tcW w:type="dxa" w:w="2551"/>
            <w:shd w:val="clear" w:color="auto" w:fill="DBEAFE"/>
            <w:vAlign w:val="center"/>
          </w:tcPr>
          <w:p>
            <w:r>
              <w:rPr>
                <w:b/>
                <w:color w:val="1D4ED8"/>
                <w:sz w:val="21"/>
              </w:rPr>
              <w:t>Output</w:t>
            </w:r>
          </w:p>
        </w:tc>
        <w:tc>
          <w:tcPr>
            <w:tcW w:type="dxa" w:w="3685"/>
            <w:shd w:val="clear" w:color="auto" w:fill="FFFFFF"/>
            <w:vAlign w:val="center"/>
          </w:tcPr>
          <w:p>
            <w:r>
              <w:rPr>
                <w:b w:val="0"/>
                <w:color w:val="1F2D3D"/>
                <w:sz w:val="21"/>
              </w:rPr>
              <w:t>Historical &amp; current insights</w:t>
            </w:r>
          </w:p>
        </w:tc>
        <w:tc>
          <w:tcPr>
            <w:tcW w:type="dxa" w:w="3685"/>
            <w:shd w:val="clear" w:color="auto" w:fill="FFFFFF"/>
            <w:vAlign w:val="center"/>
          </w:tcPr>
          <w:p>
            <w:r>
              <w:rPr>
                <w:b w:val="0"/>
                <w:color w:val="1F2D3D"/>
                <w:sz w:val="21"/>
              </w:rPr>
              <w:t>Future predictions (2026–2028)</w:t>
            </w:r>
          </w:p>
        </w:tc>
      </w:tr>
      <w:tr>
        <w:trPr>
          <w:trHeight w:val="408"/>
        </w:trPr>
        <w:tc>
          <w:tcPr>
            <w:tcW w:type="dxa" w:w="2551"/>
            <w:shd w:val="clear" w:color="auto" w:fill="DBEAFE"/>
            <w:vAlign w:val="center"/>
          </w:tcPr>
          <w:p>
            <w:r>
              <w:rPr>
                <w:b/>
                <w:color w:val="1D4ED8"/>
                <w:sz w:val="21"/>
              </w:rPr>
              <w:t>Question Answered</w:t>
            </w:r>
          </w:p>
        </w:tc>
        <w:tc>
          <w:tcPr>
            <w:tcW w:type="dxa" w:w="3685"/>
            <w:shd w:val="clear" w:color="auto" w:fill="EFF6FF"/>
            <w:vAlign w:val="center"/>
          </w:tcPr>
          <w:p>
            <w:r>
              <w:rPr>
                <w:b w:val="0"/>
                <w:color w:val="1F2D3D"/>
                <w:sz w:val="21"/>
              </w:rPr>
              <w:t>'What happened and why?'</w:t>
            </w:r>
          </w:p>
        </w:tc>
        <w:tc>
          <w:tcPr>
            <w:tcW w:type="dxa" w:w="3685"/>
            <w:shd w:val="clear" w:color="auto" w:fill="EFF6FF"/>
            <w:vAlign w:val="center"/>
          </w:tcPr>
          <w:p>
            <w:r>
              <w:rPr>
                <w:b w:val="0"/>
                <w:color w:val="1F2D3D"/>
                <w:sz w:val="21"/>
              </w:rPr>
              <w:t>'What will happen next?'</w:t>
            </w:r>
          </w:p>
        </w:tc>
      </w:tr>
      <w:tr>
        <w:trPr>
          <w:trHeight w:val="408"/>
        </w:trPr>
        <w:tc>
          <w:tcPr>
            <w:tcW w:type="dxa" w:w="2551"/>
            <w:shd w:val="clear" w:color="auto" w:fill="DBEAFE"/>
            <w:vAlign w:val="center"/>
          </w:tcPr>
          <w:p>
            <w:r>
              <w:rPr>
                <w:b/>
                <w:color w:val="1D4ED8"/>
                <w:sz w:val="21"/>
              </w:rPr>
              <w:t>Accuracy Metric</w:t>
            </w:r>
          </w:p>
        </w:tc>
        <w:tc>
          <w:tcPr>
            <w:tcW w:type="dxa" w:w="3685"/>
            <w:shd w:val="clear" w:color="auto" w:fill="FFFFFF"/>
            <w:vAlign w:val="center"/>
          </w:tcPr>
          <w:p>
            <w:r>
              <w:rPr>
                <w:b w:val="0"/>
                <w:color w:val="1F2D3D"/>
                <w:sz w:val="21"/>
              </w:rPr>
              <w:t>CV%, Pearson r</w:t>
            </w:r>
          </w:p>
        </w:tc>
        <w:tc>
          <w:tcPr>
            <w:tcW w:type="dxa" w:w="3685"/>
            <w:shd w:val="clear" w:color="auto" w:fill="FFFFFF"/>
            <w:vAlign w:val="center"/>
          </w:tcPr>
          <w:p>
            <w:r>
              <w:rPr>
                <w:b w:val="0"/>
                <w:color w:val="1F2D3D"/>
                <w:sz w:val="21"/>
              </w:rPr>
              <w:t>Basic 63% · Advanced 99% (validation set)</w:t>
            </w:r>
          </w:p>
        </w:tc>
      </w:tr>
      <w:tr>
        <w:trPr>
          <w:trHeight w:val="408"/>
        </w:trPr>
        <w:tc>
          <w:tcPr>
            <w:tcW w:type="dxa" w:w="2551"/>
            <w:shd w:val="clear" w:color="auto" w:fill="DBEAFE"/>
            <w:vAlign w:val="center"/>
          </w:tcPr>
          <w:p>
            <w:r>
              <w:rPr>
                <w:b/>
                <w:color w:val="1D4ED8"/>
                <w:sz w:val="21"/>
              </w:rPr>
              <w:t>Execution Time</w:t>
            </w:r>
          </w:p>
        </w:tc>
        <w:tc>
          <w:tcPr>
            <w:tcW w:type="dxa" w:w="3685"/>
            <w:shd w:val="clear" w:color="auto" w:fill="EFF6FF"/>
            <w:vAlign w:val="center"/>
          </w:tcPr>
          <w:p>
            <w:r>
              <w:rPr>
                <w:b w:val="0"/>
                <w:color w:val="1F2D3D"/>
                <w:sz w:val="21"/>
              </w:rPr>
              <w:t>Seconds (no training required)</w:t>
            </w:r>
          </w:p>
        </w:tc>
        <w:tc>
          <w:tcPr>
            <w:tcW w:type="dxa" w:w="3685"/>
            <w:shd w:val="clear" w:color="auto" w:fill="EFF6FF"/>
            <w:vAlign w:val="center"/>
          </w:tcPr>
          <w:p>
            <w:r>
              <w:rPr>
                <w:b w:val="0"/>
                <w:color w:val="1F2D3D"/>
                <w:sz w:val="21"/>
              </w:rPr>
              <w:t>Seconds (pre-trained weights loaded)</w:t>
            </w:r>
          </w:p>
        </w:tc>
      </w:tr>
    </w:tbl>
    <w:p>
      <w:r>
        <w:br w:type="page"/>
      </w:r>
    </w:p>
    <w:p>
      <w:pPr>
        <w:spacing w:before="280" w:after="120"/>
      </w:pPr>
      <w:r>
        <w:rPr>
          <w:b/>
          <w:color w:val="1E40AF"/>
          <w:sz w:val="30"/>
        </w:rPr>
        <w:t>2.  Methodology Comparison</w:t>
      </w:r>
    </w:p>
    <w:p>
      <w:pPr>
        <w:pBdr>
          <w:bottom w:val="single" w:sz="6" w:space="1" w:color="1E40AF"/>
        </w:pBdr>
        <w:spacing w:before="40" w:after="120"/>
      </w:pPr>
    </w:p>
    <w:p>
      <w:pPr>
        <w:spacing w:after="120"/>
      </w:pPr>
      <w:r>
        <w:rPr>
          <w:b w:val="0"/>
          <w:i w:val="0"/>
          <w:color w:val="1F2D3D"/>
          <w:sz w:val="21"/>
        </w:rPr>
        <w:t>The statistical approach is optimised for data exploration and discovery. Descriptive statistics (mean, median, std dev, CV%), Pearson correlation coefficients, and cross-tabulations clearly quantify performance differences across every data dimension — categories, countries, weekdays, months, subscriber tiers, and video formats — delivering immediately interpretable findings with no model training required.</w:t>
      </w:r>
    </w:p>
    <w:p>
      <w:pPr>
        <w:spacing w:after="120"/>
      </w:pPr>
      <w:r>
        <w:rPr>
          <w:b w:val="0"/>
          <w:i w:val="0"/>
          <w:color w:val="1F2D3D"/>
          <w:sz w:val="21"/>
        </w:rPr>
        <w:t>The deep learning approach specialises in capturing non-linear temporal dependencies. An MLP with Batch Normalisation and Residual Blocks (Advanced model) or plain dense layers (Basic model) learns complex seasonality and subscriber growth trends from the historical time series, projecting future values with log-scale stability. The first forecast point is anchored to the last observed value to eliminate discontinuity.</w:t>
      </w:r>
    </w:p>
    <w:p/>
    <w:tbl>
      <w:tblPr>
        <w:tblStyle w:val="TableGrid"/>
        <w:tblW w:type="auto" w:w="0"/>
        <w:jc w:val="left"/>
        <w:tblLook w:firstColumn="1" w:firstRow="1" w:lastColumn="0" w:lastRow="0" w:noHBand="0" w:noVBand="1" w:val="04A0"/>
      </w:tblPr>
      <w:tblGrid>
        <w:gridCol w:w="3135"/>
        <w:gridCol w:w="3135"/>
        <w:gridCol w:w="3135"/>
      </w:tblGrid>
      <w:tr>
        <w:trPr>
          <w:trHeight w:val="425"/>
        </w:trPr>
        <w:tc>
          <w:tcPr>
            <w:tcW w:type="dxa" w:w="2835"/>
            <w:shd w:val="clear" w:color="auto" w:fill="1E40AF"/>
            <w:vAlign w:val="center"/>
          </w:tcPr>
          <w:p>
            <w:r>
              <w:rPr>
                <w:b/>
                <w:color w:val="FFFFFF"/>
                <w:sz w:val="21"/>
              </w:rPr>
              <w:t>Methodology Item</w:t>
            </w:r>
          </w:p>
        </w:tc>
        <w:tc>
          <w:tcPr>
            <w:tcW w:type="dxa" w:w="3402"/>
            <w:shd w:val="clear" w:color="auto" w:fill="1E40AF"/>
            <w:vAlign w:val="center"/>
          </w:tcPr>
          <w:p>
            <w:r>
              <w:rPr>
                <w:b/>
                <w:color w:val="FFFFFF"/>
                <w:sz w:val="21"/>
              </w:rPr>
              <w:t>Statistical Analysis (Np · Pd)</w:t>
            </w:r>
          </w:p>
        </w:tc>
        <w:tc>
          <w:tcPr>
            <w:tcW w:type="dxa" w:w="3402"/>
            <w:shd w:val="clear" w:color="auto" w:fill="1E40AF"/>
            <w:vAlign w:val="center"/>
          </w:tcPr>
          <w:p>
            <w:r>
              <w:rPr>
                <w:b/>
                <w:color w:val="FFFFFF"/>
                <w:sz w:val="21"/>
              </w:rPr>
              <w:t>Deep Learning (MLP)</w:t>
            </w:r>
          </w:p>
        </w:tc>
      </w:tr>
      <w:tr>
        <w:trPr>
          <w:trHeight w:val="408"/>
        </w:trPr>
        <w:tc>
          <w:tcPr>
            <w:tcW w:type="dxa" w:w="2835"/>
            <w:shd w:val="clear" w:color="auto" w:fill="DBEAFE"/>
            <w:vAlign w:val="center"/>
          </w:tcPr>
          <w:p>
            <w:r>
              <w:rPr>
                <w:b/>
                <w:color w:val="1D4ED8"/>
                <w:sz w:val="21"/>
              </w:rPr>
              <w:t>Data Preprocessing</w:t>
            </w:r>
          </w:p>
        </w:tc>
        <w:tc>
          <w:tcPr>
            <w:tcW w:type="dxa" w:w="3402"/>
            <w:shd w:val="clear" w:color="auto" w:fill="EFF6FF"/>
            <w:vAlign w:val="center"/>
          </w:tcPr>
          <w:p>
            <w:r>
              <w:rPr>
                <w:b w:val="0"/>
                <w:color w:val="1F2D3D"/>
                <w:sz w:val="21"/>
              </w:rPr>
              <w:t>Pandas filter · groupby · pivot tables</w:t>
            </w:r>
          </w:p>
        </w:tc>
        <w:tc>
          <w:tcPr>
            <w:tcW w:type="dxa" w:w="3402"/>
            <w:shd w:val="clear" w:color="auto" w:fill="EFF6FF"/>
            <w:vAlign w:val="center"/>
          </w:tcPr>
          <w:p>
            <w:r>
              <w:rPr>
                <w:b w:val="0"/>
                <w:color w:val="1F2D3D"/>
                <w:sz w:val="21"/>
              </w:rPr>
              <w:t>JSON load → float scaling → feature vectors</w:t>
            </w:r>
          </w:p>
        </w:tc>
      </w:tr>
      <w:tr>
        <w:trPr>
          <w:trHeight w:val="408"/>
        </w:trPr>
        <w:tc>
          <w:tcPr>
            <w:tcW w:type="dxa" w:w="2835"/>
            <w:shd w:val="clear" w:color="auto" w:fill="DBEAFE"/>
            <w:vAlign w:val="center"/>
          </w:tcPr>
          <w:p>
            <w:r>
              <w:rPr>
                <w:b/>
                <w:color w:val="1D4ED8"/>
                <w:sz w:val="21"/>
              </w:rPr>
              <w:t>Core Algorithm</w:t>
            </w:r>
          </w:p>
        </w:tc>
        <w:tc>
          <w:tcPr>
            <w:tcW w:type="dxa" w:w="3402"/>
            <w:shd w:val="clear" w:color="auto" w:fill="FFFFFF"/>
            <w:vAlign w:val="center"/>
          </w:tcPr>
          <w:p>
            <w:r>
              <w:rPr>
                <w:b w:val="0"/>
                <w:color w:val="1F2D3D"/>
                <w:sz w:val="21"/>
              </w:rPr>
              <w:t>Descriptive stats · Pearson r · CrossTab</w:t>
            </w:r>
          </w:p>
        </w:tc>
        <w:tc>
          <w:tcPr>
            <w:tcW w:type="dxa" w:w="3402"/>
            <w:shd w:val="clear" w:color="auto" w:fill="FFFFFF"/>
            <w:vAlign w:val="center"/>
          </w:tcPr>
          <w:p>
            <w:r>
              <w:rPr>
                <w:b w:val="0"/>
                <w:color w:val="1F2D3D"/>
                <w:sz w:val="21"/>
              </w:rPr>
              <w:t>Linear → BN → GELU → Residual → Head</w:t>
            </w:r>
          </w:p>
        </w:tc>
      </w:tr>
      <w:tr>
        <w:trPr>
          <w:trHeight w:val="408"/>
        </w:trPr>
        <w:tc>
          <w:tcPr>
            <w:tcW w:type="dxa" w:w="2835"/>
            <w:shd w:val="clear" w:color="auto" w:fill="DBEAFE"/>
            <w:vAlign w:val="center"/>
          </w:tcPr>
          <w:p>
            <w:r>
              <w:rPr>
                <w:b/>
                <w:color w:val="1D4ED8"/>
                <w:sz w:val="21"/>
              </w:rPr>
              <w:t>Hyperparameters</w:t>
            </w:r>
          </w:p>
        </w:tc>
        <w:tc>
          <w:tcPr>
            <w:tcW w:type="dxa" w:w="3402"/>
            <w:shd w:val="clear" w:color="auto" w:fill="EFF6FF"/>
            <w:vAlign w:val="center"/>
          </w:tcPr>
          <w:p>
            <w:r>
              <w:rPr>
                <w:b w:val="0"/>
                <w:color w:val="1F2D3D"/>
                <w:sz w:val="21"/>
              </w:rPr>
              <w:t>None (computation-based)</w:t>
            </w:r>
          </w:p>
        </w:tc>
        <w:tc>
          <w:tcPr>
            <w:tcW w:type="dxa" w:w="3402"/>
            <w:shd w:val="clear" w:color="auto" w:fill="EFF6FF"/>
            <w:vAlign w:val="center"/>
          </w:tcPr>
          <w:p>
            <w:r>
              <w:rPr>
                <w:b w:val="0"/>
                <w:color w:val="1F2D3D"/>
                <w:sz w:val="21"/>
              </w:rPr>
              <w:t>Layer depth · BN epsilon · subscriber slope</w:t>
            </w:r>
          </w:p>
        </w:tc>
      </w:tr>
      <w:tr>
        <w:trPr>
          <w:trHeight w:val="408"/>
        </w:trPr>
        <w:tc>
          <w:tcPr>
            <w:tcW w:type="dxa" w:w="2835"/>
            <w:shd w:val="clear" w:color="auto" w:fill="DBEAFE"/>
            <w:vAlign w:val="center"/>
          </w:tcPr>
          <w:p>
            <w:r>
              <w:rPr>
                <w:b/>
                <w:color w:val="1D4ED8"/>
                <w:sz w:val="21"/>
              </w:rPr>
              <w:t>Training Required</w:t>
            </w:r>
          </w:p>
        </w:tc>
        <w:tc>
          <w:tcPr>
            <w:tcW w:type="dxa" w:w="3402"/>
            <w:shd w:val="clear" w:color="auto" w:fill="FFFFFF"/>
            <w:vAlign w:val="center"/>
          </w:tcPr>
          <w:p>
            <w:r>
              <w:rPr>
                <w:b w:val="0"/>
                <w:color w:val="1F2D3D"/>
                <w:sz w:val="21"/>
              </w:rPr>
              <w:t>No</w:t>
            </w:r>
          </w:p>
        </w:tc>
        <w:tc>
          <w:tcPr>
            <w:tcW w:type="dxa" w:w="3402"/>
            <w:shd w:val="clear" w:color="auto" w:fill="FFFFFF"/>
            <w:vAlign w:val="center"/>
          </w:tcPr>
          <w:p>
            <w:r>
              <w:rPr>
                <w:b w:val="0"/>
                <w:color w:val="1F2D3D"/>
                <w:sz w:val="21"/>
              </w:rPr>
              <w:t>Yes — offline, weights serialised to JSON</w:t>
            </w:r>
          </w:p>
        </w:tc>
      </w:tr>
      <w:tr>
        <w:trPr>
          <w:trHeight w:val="408"/>
        </w:trPr>
        <w:tc>
          <w:tcPr>
            <w:tcW w:type="dxa" w:w="2835"/>
            <w:shd w:val="clear" w:color="auto" w:fill="DBEAFE"/>
            <w:vAlign w:val="center"/>
          </w:tcPr>
          <w:p>
            <w:r>
              <w:rPr>
                <w:b/>
                <w:color w:val="1D4ED8"/>
                <w:sz w:val="21"/>
              </w:rPr>
              <w:t>Accuracy Metric</w:t>
            </w:r>
          </w:p>
        </w:tc>
        <w:tc>
          <w:tcPr>
            <w:tcW w:type="dxa" w:w="3402"/>
            <w:shd w:val="clear" w:color="auto" w:fill="EFF6FF"/>
            <w:vAlign w:val="center"/>
          </w:tcPr>
          <w:p>
            <w:r>
              <w:rPr>
                <w:b w:val="0"/>
                <w:color w:val="1F2D3D"/>
                <w:sz w:val="21"/>
              </w:rPr>
              <w:t>CV%, correlation significance</w:t>
            </w:r>
          </w:p>
        </w:tc>
        <w:tc>
          <w:tcPr>
            <w:tcW w:type="dxa" w:w="3402"/>
            <w:shd w:val="clear" w:color="auto" w:fill="EFF6FF"/>
            <w:vAlign w:val="center"/>
          </w:tcPr>
          <w:p>
            <w:r>
              <w:rPr>
                <w:b w:val="0"/>
                <w:color w:val="1F2D3D"/>
                <w:sz w:val="21"/>
              </w:rPr>
              <w:t>Held-out validation accuracy</w:t>
            </w:r>
          </w:p>
        </w:tc>
      </w:tr>
      <w:tr>
        <w:trPr>
          <w:trHeight w:val="408"/>
        </w:trPr>
        <w:tc>
          <w:tcPr>
            <w:tcW w:type="dxa" w:w="2835"/>
            <w:shd w:val="clear" w:color="auto" w:fill="DBEAFE"/>
            <w:vAlign w:val="center"/>
          </w:tcPr>
          <w:p>
            <w:r>
              <w:rPr>
                <w:b/>
                <w:color w:val="1D4ED8"/>
                <w:sz w:val="21"/>
              </w:rPr>
              <w:t>Output Scale</w:t>
            </w:r>
          </w:p>
        </w:tc>
        <w:tc>
          <w:tcPr>
            <w:tcW w:type="dxa" w:w="3402"/>
            <w:shd w:val="clear" w:color="auto" w:fill="FFFFFF"/>
            <w:vAlign w:val="center"/>
          </w:tcPr>
          <w:p>
            <w:r>
              <w:rPr>
                <w:b w:val="0"/>
                <w:color w:val="1F2D3D"/>
                <w:sz w:val="21"/>
              </w:rPr>
              <w:t>Absolute counts (views, likes, engagement)</w:t>
            </w:r>
          </w:p>
        </w:tc>
        <w:tc>
          <w:tcPr>
            <w:tcW w:type="dxa" w:w="3402"/>
            <w:shd w:val="clear" w:color="auto" w:fill="FFFFFF"/>
            <w:vAlign w:val="center"/>
          </w:tcPr>
          <w:p>
            <w:r>
              <w:rPr>
                <w:b w:val="0"/>
                <w:color w:val="1F2D3D"/>
                <w:sz w:val="21"/>
              </w:rPr>
              <w:t>Millions (M), log-scale internally</w:t>
            </w:r>
          </w:p>
        </w:tc>
      </w:tr>
      <w:tr>
        <w:trPr>
          <w:trHeight w:val="408"/>
        </w:trPr>
        <w:tc>
          <w:tcPr>
            <w:tcW w:type="dxa" w:w="2835"/>
            <w:shd w:val="clear" w:color="auto" w:fill="DBEAFE"/>
            <w:vAlign w:val="center"/>
          </w:tcPr>
          <w:p>
            <w:r>
              <w:rPr>
                <w:b/>
                <w:color w:val="1D4ED8"/>
                <w:sz w:val="21"/>
              </w:rPr>
              <w:t>Interpretability</w:t>
            </w:r>
          </w:p>
        </w:tc>
        <w:tc>
          <w:tcPr>
            <w:tcW w:type="dxa" w:w="3402"/>
            <w:shd w:val="clear" w:color="auto" w:fill="EFF6FF"/>
            <w:vAlign w:val="center"/>
          </w:tcPr>
          <w:p>
            <w:r>
              <w:rPr>
                <w:b w:val="0"/>
                <w:color w:val="1F2D3D"/>
                <w:sz w:val="21"/>
              </w:rPr>
              <w:t>Full — every number directly explainable</w:t>
            </w:r>
          </w:p>
        </w:tc>
        <w:tc>
          <w:tcPr>
            <w:tcW w:type="dxa" w:w="3402"/>
            <w:shd w:val="clear" w:color="auto" w:fill="EFF6FF"/>
            <w:vAlign w:val="center"/>
          </w:tcPr>
          <w:p>
            <w:r>
              <w:rPr>
                <w:b w:val="0"/>
                <w:color w:val="1F2D3D"/>
                <w:sz w:val="21"/>
              </w:rPr>
              <w:t>Limited — neural network black-box</w:t>
            </w:r>
          </w:p>
        </w:tc>
      </w:tr>
      <w:tr>
        <w:trPr>
          <w:trHeight w:val="408"/>
        </w:trPr>
        <w:tc>
          <w:tcPr>
            <w:tcW w:type="dxa" w:w="2835"/>
            <w:shd w:val="clear" w:color="auto" w:fill="DBEAFE"/>
            <w:vAlign w:val="center"/>
          </w:tcPr>
          <w:p>
            <w:r>
              <w:rPr>
                <w:b/>
                <w:color w:val="1D4ED8"/>
                <w:sz w:val="21"/>
              </w:rPr>
              <w:t>Reusability</w:t>
            </w:r>
          </w:p>
        </w:tc>
        <w:tc>
          <w:tcPr>
            <w:tcW w:type="dxa" w:w="3402"/>
            <w:shd w:val="clear" w:color="auto" w:fill="FFFFFF"/>
            <w:vAlign w:val="center"/>
          </w:tcPr>
          <w:p>
            <w:r>
              <w:rPr>
                <w:b w:val="0"/>
                <w:color w:val="1F2D3D"/>
                <w:sz w:val="21"/>
              </w:rPr>
              <w:t>Re-run instantly on new data</w:t>
            </w:r>
          </w:p>
        </w:tc>
        <w:tc>
          <w:tcPr>
            <w:tcW w:type="dxa" w:w="3402"/>
            <w:shd w:val="clear" w:color="auto" w:fill="FFFFFF"/>
            <w:vAlign w:val="center"/>
          </w:tcPr>
          <w:p>
            <w:r>
              <w:rPr>
                <w:b w:val="0"/>
                <w:color w:val="1F2D3D"/>
                <w:sz w:val="21"/>
              </w:rPr>
              <w:t>Requires retraining for new channels</w:t>
            </w:r>
          </w:p>
        </w:tc>
      </w:tr>
    </w:tbl>
    <w:p>
      <w:r>
        <w:br w:type="page"/>
      </w:r>
    </w:p>
    <w:p>
      <w:pPr>
        <w:spacing w:before="280" w:after="120"/>
      </w:pPr>
      <w:r>
        <w:rPr>
          <w:b/>
          <w:color w:val="1E40AF"/>
          <w:sz w:val="30"/>
        </w:rPr>
        <w:t>3.  Analytical Capability Comparison</w:t>
      </w:r>
    </w:p>
    <w:p>
      <w:pPr>
        <w:pBdr>
          <w:bottom w:val="single" w:sz="6" w:space="1" w:color="1E40AF"/>
        </w:pBdr>
        <w:spacing w:before="40" w:after="120"/>
      </w:pPr>
    </w:p>
    <w:p>
      <w:pPr>
        <w:spacing w:after="120"/>
      </w:pPr>
      <w:r>
        <w:rPr>
          <w:b w:val="0"/>
          <w:i w:val="0"/>
          <w:color w:val="1F2D3D"/>
          <w:sz w:val="21"/>
        </w:rPr>
        <w:t>The analytical strengths of the two approaches are complementary rather than overlapping. Statistical analysis excels in breadth — it surveys the full landscape of 10,000 videos and surfaces patterns across dozens of dimensions simultaneously. Deep learning excels in depth along the time axis — it models complex non-linear trends that simple statistics cannot capture and produces actionable numeric forecasts.</w:t>
      </w:r>
    </w:p>
    <w:p/>
    <w:p>
      <w:pPr>
        <w:spacing w:before="160" w:after="80"/>
      </w:pPr>
      <w:r>
        <w:rPr>
          <w:b/>
          <w:color w:val="059669"/>
          <w:sz w:val="24"/>
        </w:rPr>
        <w:t xml:space="preserve">  3-1.  Statistical Analysis — Capability Detail</w:t>
      </w:r>
    </w:p>
    <w:tbl>
      <w:tblPr>
        <w:tblStyle w:val="TableGrid"/>
        <w:tblW w:type="auto" w:w="0"/>
        <w:jc w:val="left"/>
        <w:tblLook w:firstColumn="1" w:firstRow="1" w:lastColumn="0" w:lastRow="0" w:noHBand="0" w:noVBand="1" w:val="04A0"/>
      </w:tblPr>
      <w:tblGrid>
        <w:gridCol w:w="3135"/>
        <w:gridCol w:w="3135"/>
        <w:gridCol w:w="3135"/>
      </w:tblGrid>
      <w:tr>
        <w:trPr>
          <w:trHeight w:val="425"/>
        </w:trPr>
        <w:tc>
          <w:tcPr>
            <w:tcW w:type="dxa" w:w="2268"/>
            <w:shd w:val="clear" w:color="auto" w:fill="065F46"/>
            <w:vAlign w:val="center"/>
          </w:tcPr>
          <w:p>
            <w:r>
              <w:rPr>
                <w:b/>
                <w:color w:val="FFFFFF"/>
                <w:sz w:val="21"/>
              </w:rPr>
              <w:t>Analysis Area</w:t>
            </w:r>
          </w:p>
        </w:tc>
        <w:tc>
          <w:tcPr>
            <w:tcW w:type="dxa" w:w="4252"/>
            <w:shd w:val="clear" w:color="auto" w:fill="065F46"/>
            <w:vAlign w:val="center"/>
          </w:tcPr>
          <w:p>
            <w:r>
              <w:rPr>
                <w:b/>
                <w:color w:val="FFFFFF"/>
                <w:sz w:val="21"/>
              </w:rPr>
              <w:t>Key Result</w:t>
            </w:r>
          </w:p>
        </w:tc>
        <w:tc>
          <w:tcPr>
            <w:tcW w:type="dxa" w:w="2835"/>
            <w:shd w:val="clear" w:color="auto" w:fill="065F46"/>
            <w:vAlign w:val="center"/>
          </w:tcPr>
          <w:p>
            <w:r>
              <w:rPr>
                <w:b/>
                <w:color w:val="FFFFFF"/>
                <w:sz w:val="21"/>
              </w:rPr>
              <w:t>Capability Rating</w:t>
            </w:r>
          </w:p>
        </w:tc>
      </w:tr>
      <w:tr>
        <w:trPr>
          <w:trHeight w:val="408"/>
        </w:trPr>
        <w:tc>
          <w:tcPr>
            <w:tcW w:type="dxa" w:w="2268"/>
            <w:shd w:val="clear" w:color="auto" w:fill="DBEAFE"/>
            <w:vAlign w:val="center"/>
          </w:tcPr>
          <w:p>
            <w:r>
              <w:rPr>
                <w:b/>
                <w:color w:val="1D4ED8"/>
                <w:sz w:val="21"/>
              </w:rPr>
              <w:t>Descriptive Statistics</w:t>
            </w:r>
          </w:p>
        </w:tc>
        <w:tc>
          <w:tcPr>
            <w:tcW w:type="dxa" w:w="4252"/>
            <w:shd w:val="clear" w:color="auto" w:fill="EFF6FF"/>
            <w:vAlign w:val="center"/>
          </w:tcPr>
          <w:p>
            <w:r>
              <w:rPr>
                <w:b w:val="0"/>
                <w:color w:val="1F2D3D"/>
                <w:sz w:val="21"/>
              </w:rPr>
              <w:t>Views CV% 1,038% → extreme right-skew confirmed</w:t>
              <w:br/>
              <w:t>Mean 3.12M vs Median 59K</w:t>
            </w:r>
          </w:p>
        </w:tc>
        <w:tc>
          <w:tcPr>
            <w:tcW w:type="dxa" w:w="2835"/>
            <w:shd w:val="clear" w:color="auto" w:fill="EFF6FF"/>
            <w:vAlign w:val="center"/>
          </w:tcPr>
          <w:p>
            <w:r>
              <w:rPr>
                <w:b w:val="0"/>
                <w:color w:val="1F2D3D"/>
                <w:sz w:val="21"/>
              </w:rPr>
              <w:t>★★★★★  Full distribution structure captured</w:t>
            </w:r>
          </w:p>
        </w:tc>
      </w:tr>
      <w:tr>
        <w:trPr>
          <w:trHeight w:val="408"/>
        </w:trPr>
        <w:tc>
          <w:tcPr>
            <w:tcW w:type="dxa" w:w="2268"/>
            <w:shd w:val="clear" w:color="auto" w:fill="DBEAFE"/>
            <w:vAlign w:val="center"/>
          </w:tcPr>
          <w:p>
            <w:r>
              <w:rPr>
                <w:b/>
                <w:color w:val="1D4ED8"/>
                <w:sz w:val="21"/>
              </w:rPr>
              <w:t>Category Benchmarking</w:t>
            </w:r>
          </w:p>
        </w:tc>
        <w:tc>
          <w:tcPr>
            <w:tcW w:type="dxa" w:w="4252"/>
            <w:shd w:val="clear" w:color="auto" w:fill="FFFFFF"/>
            <w:vAlign w:val="center"/>
          </w:tcPr>
          <w:p>
            <w:r>
              <w:rPr>
                <w:b w:val="0"/>
                <w:color w:val="1F2D3D"/>
                <w:sz w:val="21"/>
              </w:rPr>
              <w:t>Sports 4.65M · Shorts like-rate 6.61%</w:t>
              <w:br/>
              <w:t>17 categories fully decomposed</w:t>
            </w:r>
          </w:p>
        </w:tc>
        <w:tc>
          <w:tcPr>
            <w:tcW w:type="dxa" w:w="2835"/>
            <w:shd w:val="clear" w:color="auto" w:fill="FFFFFF"/>
            <w:vAlign w:val="center"/>
          </w:tcPr>
          <w:p>
            <w:r>
              <w:rPr>
                <w:b w:val="0"/>
                <w:color w:val="1F2D3D"/>
                <w:sz w:val="21"/>
              </w:rPr>
              <w:t>★★★★★  Complete cross-category comparison</w:t>
            </w:r>
          </w:p>
        </w:tc>
      </w:tr>
      <w:tr>
        <w:trPr>
          <w:trHeight w:val="408"/>
        </w:trPr>
        <w:tc>
          <w:tcPr>
            <w:tcW w:type="dxa" w:w="2268"/>
            <w:shd w:val="clear" w:color="auto" w:fill="DBEAFE"/>
            <w:vAlign w:val="center"/>
          </w:tcPr>
          <w:p>
            <w:r>
              <w:rPr>
                <w:b/>
                <w:color w:val="1D4ED8"/>
                <w:sz w:val="21"/>
              </w:rPr>
              <w:t>Country Analysis</w:t>
            </w:r>
          </w:p>
        </w:tc>
        <w:tc>
          <w:tcPr>
            <w:tcW w:type="dxa" w:w="4252"/>
            <w:shd w:val="clear" w:color="auto" w:fill="EFF6FF"/>
            <w:vAlign w:val="center"/>
          </w:tcPr>
          <w:p>
            <w:r>
              <w:rPr>
                <w:b w:val="0"/>
                <w:color w:val="1F2D3D"/>
                <w:sz w:val="21"/>
              </w:rPr>
              <w:t>Russia 8.4M vs Philippines 886K (9.5× gap)</w:t>
              <w:br/>
              <w:t>24-country ranking + engagement patterns</w:t>
            </w:r>
          </w:p>
        </w:tc>
        <w:tc>
          <w:tcPr>
            <w:tcW w:type="dxa" w:w="2835"/>
            <w:shd w:val="clear" w:color="auto" w:fill="EFF6FF"/>
            <w:vAlign w:val="center"/>
          </w:tcPr>
          <w:p>
            <w:r>
              <w:rPr>
                <w:b w:val="0"/>
                <w:color w:val="1F2D3D"/>
                <w:sz w:val="21"/>
              </w:rPr>
              <w:t>★★★★★  Geographic performance quantified</w:t>
            </w:r>
          </w:p>
        </w:tc>
      </w:tr>
      <w:tr>
        <w:trPr>
          <w:trHeight w:val="408"/>
        </w:trPr>
        <w:tc>
          <w:tcPr>
            <w:tcW w:type="dxa" w:w="2268"/>
            <w:shd w:val="clear" w:color="auto" w:fill="DBEAFE"/>
            <w:vAlign w:val="center"/>
          </w:tcPr>
          <w:p>
            <w:r>
              <w:rPr>
                <w:b/>
                <w:color w:val="1D4ED8"/>
                <w:sz w:val="21"/>
              </w:rPr>
              <w:t>Correlation Analysis</w:t>
            </w:r>
          </w:p>
        </w:tc>
        <w:tc>
          <w:tcPr>
            <w:tcW w:type="dxa" w:w="4252"/>
            <w:shd w:val="clear" w:color="auto" w:fill="FFFFFF"/>
            <w:vAlign w:val="center"/>
          </w:tcPr>
          <w:p>
            <w:r>
              <w:rPr>
                <w:b w:val="0"/>
                <w:color w:val="1F2D3D"/>
                <w:sz w:val="21"/>
              </w:rPr>
              <w:t>All |r| &lt; 0.03 → engagement unpredictable</w:t>
              <w:br/>
              <w:t>from surface metrics (views, subscribers, clickbait)</w:t>
            </w:r>
          </w:p>
        </w:tc>
        <w:tc>
          <w:tcPr>
            <w:tcW w:type="dxa" w:w="2835"/>
            <w:shd w:val="clear" w:color="auto" w:fill="FFFFFF"/>
            <w:vAlign w:val="center"/>
          </w:tcPr>
          <w:p>
            <w:r>
              <w:rPr>
                <w:b w:val="0"/>
                <w:color w:val="1F2D3D"/>
                <w:sz w:val="21"/>
              </w:rPr>
              <w:t>★★★★☆  Null finding is itself a key insight</w:t>
            </w:r>
          </w:p>
        </w:tc>
      </w:tr>
      <w:tr>
        <w:trPr>
          <w:trHeight w:val="408"/>
        </w:trPr>
        <w:tc>
          <w:tcPr>
            <w:tcW w:type="dxa" w:w="2268"/>
            <w:shd w:val="clear" w:color="auto" w:fill="DBEAFE"/>
            <w:vAlign w:val="center"/>
          </w:tcPr>
          <w:p>
            <w:r>
              <w:rPr>
                <w:b/>
                <w:color w:val="1D4ED8"/>
                <w:sz w:val="21"/>
              </w:rPr>
              <w:t>Temporal Patterns</w:t>
            </w:r>
          </w:p>
        </w:tc>
        <w:tc>
          <w:tcPr>
            <w:tcW w:type="dxa" w:w="4252"/>
            <w:shd w:val="clear" w:color="auto" w:fill="EFF6FF"/>
            <w:vAlign w:val="center"/>
          </w:tcPr>
          <w:p>
            <w:r>
              <w:rPr>
                <w:b w:val="0"/>
                <w:color w:val="1F2D3D"/>
                <w:sz w:val="21"/>
              </w:rPr>
              <w:t>Sunday 5.86M avg · November 6.18M</w:t>
              <w:br/>
              <w:t>Q4 season effect clearly identified</w:t>
            </w:r>
          </w:p>
        </w:tc>
        <w:tc>
          <w:tcPr>
            <w:tcW w:type="dxa" w:w="2835"/>
            <w:shd w:val="clear" w:color="auto" w:fill="EFF6FF"/>
            <w:vAlign w:val="center"/>
          </w:tcPr>
          <w:p>
            <w:r>
              <w:rPr>
                <w:b w:val="0"/>
                <w:color w:val="1F2D3D"/>
                <w:sz w:val="21"/>
              </w:rPr>
              <w:t>★★★★☆  Weekday &amp; monthly cycles clear</w:t>
            </w:r>
          </w:p>
        </w:tc>
      </w:tr>
      <w:tr>
        <w:trPr>
          <w:trHeight w:val="408"/>
        </w:trPr>
        <w:tc>
          <w:tcPr>
            <w:tcW w:type="dxa" w:w="2268"/>
            <w:shd w:val="clear" w:color="auto" w:fill="DBEAFE"/>
            <w:vAlign w:val="center"/>
          </w:tcPr>
          <w:p>
            <w:r>
              <w:rPr>
                <w:b/>
                <w:color w:val="1D4ED8"/>
                <w:sz w:val="21"/>
              </w:rPr>
              <w:t>Viral Profile</w:t>
            </w:r>
          </w:p>
        </w:tc>
        <w:tc>
          <w:tcPr>
            <w:tcW w:type="dxa" w:w="4252"/>
            <w:shd w:val="clear" w:color="auto" w:fill="FFFFFF"/>
            <w:vAlign w:val="center"/>
          </w:tcPr>
          <w:p>
            <w:r>
              <w:rPr>
                <w:b w:val="0"/>
                <w:color w:val="1F2D3D"/>
                <w:sz w:val="21"/>
              </w:rPr>
              <w:t>Top 1% = 60.8× overall average views</w:t>
              <w:br/>
              <w:t>Engagement nearly identical to average</w:t>
            </w:r>
          </w:p>
        </w:tc>
        <w:tc>
          <w:tcPr>
            <w:tcW w:type="dxa" w:w="2835"/>
            <w:shd w:val="clear" w:color="auto" w:fill="FFFFFF"/>
            <w:vAlign w:val="center"/>
          </w:tcPr>
          <w:p>
            <w:r>
              <w:rPr>
                <w:b w:val="0"/>
                <w:color w:val="1F2D3D"/>
                <w:sz w:val="21"/>
              </w:rPr>
              <w:t>★★★★☆  Viral threshold precisely defined</w:t>
            </w:r>
          </w:p>
        </w:tc>
      </w:tr>
      <w:tr>
        <w:trPr>
          <w:trHeight w:val="408"/>
        </w:trPr>
        <w:tc>
          <w:tcPr>
            <w:tcW w:type="dxa" w:w="2268"/>
            <w:shd w:val="clear" w:color="auto" w:fill="DBEAFE"/>
            <w:vAlign w:val="center"/>
          </w:tcPr>
          <w:p>
            <w:r>
              <w:rPr>
                <w:b/>
                <w:color w:val="1D4ED8"/>
                <w:sz w:val="21"/>
              </w:rPr>
              <w:t>Future Forecasting</w:t>
            </w:r>
          </w:p>
        </w:tc>
        <w:tc>
          <w:tcPr>
            <w:tcW w:type="dxa" w:w="4252"/>
            <w:shd w:val="clear" w:color="auto" w:fill="EFF6FF"/>
            <w:vAlign w:val="center"/>
          </w:tcPr>
          <w:p>
            <w:r>
              <w:rPr>
                <w:b w:val="0"/>
                <w:color w:val="1F2D3D"/>
                <w:sz w:val="21"/>
              </w:rPr>
              <w:t>Not possible — descriptive statistics</w:t>
              <w:br/>
              <w:t>are inherently retrospective</w:t>
            </w:r>
          </w:p>
        </w:tc>
        <w:tc>
          <w:tcPr>
            <w:tcW w:type="dxa" w:w="2835"/>
            <w:shd w:val="clear" w:color="auto" w:fill="EFF6FF"/>
            <w:vAlign w:val="center"/>
          </w:tcPr>
          <w:p>
            <w:r>
              <w:rPr>
                <w:b w:val="0"/>
                <w:color w:val="1F2D3D"/>
                <w:sz w:val="21"/>
              </w:rPr>
              <w:t>★☆☆☆☆  No predictive capability</w:t>
            </w:r>
          </w:p>
        </w:tc>
      </w:tr>
    </w:tbl>
    <w:p/>
    <w:p>
      <w:pPr>
        <w:spacing w:before="160" w:after="80"/>
      </w:pPr>
      <w:r>
        <w:rPr>
          <w:b/>
          <w:color w:val="1D4ED8"/>
          <w:sz w:val="24"/>
        </w:rPr>
        <w:t xml:space="preserve">  3-2.  Deep Learning — Capability Detail</w:t>
      </w:r>
    </w:p>
    <w:tbl>
      <w:tblPr>
        <w:tblStyle w:val="TableGrid"/>
        <w:tblW w:type="auto" w:w="0"/>
        <w:jc w:val="left"/>
        <w:tblLook w:firstColumn="1" w:firstRow="1" w:lastColumn="0" w:lastRow="0" w:noHBand="0" w:noVBand="1" w:val="04A0"/>
      </w:tblPr>
      <w:tblGrid>
        <w:gridCol w:w="3135"/>
        <w:gridCol w:w="3135"/>
        <w:gridCol w:w="3135"/>
      </w:tblGrid>
      <w:tr>
        <w:trPr>
          <w:trHeight w:val="425"/>
        </w:trPr>
        <w:tc>
          <w:tcPr>
            <w:tcW w:type="dxa" w:w="2268"/>
            <w:shd w:val="clear" w:color="auto" w:fill="1E40AF"/>
            <w:vAlign w:val="center"/>
          </w:tcPr>
          <w:p>
            <w:r>
              <w:rPr>
                <w:b/>
                <w:color w:val="FFFFFF"/>
                <w:sz w:val="21"/>
              </w:rPr>
              <w:t>Analysis Area</w:t>
            </w:r>
          </w:p>
        </w:tc>
        <w:tc>
          <w:tcPr>
            <w:tcW w:type="dxa" w:w="4252"/>
            <w:shd w:val="clear" w:color="auto" w:fill="1E40AF"/>
            <w:vAlign w:val="center"/>
          </w:tcPr>
          <w:p>
            <w:r>
              <w:rPr>
                <w:b/>
                <w:color w:val="FFFFFF"/>
                <w:sz w:val="21"/>
              </w:rPr>
              <w:t>Key Result</w:t>
            </w:r>
          </w:p>
        </w:tc>
        <w:tc>
          <w:tcPr>
            <w:tcW w:type="dxa" w:w="2835"/>
            <w:shd w:val="clear" w:color="auto" w:fill="1E40AF"/>
            <w:vAlign w:val="center"/>
          </w:tcPr>
          <w:p>
            <w:r>
              <w:rPr>
                <w:b/>
                <w:color w:val="FFFFFF"/>
                <w:sz w:val="21"/>
              </w:rPr>
              <w:t>Capability Rating</w:t>
            </w:r>
          </w:p>
        </w:tc>
      </w:tr>
      <w:tr>
        <w:trPr>
          <w:trHeight w:val="408"/>
        </w:trPr>
        <w:tc>
          <w:tcPr>
            <w:tcW w:type="dxa" w:w="2268"/>
            <w:shd w:val="clear" w:color="auto" w:fill="DBEAFE"/>
            <w:vAlign w:val="center"/>
          </w:tcPr>
          <w:p>
            <w:r>
              <w:rPr>
                <w:b/>
                <w:color w:val="1D4ED8"/>
                <w:sz w:val="21"/>
              </w:rPr>
              <w:t>Long-Range Forecasting</w:t>
            </w:r>
          </w:p>
        </w:tc>
        <w:tc>
          <w:tcPr>
            <w:tcW w:type="dxa" w:w="4252"/>
            <w:shd w:val="clear" w:color="auto" w:fill="EFF6FF"/>
            <w:vAlign w:val="center"/>
          </w:tcPr>
          <w:p>
            <w:r>
              <w:rPr>
                <w:b w:val="0"/>
                <w:color w:val="1F2D3D"/>
                <w:sz w:val="21"/>
              </w:rPr>
              <w:t>36-month monthly predictions at 99% accuracy</w:t>
              <w:br/>
              <w:t>(Advanced model, validation set)</w:t>
            </w:r>
          </w:p>
        </w:tc>
        <w:tc>
          <w:tcPr>
            <w:tcW w:type="dxa" w:w="2835"/>
            <w:shd w:val="clear" w:color="auto" w:fill="EFF6FF"/>
            <w:vAlign w:val="center"/>
          </w:tcPr>
          <w:p>
            <w:r>
              <w:rPr>
                <w:b w:val="0"/>
                <w:color w:val="1F2D3D"/>
                <w:sz w:val="21"/>
              </w:rPr>
              <w:t>★★★★★  Core and unique strength</w:t>
            </w:r>
          </w:p>
        </w:tc>
      </w:tr>
      <w:tr>
        <w:trPr>
          <w:trHeight w:val="408"/>
        </w:trPr>
        <w:tc>
          <w:tcPr>
            <w:tcW w:type="dxa" w:w="2268"/>
            <w:shd w:val="clear" w:color="auto" w:fill="DBEAFE"/>
            <w:vAlign w:val="center"/>
          </w:tcPr>
          <w:p>
            <w:r>
              <w:rPr>
                <w:b/>
                <w:color w:val="1D4ED8"/>
                <w:sz w:val="21"/>
              </w:rPr>
              <w:t>Seasonality Capture</w:t>
            </w:r>
          </w:p>
        </w:tc>
        <w:tc>
          <w:tcPr>
            <w:tcW w:type="dxa" w:w="4252"/>
            <w:shd w:val="clear" w:color="auto" w:fill="FFFFFF"/>
            <w:vAlign w:val="center"/>
          </w:tcPr>
          <w:p>
            <w:r>
              <w:rPr>
                <w:b w:val="0"/>
                <w:color w:val="1F2D3D"/>
                <w:sz w:val="21"/>
              </w:rPr>
              <w:t>April peak consistent across 2026, 2027, 2028</w:t>
              <w:br/>
              <w:t>Non-linear seasonal cycles auto-learned</w:t>
            </w:r>
          </w:p>
        </w:tc>
        <w:tc>
          <w:tcPr>
            <w:tcW w:type="dxa" w:w="2835"/>
            <w:shd w:val="clear" w:color="auto" w:fill="FFFFFF"/>
            <w:vAlign w:val="center"/>
          </w:tcPr>
          <w:p>
            <w:r>
              <w:rPr>
                <w:b w:val="0"/>
                <w:color w:val="1F2D3D"/>
                <w:sz w:val="21"/>
              </w:rPr>
              <w:t>★★★★★  Complex patterns automatically learned</w:t>
            </w:r>
          </w:p>
        </w:tc>
      </w:tr>
      <w:tr>
        <w:trPr>
          <w:trHeight w:val="408"/>
        </w:trPr>
        <w:tc>
          <w:tcPr>
            <w:tcW w:type="dxa" w:w="2268"/>
            <w:shd w:val="clear" w:color="auto" w:fill="DBEAFE"/>
            <w:vAlign w:val="center"/>
          </w:tcPr>
          <w:p>
            <w:r>
              <w:rPr>
                <w:b/>
                <w:color w:val="1D4ED8"/>
                <w:sz w:val="21"/>
              </w:rPr>
              <w:t>Uncertainty Quantification</w:t>
            </w:r>
          </w:p>
        </w:tc>
        <w:tc>
          <w:tcPr>
            <w:tcW w:type="dxa" w:w="4252"/>
            <w:shd w:val="clear" w:color="auto" w:fill="EFF6FF"/>
            <w:vAlign w:val="center"/>
          </w:tcPr>
          <w:p>
            <w:r>
              <w:rPr>
                <w:b w:val="0"/>
                <w:color w:val="1F2D3D"/>
                <w:sz w:val="21"/>
              </w:rPr>
              <w:t>Model gap defines 0.142M–0.198M range</w:t>
              <w:br/>
              <w:t>Two-model ensemble provides implicit CI</w:t>
            </w:r>
          </w:p>
        </w:tc>
        <w:tc>
          <w:tcPr>
            <w:tcW w:type="dxa" w:w="2835"/>
            <w:shd w:val="clear" w:color="auto" w:fill="EFF6FF"/>
            <w:vAlign w:val="center"/>
          </w:tcPr>
          <w:p>
            <w:r>
              <w:rPr>
                <w:b w:val="0"/>
                <w:color w:val="1F2D3D"/>
                <w:sz w:val="21"/>
              </w:rPr>
              <w:t>★★★★☆  Confidence interval expressed via gap</w:t>
            </w:r>
          </w:p>
        </w:tc>
      </w:tr>
      <w:tr>
        <w:trPr>
          <w:trHeight w:val="408"/>
        </w:trPr>
        <w:tc>
          <w:tcPr>
            <w:tcW w:type="dxa" w:w="2268"/>
            <w:shd w:val="clear" w:color="auto" w:fill="DBEAFE"/>
            <w:vAlign w:val="center"/>
          </w:tcPr>
          <w:p>
            <w:r>
              <w:rPr>
                <w:b/>
                <w:color w:val="1D4ED8"/>
                <w:sz w:val="21"/>
              </w:rPr>
              <w:t>Feature Integration</w:t>
            </w:r>
          </w:p>
        </w:tc>
        <w:tc>
          <w:tcPr>
            <w:tcW w:type="dxa" w:w="4252"/>
            <w:shd w:val="clear" w:color="auto" w:fill="FFFFFF"/>
            <w:vAlign w:val="center"/>
          </w:tcPr>
          <w:p>
            <w:r>
              <w:rPr>
                <w:b w:val="0"/>
                <w:color w:val="1F2D3D"/>
                <w:sz w:val="21"/>
              </w:rPr>
              <w:t>Subscriber slope + seasonal templates</w:t>
              <w:br/>
              <w:t>unified in a single model pipeline</w:t>
            </w:r>
          </w:p>
        </w:tc>
        <w:tc>
          <w:tcPr>
            <w:tcW w:type="dxa" w:w="2835"/>
            <w:shd w:val="clear" w:color="auto" w:fill="FFFFFF"/>
            <w:vAlign w:val="center"/>
          </w:tcPr>
          <w:p>
            <w:r>
              <w:rPr>
                <w:b w:val="0"/>
                <w:color w:val="1F2D3D"/>
                <w:sz w:val="21"/>
              </w:rPr>
              <w:t>★★★☆☆  Linear subscriber assumption limits accuracy</w:t>
            </w:r>
          </w:p>
        </w:tc>
      </w:tr>
      <w:tr>
        <w:trPr>
          <w:trHeight w:val="408"/>
        </w:trPr>
        <w:tc>
          <w:tcPr>
            <w:tcW w:type="dxa" w:w="2268"/>
            <w:shd w:val="clear" w:color="auto" w:fill="DBEAFE"/>
            <w:vAlign w:val="center"/>
          </w:tcPr>
          <w:p>
            <w:r>
              <w:rPr>
                <w:b/>
                <w:color w:val="1D4ED8"/>
                <w:sz w:val="21"/>
              </w:rPr>
              <w:t>Multi-dimensional Segmentation</w:t>
            </w:r>
          </w:p>
        </w:tc>
        <w:tc>
          <w:tcPr>
            <w:tcW w:type="dxa" w:w="4252"/>
            <w:shd w:val="clear" w:color="auto" w:fill="EFF6FF"/>
            <w:vAlign w:val="center"/>
          </w:tcPr>
          <w:p>
            <w:r>
              <w:rPr>
                <w:b w:val="0"/>
                <w:color w:val="1F2D3D"/>
                <w:sz w:val="21"/>
              </w:rPr>
              <w:t>Single-channel time-series only</w:t>
              <w:br/>
              <w:t>No category, country, or format breakdown</w:t>
            </w:r>
          </w:p>
        </w:tc>
        <w:tc>
          <w:tcPr>
            <w:tcW w:type="dxa" w:w="2835"/>
            <w:shd w:val="clear" w:color="auto" w:fill="EFF6FF"/>
            <w:vAlign w:val="center"/>
          </w:tcPr>
          <w:p>
            <w:r>
              <w:rPr>
                <w:b w:val="0"/>
                <w:color w:val="1F2D3D"/>
                <w:sz w:val="21"/>
              </w:rPr>
              <w:t>★★☆☆☆  Multi-dim segmentation not possible</w:t>
            </w:r>
          </w:p>
        </w:tc>
      </w:tr>
      <w:tr>
        <w:trPr>
          <w:trHeight w:val="408"/>
        </w:trPr>
        <w:tc>
          <w:tcPr>
            <w:tcW w:type="dxa" w:w="2268"/>
            <w:shd w:val="clear" w:color="auto" w:fill="DBEAFE"/>
            <w:vAlign w:val="center"/>
          </w:tcPr>
          <w:p>
            <w:r>
              <w:rPr>
                <w:b/>
                <w:color w:val="1D4ED8"/>
                <w:sz w:val="21"/>
              </w:rPr>
              <w:t>Interpretability</w:t>
            </w:r>
          </w:p>
        </w:tc>
        <w:tc>
          <w:tcPr>
            <w:tcW w:type="dxa" w:w="4252"/>
            <w:shd w:val="clear" w:color="auto" w:fill="FFFFFF"/>
            <w:vAlign w:val="center"/>
          </w:tcPr>
          <w:p>
            <w:r>
              <w:rPr>
                <w:b w:val="0"/>
                <w:color w:val="1F2D3D"/>
                <w:sz w:val="21"/>
              </w:rPr>
              <w:t>Neural network black-box</w:t>
              <w:br/>
              <w:t>Prediction rationale cannot be directly explained</w:t>
            </w:r>
          </w:p>
        </w:tc>
        <w:tc>
          <w:tcPr>
            <w:tcW w:type="dxa" w:w="2835"/>
            <w:shd w:val="clear" w:color="auto" w:fill="FFFFFF"/>
            <w:vAlign w:val="center"/>
          </w:tcPr>
          <w:p>
            <w:r>
              <w:rPr>
                <w:b w:val="0"/>
                <w:color w:val="1F2D3D"/>
                <w:sz w:val="21"/>
              </w:rPr>
              <w:t>★★☆☆☆  Low explainability</w:t>
            </w:r>
          </w:p>
        </w:tc>
      </w:tr>
      <w:tr>
        <w:trPr>
          <w:trHeight w:val="408"/>
        </w:trPr>
        <w:tc>
          <w:tcPr>
            <w:tcW w:type="dxa" w:w="2268"/>
            <w:shd w:val="clear" w:color="auto" w:fill="DBEAFE"/>
            <w:vAlign w:val="center"/>
          </w:tcPr>
          <w:p>
            <w:r>
              <w:rPr>
                <w:b/>
                <w:color w:val="1D4ED8"/>
                <w:sz w:val="21"/>
              </w:rPr>
              <w:t>Data Exploration</w:t>
            </w:r>
          </w:p>
        </w:tc>
        <w:tc>
          <w:tcPr>
            <w:tcW w:type="dxa" w:w="4252"/>
            <w:shd w:val="clear" w:color="auto" w:fill="EFF6FF"/>
            <w:vAlign w:val="center"/>
          </w:tcPr>
          <w:p>
            <w:r>
              <w:rPr>
                <w:b w:val="0"/>
                <w:color w:val="1F2D3D"/>
                <w:sz w:val="21"/>
              </w:rPr>
              <w:t>Focused on one channel's time series</w:t>
              <w:br/>
              <w:t>Broadset pattern discovery not supported</w:t>
            </w:r>
          </w:p>
        </w:tc>
        <w:tc>
          <w:tcPr>
            <w:tcW w:type="dxa" w:w="2835"/>
            <w:shd w:val="clear" w:color="auto" w:fill="EFF6FF"/>
            <w:vAlign w:val="center"/>
          </w:tcPr>
          <w:p>
            <w:r>
              <w:rPr>
                <w:b w:val="0"/>
                <w:color w:val="1F2D3D"/>
                <w:sz w:val="21"/>
              </w:rPr>
              <w:t>★★☆☆☆  Narrow scope by design</w:t>
            </w:r>
          </w:p>
        </w:tc>
      </w:tr>
    </w:tbl>
    <w:p>
      <w:r>
        <w:br w:type="page"/>
      </w:r>
    </w:p>
    <w:p>
      <w:pPr>
        <w:spacing w:before="280" w:after="120"/>
      </w:pPr>
      <w:r>
        <w:rPr>
          <w:b/>
          <w:color w:val="1E40AF"/>
          <w:sz w:val="30"/>
        </w:rPr>
        <w:t>4.  Key Findings Comparison</w:t>
      </w:r>
    </w:p>
    <w:p>
      <w:pPr>
        <w:pBdr>
          <w:bottom w:val="single" w:sz="6" w:space="1" w:color="1E40AF"/>
        </w:pBdr>
        <w:spacing w:before="40" w:after="120"/>
      </w:pPr>
    </w:p>
    <w:p>
      <w:pPr>
        <w:spacing w:after="120"/>
      </w:pPr>
      <w:r>
        <w:rPr>
          <w:b w:val="0"/>
          <w:i w:val="0"/>
          <w:color w:val="1F2D3D"/>
          <w:sz w:val="21"/>
        </w:rPr>
        <w:t>The two analyses illuminate the YouTube ecosystem from fundamentally different vantage points. Statistical analysis answers 'which content trends and why across the platform', while deep learning specifically answers 'how will this channel's views evolve over time'. Together they form a complete picture.</w:t>
      </w:r>
    </w:p>
    <w:p/>
    <w:tbl>
      <w:tblPr>
        <w:tblStyle w:val="TableGrid"/>
        <w:tblW w:type="auto" w:w="0"/>
        <w:jc w:val="left"/>
        <w:tblLook w:firstColumn="1" w:firstRow="1" w:lastColumn="0" w:lastRow="0" w:noHBand="0" w:noVBand="1" w:val="04A0"/>
      </w:tblPr>
      <w:tblGrid>
        <w:gridCol w:w="3135"/>
        <w:gridCol w:w="3135"/>
        <w:gridCol w:w="3135"/>
      </w:tblGrid>
      <w:tr>
        <w:trPr>
          <w:trHeight w:val="425"/>
        </w:trPr>
        <w:tc>
          <w:tcPr>
            <w:tcW w:type="dxa" w:w="1984"/>
            <w:shd w:val="clear" w:color="auto" w:fill="1E3A5F"/>
            <w:vAlign w:val="center"/>
          </w:tcPr>
          <w:p>
            <w:r>
              <w:rPr>
                <w:b/>
                <w:color w:val="FFFFFF"/>
                <w:sz w:val="21"/>
              </w:rPr>
              <w:t>Finding Area</w:t>
            </w:r>
          </w:p>
        </w:tc>
        <w:tc>
          <w:tcPr>
            <w:tcW w:type="dxa" w:w="3969"/>
            <w:shd w:val="clear" w:color="auto" w:fill="1E3A5F"/>
            <w:vAlign w:val="center"/>
          </w:tcPr>
          <w:p>
            <w:r>
              <w:rPr>
                <w:b/>
                <w:color w:val="FFFFFF"/>
                <w:sz w:val="21"/>
              </w:rPr>
              <w:t>Statistical Analysis (Np · Pd)</w:t>
            </w:r>
          </w:p>
        </w:tc>
        <w:tc>
          <w:tcPr>
            <w:tcW w:type="dxa" w:w="3969"/>
            <w:shd w:val="clear" w:color="auto" w:fill="1E3A5F"/>
            <w:vAlign w:val="center"/>
          </w:tcPr>
          <w:p>
            <w:r>
              <w:rPr>
                <w:b/>
                <w:color w:val="FFFFFF"/>
                <w:sz w:val="21"/>
              </w:rPr>
              <w:t>Deep Learning (MLP)</w:t>
            </w:r>
          </w:p>
        </w:tc>
      </w:tr>
      <w:tr>
        <w:trPr>
          <w:trHeight w:val="408"/>
        </w:trPr>
        <w:tc>
          <w:tcPr>
            <w:tcW w:type="dxa" w:w="1984"/>
            <w:shd w:val="clear" w:color="auto" w:fill="DBEAFE"/>
            <w:vAlign w:val="center"/>
          </w:tcPr>
          <w:p>
            <w:r>
              <w:rPr>
                <w:b/>
                <w:color w:val="1D4ED8"/>
                <w:sz w:val="21"/>
              </w:rPr>
              <w:t>Peak Timing</w:t>
            </w:r>
          </w:p>
        </w:tc>
        <w:tc>
          <w:tcPr>
            <w:tcW w:type="dxa" w:w="3969"/>
            <w:shd w:val="clear" w:color="auto" w:fill="EFF6FF"/>
            <w:vAlign w:val="center"/>
          </w:tcPr>
          <w:p>
            <w:r>
              <w:rPr>
                <w:b w:val="0"/>
                <w:color w:val="1F2D3D"/>
                <w:sz w:val="21"/>
              </w:rPr>
              <w:t>November 6.18M — highest month</w:t>
              <w:br/>
              <w:t>Sunday 5.86M — highest day</w:t>
              <w:br/>
              <w:t>Q4 season effect dominant</w:t>
            </w:r>
          </w:p>
        </w:tc>
        <w:tc>
          <w:tcPr>
            <w:tcW w:type="dxa" w:w="3969"/>
            <w:shd w:val="clear" w:color="auto" w:fill="EFF6FF"/>
            <w:vAlign w:val="center"/>
          </w:tcPr>
          <w:p>
            <w:r>
              <w:rPr>
                <w:b w:val="0"/>
                <w:color w:val="1F2D3D"/>
                <w:sz w:val="21"/>
              </w:rPr>
              <w:t>April is channel peak for 2026–2028</w:t>
              <w:br/>
              <w:t>Channel seasonality differs from platform-wide</w:t>
            </w:r>
          </w:p>
        </w:tc>
      </w:tr>
      <w:tr>
        <w:trPr>
          <w:trHeight w:val="408"/>
        </w:trPr>
        <w:tc>
          <w:tcPr>
            <w:tcW w:type="dxa" w:w="1984"/>
            <w:shd w:val="clear" w:color="auto" w:fill="DBEAFE"/>
            <w:vAlign w:val="center"/>
          </w:tcPr>
          <w:p>
            <w:r>
              <w:rPr>
                <w:b/>
                <w:color w:val="1D4ED8"/>
                <w:sz w:val="21"/>
              </w:rPr>
              <w:t>View Scale</w:t>
            </w:r>
          </w:p>
        </w:tc>
        <w:tc>
          <w:tcPr>
            <w:tcW w:type="dxa" w:w="3969"/>
            <w:shd w:val="clear" w:color="auto" w:fill="FFFFFF"/>
            <w:vAlign w:val="center"/>
          </w:tcPr>
          <w:p>
            <w:r>
              <w:rPr>
                <w:b w:val="0"/>
                <w:color w:val="1F2D3D"/>
                <w:sz w:val="21"/>
              </w:rPr>
              <w:t>Trending avg 3.12M / median 59K</w:t>
              <w:br/>
              <w:t>Viral top 1% = 60.8× overall average</w:t>
            </w:r>
          </w:p>
        </w:tc>
        <w:tc>
          <w:tcPr>
            <w:tcW w:type="dxa" w:w="3969"/>
            <w:shd w:val="clear" w:color="auto" w:fill="FFFFFF"/>
            <w:vAlign w:val="center"/>
          </w:tcPr>
          <w:p>
            <w:r>
              <w:rPr>
                <w:b w:val="0"/>
                <w:color w:val="1F2D3D"/>
                <w:sz w:val="21"/>
              </w:rPr>
              <w:t>Channel forecast 0.142M–0.198M range</w:t>
              <w:br/>
              <w:t>+57% above 2025 channel avg sustained</w:t>
            </w:r>
          </w:p>
        </w:tc>
      </w:tr>
      <w:tr>
        <w:trPr>
          <w:trHeight w:val="408"/>
        </w:trPr>
        <w:tc>
          <w:tcPr>
            <w:tcW w:type="dxa" w:w="1984"/>
            <w:shd w:val="clear" w:color="auto" w:fill="DBEAFE"/>
            <w:vAlign w:val="center"/>
          </w:tcPr>
          <w:p>
            <w:r>
              <w:rPr>
                <w:b/>
                <w:color w:val="1D4ED8"/>
                <w:sz w:val="21"/>
              </w:rPr>
              <w:t>Growth Trend</w:t>
            </w:r>
          </w:p>
        </w:tc>
        <w:tc>
          <w:tcPr>
            <w:tcW w:type="dxa" w:w="3969"/>
            <w:shd w:val="clear" w:color="auto" w:fill="EFF6FF"/>
            <w:vAlign w:val="center"/>
          </w:tcPr>
          <w:p>
            <w:r>
              <w:rPr>
                <w:b w:val="0"/>
                <w:color w:val="1F2D3D"/>
                <w:sz w:val="21"/>
              </w:rPr>
              <w:t>2024: +75% spike · 2025: -39% correction</w:t>
              <w:br/>
              <w:t>V-shaped recovery cycle observed</w:t>
            </w:r>
          </w:p>
        </w:tc>
        <w:tc>
          <w:tcPr>
            <w:tcW w:type="dxa" w:w="3969"/>
            <w:shd w:val="clear" w:color="auto" w:fill="EFF6FF"/>
            <w:vAlign w:val="center"/>
          </w:tcPr>
          <w:p>
            <w:r>
              <w:rPr>
                <w:b w:val="0"/>
                <w:color w:val="1F2D3D"/>
                <w:sz w:val="21"/>
              </w:rPr>
              <w:t>Advanced model: stable plateau</w:t>
              <w:br/>
              <w:t>Basic model: gradual -0.8%/yr decline</w:t>
            </w:r>
          </w:p>
        </w:tc>
      </w:tr>
      <w:tr>
        <w:trPr>
          <w:trHeight w:val="408"/>
        </w:trPr>
        <w:tc>
          <w:tcPr>
            <w:tcW w:type="dxa" w:w="1984"/>
            <w:shd w:val="clear" w:color="auto" w:fill="DBEAFE"/>
            <w:vAlign w:val="center"/>
          </w:tcPr>
          <w:p>
            <w:r>
              <w:rPr>
                <w:b/>
                <w:color w:val="1D4ED8"/>
                <w:sz w:val="21"/>
              </w:rPr>
              <w:t>Engagement Insight</w:t>
            </w:r>
          </w:p>
        </w:tc>
        <w:tc>
          <w:tcPr>
            <w:tcW w:type="dxa" w:w="3969"/>
            <w:shd w:val="clear" w:color="auto" w:fill="FFFFFF"/>
            <w:vAlign w:val="center"/>
          </w:tcPr>
          <w:p>
            <w:r>
              <w:rPr>
                <w:b w:val="0"/>
                <w:color w:val="1F2D3D"/>
                <w:sz w:val="21"/>
              </w:rPr>
              <w:t>All metrics r &lt; 0.03 vs engagement</w:t>
              <w:br/>
              <w:t>High views ≠ high engagement</w:t>
            </w:r>
          </w:p>
        </w:tc>
        <w:tc>
          <w:tcPr>
            <w:tcW w:type="dxa" w:w="3969"/>
            <w:shd w:val="clear" w:color="auto" w:fill="FFFFFF"/>
            <w:vAlign w:val="center"/>
          </w:tcPr>
          <w:p>
            <w:r>
              <w:rPr>
                <w:b w:val="0"/>
                <w:color w:val="1F2D3D"/>
                <w:sz w:val="21"/>
              </w:rPr>
              <w:t>Engagement not modelled — view count only</w:t>
              <w:br/>
              <w:t>Focused metric: monthly avg views</w:t>
            </w:r>
          </w:p>
        </w:tc>
      </w:tr>
      <w:tr>
        <w:trPr>
          <w:trHeight w:val="408"/>
        </w:trPr>
        <w:tc>
          <w:tcPr>
            <w:tcW w:type="dxa" w:w="1984"/>
            <w:shd w:val="clear" w:color="auto" w:fill="DBEAFE"/>
            <w:vAlign w:val="center"/>
          </w:tcPr>
          <w:p>
            <w:r>
              <w:rPr>
                <w:b/>
                <w:color w:val="1D4ED8"/>
                <w:sz w:val="21"/>
              </w:rPr>
              <w:t>Category Insight</w:t>
            </w:r>
          </w:p>
        </w:tc>
        <w:tc>
          <w:tcPr>
            <w:tcW w:type="dxa" w:w="3969"/>
            <w:shd w:val="clear" w:color="auto" w:fill="EFF6FF"/>
            <w:vAlign w:val="center"/>
          </w:tcPr>
          <w:p>
            <w:r>
              <w:rPr>
                <w:b w:val="0"/>
                <w:color w:val="1F2D3D"/>
                <w:sz w:val="21"/>
              </w:rPr>
              <w:t>Sports &amp; Shows lead at 4.6M+</w:t>
              <w:br/>
              <w:t>Shorts highest like rate at 6.61%</w:t>
            </w:r>
          </w:p>
        </w:tc>
        <w:tc>
          <w:tcPr>
            <w:tcW w:type="dxa" w:w="3969"/>
            <w:shd w:val="clear" w:color="auto" w:fill="EFF6FF"/>
            <w:vAlign w:val="center"/>
          </w:tcPr>
          <w:p>
            <w:r>
              <w:rPr>
                <w:b w:val="0"/>
                <w:color w:val="1F2D3D"/>
                <w:sz w:val="21"/>
              </w:rPr>
              <w:t>Single channel — category comparison</w:t>
              <w:br/>
              <w:t>not applicable</w:t>
            </w:r>
          </w:p>
        </w:tc>
      </w:tr>
      <w:tr>
        <w:trPr>
          <w:trHeight w:val="408"/>
        </w:trPr>
        <w:tc>
          <w:tcPr>
            <w:tcW w:type="dxa" w:w="1984"/>
            <w:shd w:val="clear" w:color="auto" w:fill="DBEAFE"/>
            <w:vAlign w:val="center"/>
          </w:tcPr>
          <w:p>
            <w:r>
              <w:rPr>
                <w:b/>
                <w:color w:val="1D4ED8"/>
                <w:sz w:val="21"/>
              </w:rPr>
              <w:t>Country Insight</w:t>
            </w:r>
          </w:p>
        </w:tc>
        <w:tc>
          <w:tcPr>
            <w:tcW w:type="dxa" w:w="3969"/>
            <w:shd w:val="clear" w:color="auto" w:fill="FFFFFF"/>
            <w:vAlign w:val="center"/>
          </w:tcPr>
          <w:p>
            <w:r>
              <w:rPr>
                <w:b w:val="0"/>
                <w:color w:val="1F2D3D"/>
                <w:sz w:val="21"/>
              </w:rPr>
              <w:t>Russia &amp; Turkey 8M+ (3× the US)</w:t>
              <w:br/>
              <w:t>Philippines lowest views, highest engagement</w:t>
            </w:r>
          </w:p>
        </w:tc>
        <w:tc>
          <w:tcPr>
            <w:tcW w:type="dxa" w:w="3969"/>
            <w:shd w:val="clear" w:color="auto" w:fill="FFFFFF"/>
            <w:vAlign w:val="center"/>
          </w:tcPr>
          <w:p>
            <w:r>
              <w:rPr>
                <w:b w:val="0"/>
                <w:color w:val="1F2D3D"/>
                <w:sz w:val="21"/>
              </w:rPr>
              <w:t>No country segmentation — global</w:t>
              <w:br/>
              <w:t>channel data only</w:t>
            </w:r>
          </w:p>
        </w:tc>
      </w:tr>
      <w:tr>
        <w:trPr>
          <w:trHeight w:val="408"/>
        </w:trPr>
        <w:tc>
          <w:tcPr>
            <w:tcW w:type="dxa" w:w="1984"/>
            <w:shd w:val="clear" w:color="auto" w:fill="DBEAFE"/>
            <w:vAlign w:val="center"/>
          </w:tcPr>
          <w:p>
            <w:r>
              <w:rPr>
                <w:b/>
                <w:color w:val="1D4ED8"/>
                <w:sz w:val="21"/>
              </w:rPr>
              <w:t>Forecasting</w:t>
            </w:r>
          </w:p>
        </w:tc>
        <w:tc>
          <w:tcPr>
            <w:tcW w:type="dxa" w:w="3969"/>
            <w:shd w:val="clear" w:color="auto" w:fill="EFF6FF"/>
            <w:vAlign w:val="center"/>
          </w:tcPr>
          <w:p>
            <w:r>
              <w:rPr>
                <w:b w:val="0"/>
                <w:color w:val="1F2D3D"/>
                <w:sz w:val="21"/>
              </w:rPr>
              <w:t>None — purely retrospective</w:t>
              <w:br/>
              <w:t>No future projections possible</w:t>
            </w:r>
          </w:p>
        </w:tc>
        <w:tc>
          <w:tcPr>
            <w:tcW w:type="dxa" w:w="3969"/>
            <w:shd w:val="clear" w:color="auto" w:fill="EFF6FF"/>
            <w:vAlign w:val="center"/>
          </w:tcPr>
          <w:p>
            <w:r>
              <w:rPr>
                <w:b w:val="0"/>
                <w:color w:val="1F2D3D"/>
                <w:sz w:val="21"/>
              </w:rPr>
              <w:t>36-month monthly forecast</w:t>
              <w:br/>
              <w:t>Upper/lower bounds from two models</w:t>
            </w:r>
          </w:p>
        </w:tc>
      </w:tr>
    </w:tbl>
    <w:p>
      <w:r>
        <w:br w:type="page"/>
      </w:r>
    </w:p>
    <w:p>
      <w:pPr>
        <w:spacing w:before="280" w:after="120"/>
      </w:pPr>
      <w:r>
        <w:rPr>
          <w:b/>
          <w:color w:val="1E40AF"/>
          <w:sz w:val="30"/>
        </w:rPr>
        <w:t>5.  Strengths &amp; Weaknesses</w:t>
      </w:r>
    </w:p>
    <w:p>
      <w:pPr>
        <w:pBdr>
          <w:bottom w:val="single" w:sz="6" w:space="1" w:color="1E40AF"/>
        </w:pBdr>
        <w:spacing w:before="40" w:after="120"/>
      </w:pPr>
    </w:p>
    <w:p>
      <w:pPr>
        <w:spacing w:before="160" w:after="80"/>
      </w:pPr>
      <w:r>
        <w:rPr>
          <w:b/>
          <w:color w:val="059669"/>
          <w:sz w:val="24"/>
        </w:rPr>
        <w:t xml:space="preserve">  5-1.  Statistical Analysis — Strengths</w:t>
      </w:r>
    </w:p>
    <w:p>
      <w:pPr>
        <w:pStyle w:val="ListBullet"/>
        <w:spacing w:after="60"/>
      </w:pPr>
      <w:r>
        <w:rPr>
          <w:color w:val="065F46"/>
          <w:sz w:val="21"/>
        </w:rPr>
        <w:t>Full interpretability — every metric is causally explainable; accessible to non-technical stakeholders</w:t>
      </w:r>
    </w:p>
    <w:p>
      <w:pPr>
        <w:pStyle w:val="ListBullet"/>
        <w:spacing w:after="60"/>
      </w:pPr>
      <w:r>
        <w:rPr>
          <w:color w:val="065F46"/>
          <w:sz w:val="21"/>
        </w:rPr>
        <w:t>Broad coverage — 10,000 videos, 24 countries, 17 categories analysed simultaneously in one pass</w:t>
      </w:r>
    </w:p>
    <w:p>
      <w:pPr>
        <w:pStyle w:val="ListBullet"/>
        <w:spacing w:after="60"/>
      </w:pPr>
      <w:r>
        <w:rPr>
          <w:color w:val="065F46"/>
          <w:sz w:val="21"/>
        </w:rPr>
        <w:t>Immediately actionable strategy — weekday, monthly, category, and format insights feed directly into content planning</w:t>
      </w:r>
    </w:p>
    <w:p>
      <w:pPr>
        <w:pStyle w:val="ListBullet"/>
        <w:spacing w:after="60"/>
      </w:pPr>
      <w:r>
        <w:rPr>
          <w:color w:val="065F46"/>
          <w:sz w:val="21"/>
        </w:rPr>
        <w:t>Zero training cost — full analysis completes in seconds with no model training or GPU required</w:t>
      </w:r>
    </w:p>
    <w:p>
      <w:pPr>
        <w:pStyle w:val="ListBullet"/>
        <w:spacing w:after="60"/>
      </w:pPr>
      <w:r>
        <w:rPr>
          <w:color w:val="065F46"/>
          <w:sz w:val="21"/>
        </w:rPr>
        <w:t>Outlier and distribution detection — CV% 1,038% instantly reveals the extreme skew in view data</w:t>
      </w:r>
    </w:p>
    <w:p>
      <w:pPr>
        <w:pStyle w:val="ListBullet"/>
        <w:spacing w:after="60"/>
      </w:pPr>
      <w:r>
        <w:rPr>
          <w:color w:val="065F46"/>
          <w:sz w:val="21"/>
        </w:rPr>
        <w:t>Null-finding value — confirming r &lt; 0.03 between surface metrics and engagement is itself a critical strategic insight</w:t>
      </w:r>
    </w:p>
    <w:p/>
    <w:p>
      <w:pPr>
        <w:spacing w:before="160" w:after="80"/>
      </w:pPr>
      <w:r>
        <w:rPr>
          <w:b/>
          <w:color w:val="991B1B"/>
          <w:sz w:val="24"/>
        </w:rPr>
        <w:t xml:space="preserve">  5-2.  Statistical Analysis — Weaknesses</w:t>
      </w:r>
    </w:p>
    <w:p>
      <w:pPr>
        <w:pStyle w:val="ListBullet"/>
        <w:spacing w:after="60"/>
      </w:pPr>
      <w:r>
        <w:rPr>
          <w:color w:val="991B1B"/>
          <w:sz w:val="21"/>
        </w:rPr>
        <w:t>No future forecasting — descriptive statistics are inherently retrospective; no future projections possible</w:t>
      </w:r>
    </w:p>
    <w:p>
      <w:pPr>
        <w:pStyle w:val="ListBullet"/>
        <w:spacing w:after="60"/>
      </w:pPr>
      <w:r>
        <w:rPr>
          <w:color w:val="991B1B"/>
          <w:sz w:val="21"/>
        </w:rPr>
        <w:t>Correlation ≠ causation — risk of misinterpreting statistical associations as causal mechanisms</w:t>
      </w:r>
    </w:p>
    <w:p>
      <w:pPr>
        <w:pStyle w:val="ListBullet"/>
        <w:spacing w:after="60"/>
      </w:pPr>
      <w:r>
        <w:rPr>
          <w:color w:val="991B1B"/>
          <w:sz w:val="21"/>
        </w:rPr>
        <w:t>Non-linear patterns missed — complex non-linear relationships between variables are not well captured</w:t>
      </w:r>
    </w:p>
    <w:p>
      <w:pPr>
        <w:pStyle w:val="ListBullet"/>
        <w:spacing w:after="60"/>
      </w:pPr>
      <w:r>
        <w:rPr>
          <w:color w:val="991B1B"/>
          <w:sz w:val="21"/>
        </w:rPr>
        <w:t>No temporal continuity — aggregation ignores time ordering and sequential dependencies in the data</w:t>
      </w:r>
    </w:p>
    <w:p>
      <w:pPr>
        <w:pStyle w:val="ListBullet"/>
        <w:spacing w:after="60"/>
      </w:pPr>
      <w:r>
        <w:rPr>
          <w:color w:val="991B1B"/>
          <w:sz w:val="21"/>
        </w:rPr>
        <w:t>Static snapshot — results reflect the dataset period only; shifts in platform behaviour are not projected</w:t>
      </w:r>
    </w:p>
    <w:p/>
    <w:p>
      <w:pPr>
        <w:spacing w:before="160" w:after="80"/>
      </w:pPr>
      <w:r>
        <w:rPr>
          <w:b/>
          <w:color w:val="1D4ED8"/>
          <w:sz w:val="24"/>
        </w:rPr>
        <w:t xml:space="preserve">  5-3.  Deep Learning — Strengths</w:t>
      </w:r>
    </w:p>
    <w:p>
      <w:pPr>
        <w:pStyle w:val="ListBullet"/>
        <w:spacing w:after="60"/>
      </w:pPr>
      <w:r>
        <w:rPr>
          <w:color w:val="1D4ED8"/>
          <w:sz w:val="21"/>
        </w:rPr>
        <w:t>Long-range forecast — projects 36 months of monthly view counts at up to 99% accuracy (Advanced model)</w:t>
      </w:r>
    </w:p>
    <w:p>
      <w:pPr>
        <w:pStyle w:val="ListBullet"/>
        <w:spacing w:after="60"/>
      </w:pPr>
      <w:r>
        <w:rPr>
          <w:color w:val="1D4ED8"/>
          <w:sz w:val="21"/>
        </w:rPr>
        <w:t>Non-linear learning — seasonality, subscriber growth trends, and momentum shifts are auto-modelled by the MLP</w:t>
      </w:r>
    </w:p>
    <w:p>
      <w:pPr>
        <w:pStyle w:val="ListBullet"/>
        <w:spacing w:after="60"/>
      </w:pPr>
      <w:r>
        <w:rPr>
          <w:color w:val="1D4ED8"/>
          <w:sz w:val="21"/>
        </w:rPr>
        <w:t>Uncertainty quantification — the prediction gap between two independent models defines a natural confidence interval (0.142M–0.198M)</w:t>
      </w:r>
    </w:p>
    <w:p>
      <w:pPr>
        <w:pStyle w:val="ListBullet"/>
        <w:spacing w:after="60"/>
      </w:pPr>
      <w:r>
        <w:rPr>
          <w:color w:val="1D4ED8"/>
          <w:sz w:val="21"/>
        </w:rPr>
        <w:t>Feature integration — subscriber growth slope and seasonal templates are unified in a single end-to-end pipeline</w:t>
      </w:r>
    </w:p>
    <w:p>
      <w:pPr>
        <w:pStyle w:val="ListBullet"/>
        <w:spacing w:after="60"/>
      </w:pPr>
      <w:r>
        <w:rPr>
          <w:color w:val="1D4ED8"/>
          <w:sz w:val="21"/>
        </w:rPr>
        <w:t>Log-scale stability — log-space output handles the wide dynamic range of view counts without numerical issues</w:t>
      </w:r>
    </w:p>
    <w:p/>
    <w:p>
      <w:pPr>
        <w:spacing w:before="160" w:after="80"/>
      </w:pPr>
      <w:r>
        <w:rPr>
          <w:b/>
          <w:color w:val="991B1B"/>
          <w:sz w:val="24"/>
        </w:rPr>
        <w:t xml:space="preserve">  5-4.  Deep Learning — Weaknesses</w:t>
      </w:r>
    </w:p>
    <w:p>
      <w:pPr>
        <w:pStyle w:val="ListBullet"/>
        <w:spacing w:after="60"/>
      </w:pPr>
      <w:r>
        <w:rPr>
          <w:color w:val="991B1B"/>
          <w:sz w:val="21"/>
        </w:rPr>
        <w:t>Black-box predictions — neural network internals are opaque; the rationale behind any specific forecast is hard to explain</w:t>
      </w:r>
    </w:p>
    <w:p>
      <w:pPr>
        <w:pStyle w:val="ListBullet"/>
        <w:spacing w:after="60"/>
      </w:pPr>
      <w:r>
        <w:rPr>
          <w:color w:val="991B1B"/>
          <w:sz w:val="21"/>
        </w:rPr>
        <w:t>Narrow data scope — single-channel time series only; no cross-category, cross-country, or format-level comparison</w:t>
      </w:r>
    </w:p>
    <w:p>
      <w:pPr>
        <w:pStyle w:val="ListBullet"/>
        <w:spacing w:after="60"/>
      </w:pPr>
      <w:r>
        <w:rPr>
          <w:color w:val="991B1B"/>
          <w:sz w:val="21"/>
        </w:rPr>
        <w:t>External shocks ignored — platform policy changes, competitor actions, and viral events are not incorporated</w:t>
      </w:r>
    </w:p>
    <w:p>
      <w:pPr>
        <w:pStyle w:val="ListBullet"/>
        <w:spacing w:after="60"/>
      </w:pPr>
      <w:r>
        <w:rPr>
          <w:color w:val="991B1B"/>
          <w:sz w:val="21"/>
        </w:rPr>
        <w:t>Linear subscriber assumption — if actual subscriber growth is non-linear, forecast errors compound over the 36-month horizon</w:t>
      </w:r>
    </w:p>
    <w:p>
      <w:pPr>
        <w:pStyle w:val="ListBullet"/>
        <w:spacing w:after="60"/>
      </w:pPr>
      <w:r>
        <w:rPr>
          <w:color w:val="991B1B"/>
          <w:sz w:val="21"/>
        </w:rPr>
        <w:t>Retraining cost — applying the model to a new channel requires offline GPU training and a sufficient historical dataset</w:t>
      </w:r>
    </w:p>
    <w:p>
      <w:r>
        <w:br w:type="page"/>
      </w:r>
    </w:p>
    <w:p>
      <w:pPr>
        <w:spacing w:before="280" w:after="120"/>
      </w:pPr>
      <w:r>
        <w:rPr>
          <w:b/>
          <w:color w:val="1E40AF"/>
          <w:sz w:val="30"/>
        </w:rPr>
        <w:t>6.  Overall Scorecard</w:t>
      </w:r>
    </w:p>
    <w:p>
      <w:pPr>
        <w:pBdr>
          <w:bottom w:val="single" w:sz="6" w:space="1" w:color="1E40AF"/>
        </w:pBdr>
        <w:spacing w:before="40" w:after="120"/>
      </w:pPr>
    </w:p>
    <w:p>
      <w:pPr>
        <w:spacing w:after="120"/>
      </w:pPr>
      <w:r>
        <w:rPr>
          <w:b w:val="0"/>
          <w:i w:val="0"/>
          <w:color w:val="1F2D3D"/>
          <w:sz w:val="21"/>
        </w:rPr>
        <w:t>The scorecard below rates both approaches across 8 key analytical dimensions on a 5-point scale. Stars reflect the capability ceiling of each method for a given dimension, independent of dataset size.</w:t>
      </w:r>
    </w:p>
    <w:p/>
    <w:tbl>
      <w:tblPr>
        <w:tblStyle w:val="TableGrid"/>
        <w:tblW w:type="auto" w:w="0"/>
        <w:jc w:val="left"/>
        <w:tblLook w:firstColumn="1" w:firstRow="1" w:lastColumn="0" w:lastRow="0" w:noHBand="0" w:noVBand="1" w:val="04A0"/>
      </w:tblPr>
      <w:tblGrid>
        <w:gridCol w:w="2351"/>
        <w:gridCol w:w="2351"/>
        <w:gridCol w:w="2351"/>
        <w:gridCol w:w="2351"/>
      </w:tblGrid>
      <w:tr>
        <w:trPr>
          <w:trHeight w:val="425"/>
        </w:trPr>
        <w:tc>
          <w:tcPr>
            <w:tcW w:type="dxa" w:w="3402"/>
            <w:shd w:val="clear" w:color="auto" w:fill="1E3A5F"/>
            <w:vAlign w:val="center"/>
          </w:tcPr>
          <w:p>
            <w:r>
              <w:rPr>
                <w:b/>
                <w:color w:val="FFFFFF"/>
                <w:sz w:val="21"/>
              </w:rPr>
              <w:t>Analytical Capability</w:t>
            </w:r>
          </w:p>
        </w:tc>
        <w:tc>
          <w:tcPr>
            <w:tcW w:type="dxa" w:w="1984"/>
            <w:shd w:val="clear" w:color="auto" w:fill="1E3A5F"/>
            <w:vAlign w:val="center"/>
          </w:tcPr>
          <w:p>
            <w:r>
              <w:rPr>
                <w:b/>
                <w:color w:val="FFFFFF"/>
                <w:sz w:val="21"/>
              </w:rPr>
              <w:t>Statistical Analysis</w:t>
              <w:br/>
              <w:t>(Np · Pd)</w:t>
            </w:r>
          </w:p>
        </w:tc>
        <w:tc>
          <w:tcPr>
            <w:tcW w:type="dxa" w:w="1984"/>
            <w:shd w:val="clear" w:color="auto" w:fill="1E3A5F"/>
            <w:vAlign w:val="center"/>
          </w:tcPr>
          <w:p>
            <w:r>
              <w:rPr>
                <w:b/>
                <w:color w:val="FFFFFF"/>
                <w:sz w:val="21"/>
              </w:rPr>
              <w:t>Deep Learning</w:t>
              <w:br/>
              <w:t>(MLP)</w:t>
            </w:r>
          </w:p>
        </w:tc>
        <w:tc>
          <w:tcPr>
            <w:tcW w:type="dxa" w:w="1984"/>
            <w:shd w:val="clear" w:color="auto" w:fill="1E3A5F"/>
            <w:vAlign w:val="center"/>
          </w:tcPr>
          <w:p>
            <w:r>
              <w:rPr>
                <w:b/>
                <w:color w:val="FFFFFF"/>
                <w:sz w:val="21"/>
              </w:rPr>
              <w:t>Winner</w:t>
            </w:r>
          </w:p>
        </w:tc>
      </w:tr>
      <w:tr>
        <w:trPr>
          <w:trHeight w:val="408"/>
        </w:trPr>
        <w:tc>
          <w:tcPr>
            <w:tcW w:type="dxa" w:w="3402"/>
            <w:shd w:val="clear" w:color="auto" w:fill="DBEAFE"/>
            <w:vAlign w:val="center"/>
          </w:tcPr>
          <w:p>
            <w:r>
              <w:rPr>
                <w:b/>
                <w:color w:val="1D4ED8"/>
                <w:sz w:val="21"/>
              </w:rPr>
              <w:t>Data Exploration &amp; Discovery</w:t>
            </w:r>
          </w:p>
        </w:tc>
        <w:tc>
          <w:tcPr>
            <w:tcW w:type="dxa" w:w="1984"/>
            <w:shd w:val="clear" w:color="auto" w:fill="EFF6FF"/>
            <w:vAlign w:val="center"/>
          </w:tcPr>
          <w:p>
            <w:r>
              <w:rPr>
                <w:b w:val="0"/>
                <w:color w:val="1F2D3D"/>
                <w:sz w:val="21"/>
              </w:rPr>
              <w:t>★★★★★</w:t>
            </w:r>
          </w:p>
        </w:tc>
        <w:tc>
          <w:tcPr>
            <w:tcW w:type="dxa" w:w="1984"/>
            <w:shd w:val="clear" w:color="auto" w:fill="EFF6FF"/>
            <w:vAlign w:val="center"/>
          </w:tcPr>
          <w:p>
            <w:r>
              <w:rPr>
                <w:b w:val="0"/>
                <w:color w:val="1F2D3D"/>
                <w:sz w:val="21"/>
              </w:rPr>
              <w:t>★★☆☆☆</w:t>
            </w:r>
          </w:p>
        </w:tc>
        <w:tc>
          <w:tcPr>
            <w:tcW w:type="dxa" w:w="1984"/>
            <w:shd w:val="clear" w:color="auto" w:fill="EFF6FF"/>
            <w:vAlign w:val="center"/>
          </w:tcPr>
          <w:p>
            <w:r>
              <w:rPr>
                <w:b w:val="0"/>
                <w:color w:val="1F2D3D"/>
                <w:sz w:val="21"/>
              </w:rPr>
              <w:t>Statistical</w:t>
            </w:r>
          </w:p>
        </w:tc>
      </w:tr>
      <w:tr>
        <w:trPr>
          <w:trHeight w:val="408"/>
        </w:trPr>
        <w:tc>
          <w:tcPr>
            <w:tcW w:type="dxa" w:w="3402"/>
            <w:shd w:val="clear" w:color="auto" w:fill="DBEAFE"/>
            <w:vAlign w:val="center"/>
          </w:tcPr>
          <w:p>
            <w:r>
              <w:rPr>
                <w:b/>
                <w:color w:val="1D4ED8"/>
                <w:sz w:val="21"/>
              </w:rPr>
              <w:t>Future Forecasting</w:t>
            </w:r>
          </w:p>
        </w:tc>
        <w:tc>
          <w:tcPr>
            <w:tcW w:type="dxa" w:w="1984"/>
            <w:shd w:val="clear" w:color="auto" w:fill="FFFFFF"/>
            <w:vAlign w:val="center"/>
          </w:tcPr>
          <w:p>
            <w:r>
              <w:rPr>
                <w:b w:val="0"/>
                <w:color w:val="1F2D3D"/>
                <w:sz w:val="21"/>
              </w:rPr>
              <w:t>★☆☆☆☆</w:t>
            </w:r>
          </w:p>
        </w:tc>
        <w:tc>
          <w:tcPr>
            <w:tcW w:type="dxa" w:w="1984"/>
            <w:shd w:val="clear" w:color="auto" w:fill="FFFFFF"/>
            <w:vAlign w:val="center"/>
          </w:tcPr>
          <w:p>
            <w:r>
              <w:rPr>
                <w:b w:val="0"/>
                <w:color w:val="1F2D3D"/>
                <w:sz w:val="21"/>
              </w:rPr>
              <w:t>★★★★★</w:t>
            </w:r>
          </w:p>
        </w:tc>
        <w:tc>
          <w:tcPr>
            <w:tcW w:type="dxa" w:w="1984"/>
            <w:shd w:val="clear" w:color="auto" w:fill="FFFFFF"/>
            <w:vAlign w:val="center"/>
          </w:tcPr>
          <w:p>
            <w:r>
              <w:rPr>
                <w:b w:val="0"/>
                <w:color w:val="1F2D3D"/>
                <w:sz w:val="21"/>
              </w:rPr>
              <w:t>Deep Learning</w:t>
            </w:r>
          </w:p>
        </w:tc>
      </w:tr>
      <w:tr>
        <w:trPr>
          <w:trHeight w:val="408"/>
        </w:trPr>
        <w:tc>
          <w:tcPr>
            <w:tcW w:type="dxa" w:w="3402"/>
            <w:shd w:val="clear" w:color="auto" w:fill="DBEAFE"/>
            <w:vAlign w:val="center"/>
          </w:tcPr>
          <w:p>
            <w:r>
              <w:rPr>
                <w:b/>
                <w:color w:val="1D4ED8"/>
                <w:sz w:val="21"/>
              </w:rPr>
              <w:t>Interpretability</w:t>
            </w:r>
          </w:p>
        </w:tc>
        <w:tc>
          <w:tcPr>
            <w:tcW w:type="dxa" w:w="1984"/>
            <w:shd w:val="clear" w:color="auto" w:fill="EFF6FF"/>
            <w:vAlign w:val="center"/>
          </w:tcPr>
          <w:p>
            <w:r>
              <w:rPr>
                <w:b w:val="0"/>
                <w:color w:val="1F2D3D"/>
                <w:sz w:val="21"/>
              </w:rPr>
              <w:t>★★★★★</w:t>
            </w:r>
          </w:p>
        </w:tc>
        <w:tc>
          <w:tcPr>
            <w:tcW w:type="dxa" w:w="1984"/>
            <w:shd w:val="clear" w:color="auto" w:fill="EFF6FF"/>
            <w:vAlign w:val="center"/>
          </w:tcPr>
          <w:p>
            <w:r>
              <w:rPr>
                <w:b w:val="0"/>
                <w:color w:val="1F2D3D"/>
                <w:sz w:val="21"/>
              </w:rPr>
              <w:t>★★☆☆☆</w:t>
            </w:r>
          </w:p>
        </w:tc>
        <w:tc>
          <w:tcPr>
            <w:tcW w:type="dxa" w:w="1984"/>
            <w:shd w:val="clear" w:color="auto" w:fill="EFF6FF"/>
            <w:vAlign w:val="center"/>
          </w:tcPr>
          <w:p>
            <w:r>
              <w:rPr>
                <w:b w:val="0"/>
                <w:color w:val="1F2D3D"/>
                <w:sz w:val="21"/>
              </w:rPr>
              <w:t>Statistical</w:t>
            </w:r>
          </w:p>
        </w:tc>
      </w:tr>
      <w:tr>
        <w:trPr>
          <w:trHeight w:val="408"/>
        </w:trPr>
        <w:tc>
          <w:tcPr>
            <w:tcW w:type="dxa" w:w="3402"/>
            <w:shd w:val="clear" w:color="auto" w:fill="DBEAFE"/>
            <w:vAlign w:val="center"/>
          </w:tcPr>
          <w:p>
            <w:r>
              <w:rPr>
                <w:b/>
                <w:color w:val="1D4ED8"/>
                <w:sz w:val="21"/>
              </w:rPr>
              <w:t>Multi-dimensional Segmentation</w:t>
            </w:r>
          </w:p>
        </w:tc>
        <w:tc>
          <w:tcPr>
            <w:tcW w:type="dxa" w:w="1984"/>
            <w:shd w:val="clear" w:color="auto" w:fill="FFFFFF"/>
            <w:vAlign w:val="center"/>
          </w:tcPr>
          <w:p>
            <w:r>
              <w:rPr>
                <w:b w:val="0"/>
                <w:color w:val="1F2D3D"/>
                <w:sz w:val="21"/>
              </w:rPr>
              <w:t>★★★★★</w:t>
            </w:r>
          </w:p>
        </w:tc>
        <w:tc>
          <w:tcPr>
            <w:tcW w:type="dxa" w:w="1984"/>
            <w:shd w:val="clear" w:color="auto" w:fill="FFFFFF"/>
            <w:vAlign w:val="center"/>
          </w:tcPr>
          <w:p>
            <w:r>
              <w:rPr>
                <w:b w:val="0"/>
                <w:color w:val="1F2D3D"/>
                <w:sz w:val="21"/>
              </w:rPr>
              <w:t>★★☆☆☆</w:t>
            </w:r>
          </w:p>
        </w:tc>
        <w:tc>
          <w:tcPr>
            <w:tcW w:type="dxa" w:w="1984"/>
            <w:shd w:val="clear" w:color="auto" w:fill="FFFFFF"/>
            <w:vAlign w:val="center"/>
          </w:tcPr>
          <w:p>
            <w:r>
              <w:rPr>
                <w:b w:val="0"/>
                <w:color w:val="1F2D3D"/>
                <w:sz w:val="21"/>
              </w:rPr>
              <w:t>Statistical</w:t>
            </w:r>
          </w:p>
        </w:tc>
      </w:tr>
      <w:tr>
        <w:trPr>
          <w:trHeight w:val="408"/>
        </w:trPr>
        <w:tc>
          <w:tcPr>
            <w:tcW w:type="dxa" w:w="3402"/>
            <w:shd w:val="clear" w:color="auto" w:fill="DBEAFE"/>
            <w:vAlign w:val="center"/>
          </w:tcPr>
          <w:p>
            <w:r>
              <w:rPr>
                <w:b/>
                <w:color w:val="1D4ED8"/>
                <w:sz w:val="21"/>
              </w:rPr>
              <w:t>Non-linear Pattern Detection</w:t>
            </w:r>
          </w:p>
        </w:tc>
        <w:tc>
          <w:tcPr>
            <w:tcW w:type="dxa" w:w="1984"/>
            <w:shd w:val="clear" w:color="auto" w:fill="EFF6FF"/>
            <w:vAlign w:val="center"/>
          </w:tcPr>
          <w:p>
            <w:r>
              <w:rPr>
                <w:b w:val="0"/>
                <w:color w:val="1F2D3D"/>
                <w:sz w:val="21"/>
              </w:rPr>
              <w:t>★★☆☆☆</w:t>
            </w:r>
          </w:p>
        </w:tc>
        <w:tc>
          <w:tcPr>
            <w:tcW w:type="dxa" w:w="1984"/>
            <w:shd w:val="clear" w:color="auto" w:fill="EFF6FF"/>
            <w:vAlign w:val="center"/>
          </w:tcPr>
          <w:p>
            <w:r>
              <w:rPr>
                <w:b w:val="0"/>
                <w:color w:val="1F2D3D"/>
                <w:sz w:val="21"/>
              </w:rPr>
              <w:t>★★★★★</w:t>
            </w:r>
          </w:p>
        </w:tc>
        <w:tc>
          <w:tcPr>
            <w:tcW w:type="dxa" w:w="1984"/>
            <w:shd w:val="clear" w:color="auto" w:fill="EFF6FF"/>
            <w:vAlign w:val="center"/>
          </w:tcPr>
          <w:p>
            <w:r>
              <w:rPr>
                <w:b w:val="0"/>
                <w:color w:val="1F2D3D"/>
                <w:sz w:val="21"/>
              </w:rPr>
              <w:t>Deep Learning</w:t>
            </w:r>
          </w:p>
        </w:tc>
      </w:tr>
      <w:tr>
        <w:trPr>
          <w:trHeight w:val="408"/>
        </w:trPr>
        <w:tc>
          <w:tcPr>
            <w:tcW w:type="dxa" w:w="3402"/>
            <w:shd w:val="clear" w:color="auto" w:fill="DBEAFE"/>
            <w:vAlign w:val="center"/>
          </w:tcPr>
          <w:p>
            <w:r>
              <w:rPr>
                <w:b/>
                <w:color w:val="1D4ED8"/>
                <w:sz w:val="21"/>
              </w:rPr>
              <w:t>Seasonality Capture</w:t>
            </w:r>
          </w:p>
        </w:tc>
        <w:tc>
          <w:tcPr>
            <w:tcW w:type="dxa" w:w="1984"/>
            <w:shd w:val="clear" w:color="auto" w:fill="FFFFFF"/>
            <w:vAlign w:val="center"/>
          </w:tcPr>
          <w:p>
            <w:r>
              <w:rPr>
                <w:b w:val="0"/>
                <w:color w:val="1F2D3D"/>
                <w:sz w:val="21"/>
              </w:rPr>
              <w:t>★★★★☆</w:t>
            </w:r>
          </w:p>
        </w:tc>
        <w:tc>
          <w:tcPr>
            <w:tcW w:type="dxa" w:w="1984"/>
            <w:shd w:val="clear" w:color="auto" w:fill="FFFFFF"/>
            <w:vAlign w:val="center"/>
          </w:tcPr>
          <w:p>
            <w:r>
              <w:rPr>
                <w:b w:val="0"/>
                <w:color w:val="1F2D3D"/>
                <w:sz w:val="21"/>
              </w:rPr>
              <w:t>★★★★★</w:t>
            </w:r>
          </w:p>
        </w:tc>
        <w:tc>
          <w:tcPr>
            <w:tcW w:type="dxa" w:w="1984"/>
            <w:shd w:val="clear" w:color="auto" w:fill="FFFFFF"/>
            <w:vAlign w:val="center"/>
          </w:tcPr>
          <w:p>
            <w:r>
              <w:rPr>
                <w:b w:val="0"/>
                <w:color w:val="1F2D3D"/>
                <w:sz w:val="21"/>
              </w:rPr>
              <w:t>Deep Learning</w:t>
            </w:r>
          </w:p>
        </w:tc>
      </w:tr>
      <w:tr>
        <w:trPr>
          <w:trHeight w:val="408"/>
        </w:trPr>
        <w:tc>
          <w:tcPr>
            <w:tcW w:type="dxa" w:w="3402"/>
            <w:shd w:val="clear" w:color="auto" w:fill="DBEAFE"/>
            <w:vAlign w:val="center"/>
          </w:tcPr>
          <w:p>
            <w:r>
              <w:rPr>
                <w:b/>
                <w:color w:val="1D4ED8"/>
                <w:sz w:val="21"/>
              </w:rPr>
              <w:t>Execution Speed</w:t>
            </w:r>
          </w:p>
        </w:tc>
        <w:tc>
          <w:tcPr>
            <w:tcW w:type="dxa" w:w="1984"/>
            <w:shd w:val="clear" w:color="auto" w:fill="EFF6FF"/>
            <w:vAlign w:val="center"/>
          </w:tcPr>
          <w:p>
            <w:r>
              <w:rPr>
                <w:b w:val="0"/>
                <w:color w:val="1F2D3D"/>
                <w:sz w:val="21"/>
              </w:rPr>
              <w:t>★★★★★</w:t>
            </w:r>
          </w:p>
        </w:tc>
        <w:tc>
          <w:tcPr>
            <w:tcW w:type="dxa" w:w="1984"/>
            <w:shd w:val="clear" w:color="auto" w:fill="EFF6FF"/>
            <w:vAlign w:val="center"/>
          </w:tcPr>
          <w:p>
            <w:r>
              <w:rPr>
                <w:b w:val="0"/>
                <w:color w:val="1F2D3D"/>
                <w:sz w:val="21"/>
              </w:rPr>
              <w:t>★★★☆☆</w:t>
            </w:r>
          </w:p>
        </w:tc>
        <w:tc>
          <w:tcPr>
            <w:tcW w:type="dxa" w:w="1984"/>
            <w:shd w:val="clear" w:color="auto" w:fill="EFF6FF"/>
            <w:vAlign w:val="center"/>
          </w:tcPr>
          <w:p>
            <w:r>
              <w:rPr>
                <w:b w:val="0"/>
                <w:color w:val="1F2D3D"/>
                <w:sz w:val="21"/>
              </w:rPr>
              <w:t>Statistical</w:t>
            </w:r>
          </w:p>
        </w:tc>
      </w:tr>
      <w:tr>
        <w:trPr>
          <w:trHeight w:val="408"/>
        </w:trPr>
        <w:tc>
          <w:tcPr>
            <w:tcW w:type="dxa" w:w="3402"/>
            <w:shd w:val="clear" w:color="auto" w:fill="DBEAFE"/>
            <w:vAlign w:val="center"/>
          </w:tcPr>
          <w:p>
            <w:r>
              <w:rPr>
                <w:b/>
                <w:color w:val="1D4ED8"/>
                <w:sz w:val="21"/>
              </w:rPr>
              <w:t>Uncertainty Quantification</w:t>
            </w:r>
          </w:p>
        </w:tc>
        <w:tc>
          <w:tcPr>
            <w:tcW w:type="dxa" w:w="1984"/>
            <w:shd w:val="clear" w:color="auto" w:fill="FFFFFF"/>
            <w:vAlign w:val="center"/>
          </w:tcPr>
          <w:p>
            <w:r>
              <w:rPr>
                <w:b w:val="0"/>
                <w:color w:val="1F2D3D"/>
                <w:sz w:val="21"/>
              </w:rPr>
              <w:t>★★★☆☆</w:t>
            </w:r>
          </w:p>
        </w:tc>
        <w:tc>
          <w:tcPr>
            <w:tcW w:type="dxa" w:w="1984"/>
            <w:shd w:val="clear" w:color="auto" w:fill="FFFFFF"/>
            <w:vAlign w:val="center"/>
          </w:tcPr>
          <w:p>
            <w:r>
              <w:rPr>
                <w:b w:val="0"/>
                <w:color w:val="1F2D3D"/>
                <w:sz w:val="21"/>
              </w:rPr>
              <w:t>★★★★☆</w:t>
            </w:r>
          </w:p>
        </w:tc>
        <w:tc>
          <w:tcPr>
            <w:tcW w:type="dxa" w:w="1984"/>
            <w:shd w:val="clear" w:color="auto" w:fill="FFFFFF"/>
            <w:vAlign w:val="center"/>
          </w:tcPr>
          <w:p>
            <w:r>
              <w:rPr>
                <w:b w:val="0"/>
                <w:color w:val="1F2D3D"/>
                <w:sz w:val="21"/>
              </w:rPr>
              <w:t>Deep Learning</w:t>
            </w:r>
          </w:p>
        </w:tc>
      </w:tr>
      <w:tr>
        <w:trPr>
          <w:trHeight w:val="408"/>
        </w:trPr>
        <w:tc>
          <w:tcPr>
            <w:tcW w:type="dxa" w:w="3402"/>
            <w:shd w:val="clear" w:color="auto" w:fill="DBEAFE"/>
            <w:vAlign w:val="center"/>
          </w:tcPr>
          <w:p>
            <w:r>
              <w:rPr>
                <w:b/>
                <w:color w:val="1D4ED8"/>
                <w:sz w:val="21"/>
              </w:rPr>
              <w:t>Total Score</w:t>
            </w:r>
          </w:p>
        </w:tc>
        <w:tc>
          <w:tcPr>
            <w:tcW w:type="dxa" w:w="1984"/>
            <w:shd w:val="clear" w:color="auto" w:fill="EFF6FF"/>
            <w:vAlign w:val="center"/>
          </w:tcPr>
          <w:p>
            <w:r>
              <w:rPr>
                <w:b w:val="0"/>
                <w:color w:val="1F2D3D"/>
                <w:sz w:val="21"/>
              </w:rPr>
              <w:t>26 / 40</w:t>
            </w:r>
          </w:p>
        </w:tc>
        <w:tc>
          <w:tcPr>
            <w:tcW w:type="dxa" w:w="1984"/>
            <w:shd w:val="clear" w:color="auto" w:fill="EFF6FF"/>
            <w:vAlign w:val="center"/>
          </w:tcPr>
          <w:p>
            <w:r>
              <w:rPr>
                <w:b w:val="0"/>
                <w:color w:val="1F2D3D"/>
                <w:sz w:val="21"/>
              </w:rPr>
              <w:t>24 / 40</w:t>
            </w:r>
          </w:p>
        </w:tc>
        <w:tc>
          <w:tcPr>
            <w:tcW w:type="dxa" w:w="1984"/>
            <w:shd w:val="clear" w:color="auto" w:fill="EFF6FF"/>
            <w:vAlign w:val="center"/>
          </w:tcPr>
          <w:p>
            <w:r>
              <w:rPr>
                <w:b w:val="0"/>
                <w:color w:val="1F2D3D"/>
                <w:sz w:val="21"/>
              </w:rPr>
              <w:t>—</w:t>
            </w:r>
          </w:p>
        </w:tc>
      </w:tr>
    </w:tbl>
    <w:p/>
    <w:p>
      <w:pPr>
        <w:spacing w:after="120"/>
      </w:pPr>
      <w:r>
        <w:rPr>
          <w:b w:val="0"/>
          <w:i w:val="0"/>
          <w:color w:val="1F2D3D"/>
          <w:sz w:val="21"/>
        </w:rPr>
        <w:t>Overall, the two approaches score comparably (Statistical 26/40 · Deep Learning 24/40), but the advantage clearly splits by purpose. Statistical analysis dominates for 'understanding the present and past', while deep learning dominates for 'predicting the future'. Neither approach is superior in absolute terms — the right choice depends entirely on the analytical objective.</w:t>
      </w:r>
    </w:p>
    <w:p>
      <w:r>
        <w:br w:type="page"/>
      </w:r>
    </w:p>
    <w:p>
      <w:pPr>
        <w:spacing w:before="280" w:after="120"/>
      </w:pPr>
      <w:r>
        <w:rPr>
          <w:b/>
          <w:color w:val="1E40AF"/>
          <w:sz w:val="30"/>
        </w:rPr>
        <w:t>7.  Integrated Strategy Recommendation</w:t>
      </w:r>
    </w:p>
    <w:p>
      <w:pPr>
        <w:pBdr>
          <w:bottom w:val="single" w:sz="6" w:space="1" w:color="1E40AF"/>
        </w:pBdr>
        <w:spacing w:before="40" w:after="120"/>
      </w:pPr>
    </w:p>
    <w:p>
      <w:pPr>
        <w:spacing w:after="120"/>
      </w:pPr>
      <w:r>
        <w:rPr>
          <w:b w:val="0"/>
          <w:i w:val="0"/>
          <w:color w:val="1F2D3D"/>
          <w:sz w:val="21"/>
        </w:rPr>
        <w:t>The two methodologies are complementary rather than competing. A two-phase analytical pipeline is recommended for real-world YouTube strategy deployment:</w:t>
      </w:r>
    </w:p>
    <w:p/>
    <w:p>
      <w:pPr>
        <w:pStyle w:val="ListBullet"/>
        <w:spacing w:after="60"/>
      </w:pPr>
      <w:r>
        <w:rPr>
          <w:color w:val="1F2D3D"/>
          <w:sz w:val="21"/>
        </w:rPr>
        <w:t>Phase 1 — Statistical Analysis (NumPy/Pandas): Explore the full dataset to understand which categories, countries, weekdays, and formats drive performance. Identify the highest-potential channel segments and key seasonal windows.</w:t>
      </w:r>
    </w:p>
    <w:p>
      <w:pPr>
        <w:pStyle w:val="ListBullet"/>
        <w:spacing w:after="60"/>
      </w:pPr>
      <w:r>
        <w:rPr>
          <w:color w:val="1F2D3D"/>
          <w:sz w:val="21"/>
        </w:rPr>
        <w:t>Phase 2 — Deep Learning (MLP): Apply the time-series model to channels identified in Phase 1. Generate 36-month monthly view forecasts with upper and lower bounds for budget and scheduling decisions.</w:t>
      </w:r>
    </w:p>
    <w:p>
      <w:pPr>
        <w:pStyle w:val="ListBullet"/>
        <w:spacing w:after="60"/>
      </w:pPr>
      <w:r>
        <w:rPr>
          <w:color w:val="1F2D3D"/>
          <w:sz w:val="21"/>
        </w:rPr>
        <w:t>Optimal combination: Statistical analysis answers 'where to focus' — deep learning answers 'how much to expect'. Combining both delivers a complete, evidence-based YouTube strategy.</w:t>
      </w:r>
    </w:p>
    <w:p/>
    <w:tbl>
      <w:tblPr>
        <w:tblStyle w:val="TableGrid"/>
        <w:tblW w:type="auto" w:w="0"/>
        <w:jc w:val="left"/>
        <w:tblLook w:firstColumn="1" w:firstRow="1" w:lastColumn="0" w:lastRow="0" w:noHBand="0" w:noVBand="1" w:val="04A0"/>
      </w:tblPr>
      <w:tblGrid>
        <w:gridCol w:w="3135"/>
        <w:gridCol w:w="3135"/>
        <w:gridCol w:w="3135"/>
      </w:tblGrid>
      <w:tr>
        <w:trPr>
          <w:trHeight w:val="425"/>
        </w:trPr>
        <w:tc>
          <w:tcPr>
            <w:tcW w:type="dxa" w:w="3118"/>
            <w:shd w:val="clear" w:color="auto" w:fill="1E40AF"/>
            <w:vAlign w:val="center"/>
          </w:tcPr>
          <w:p>
            <w:r>
              <w:rPr>
                <w:b/>
                <w:color w:val="FFFFFF"/>
                <w:sz w:val="21"/>
              </w:rPr>
              <w:t>Scenario</w:t>
            </w:r>
          </w:p>
        </w:tc>
        <w:tc>
          <w:tcPr>
            <w:tcW w:type="dxa" w:w="2551"/>
            <w:shd w:val="clear" w:color="auto" w:fill="1E40AF"/>
            <w:vAlign w:val="center"/>
          </w:tcPr>
          <w:p>
            <w:r>
              <w:rPr>
                <w:b/>
                <w:color w:val="FFFFFF"/>
                <w:sz w:val="21"/>
              </w:rPr>
              <w:t>Recommended Approach</w:t>
            </w:r>
          </w:p>
        </w:tc>
        <w:tc>
          <w:tcPr>
            <w:tcW w:type="dxa" w:w="3685"/>
            <w:shd w:val="clear" w:color="auto" w:fill="1E40AF"/>
            <w:vAlign w:val="center"/>
          </w:tcPr>
          <w:p>
            <w:r>
              <w:rPr>
                <w:b/>
                <w:color w:val="FFFFFF"/>
                <w:sz w:val="21"/>
              </w:rPr>
              <w:t>Key Output</w:t>
            </w:r>
          </w:p>
        </w:tc>
      </w:tr>
      <w:tr>
        <w:trPr>
          <w:trHeight w:val="408"/>
        </w:trPr>
        <w:tc>
          <w:tcPr>
            <w:tcW w:type="dxa" w:w="3118"/>
            <w:shd w:val="clear" w:color="auto" w:fill="DBEAFE"/>
            <w:vAlign w:val="center"/>
          </w:tcPr>
          <w:p>
            <w:r>
              <w:rPr>
                <w:b/>
                <w:color w:val="1D4ED8"/>
                <w:sz w:val="21"/>
              </w:rPr>
              <w:t>Market research before channel launch</w:t>
            </w:r>
          </w:p>
        </w:tc>
        <w:tc>
          <w:tcPr>
            <w:tcW w:type="dxa" w:w="2551"/>
            <w:shd w:val="clear" w:color="auto" w:fill="EFF6FF"/>
            <w:vAlign w:val="center"/>
          </w:tcPr>
          <w:p>
            <w:r>
              <w:rPr>
                <w:b w:val="0"/>
                <w:color w:val="1F2D3D"/>
                <w:sz w:val="21"/>
              </w:rPr>
              <w:t>Statistical Analysis</w:t>
            </w:r>
          </w:p>
        </w:tc>
        <w:tc>
          <w:tcPr>
            <w:tcW w:type="dxa" w:w="3685"/>
            <w:shd w:val="clear" w:color="auto" w:fill="EFF6FF"/>
            <w:vAlign w:val="center"/>
          </w:tcPr>
          <w:p>
            <w:r>
              <w:rPr>
                <w:b w:val="0"/>
                <w:color w:val="1F2D3D"/>
                <w:sz w:val="21"/>
              </w:rPr>
              <w:t>Optimal category, country, and upload-day selection</w:t>
            </w:r>
          </w:p>
        </w:tc>
      </w:tr>
      <w:tr>
        <w:trPr>
          <w:trHeight w:val="408"/>
        </w:trPr>
        <w:tc>
          <w:tcPr>
            <w:tcW w:type="dxa" w:w="3118"/>
            <w:shd w:val="clear" w:color="auto" w:fill="DBEAFE"/>
            <w:vAlign w:val="center"/>
          </w:tcPr>
          <w:p>
            <w:r>
              <w:rPr>
                <w:b/>
                <w:color w:val="1D4ED8"/>
                <w:sz w:val="21"/>
              </w:rPr>
              <w:t>Growth forecasting for existing channel</w:t>
            </w:r>
          </w:p>
        </w:tc>
        <w:tc>
          <w:tcPr>
            <w:tcW w:type="dxa" w:w="2551"/>
            <w:shd w:val="clear" w:color="auto" w:fill="FFFFFF"/>
            <w:vAlign w:val="center"/>
          </w:tcPr>
          <w:p>
            <w:r>
              <w:rPr>
                <w:b w:val="0"/>
                <w:color w:val="1F2D3D"/>
                <w:sz w:val="21"/>
              </w:rPr>
              <w:t>Deep Learning</w:t>
            </w:r>
          </w:p>
        </w:tc>
        <w:tc>
          <w:tcPr>
            <w:tcW w:type="dxa" w:w="3685"/>
            <w:shd w:val="clear" w:color="auto" w:fill="FFFFFF"/>
            <w:vAlign w:val="center"/>
          </w:tcPr>
          <w:p>
            <w:r>
              <w:rPr>
                <w:b w:val="0"/>
                <w:color w:val="1F2D3D"/>
                <w:sz w:val="21"/>
              </w:rPr>
              <w:t>36-month monthly view range (upper/lower bounds)</w:t>
            </w:r>
          </w:p>
        </w:tc>
      </w:tr>
      <w:tr>
        <w:trPr>
          <w:trHeight w:val="408"/>
        </w:trPr>
        <w:tc>
          <w:tcPr>
            <w:tcW w:type="dxa" w:w="3118"/>
            <w:shd w:val="clear" w:color="auto" w:fill="DBEAFE"/>
            <w:vAlign w:val="center"/>
          </w:tcPr>
          <w:p>
            <w:r>
              <w:rPr>
                <w:b/>
                <w:color w:val="1D4ED8"/>
                <w:sz w:val="21"/>
              </w:rPr>
              <w:t>Content type &amp; format strategy</w:t>
            </w:r>
          </w:p>
        </w:tc>
        <w:tc>
          <w:tcPr>
            <w:tcW w:type="dxa" w:w="2551"/>
            <w:shd w:val="clear" w:color="auto" w:fill="EFF6FF"/>
            <w:vAlign w:val="center"/>
          </w:tcPr>
          <w:p>
            <w:r>
              <w:rPr>
                <w:b w:val="0"/>
                <w:color w:val="1F2D3D"/>
                <w:sz w:val="21"/>
              </w:rPr>
              <w:t>Statistical Analysis</w:t>
            </w:r>
          </w:p>
        </w:tc>
        <w:tc>
          <w:tcPr>
            <w:tcW w:type="dxa" w:w="3685"/>
            <w:shd w:val="clear" w:color="auto" w:fill="EFF6FF"/>
            <w:vAlign w:val="center"/>
          </w:tcPr>
          <w:p>
            <w:r>
              <w:rPr>
                <w:b w:val="0"/>
                <w:color w:val="1F2D3D"/>
                <w:sz w:val="21"/>
              </w:rPr>
              <w:t>Clickbait effect, question-title uplift, Shorts ROI</w:t>
            </w:r>
          </w:p>
        </w:tc>
      </w:tr>
      <w:tr>
        <w:trPr>
          <w:trHeight w:val="408"/>
        </w:trPr>
        <w:tc>
          <w:tcPr>
            <w:tcW w:type="dxa" w:w="3118"/>
            <w:shd w:val="clear" w:color="auto" w:fill="DBEAFE"/>
            <w:vAlign w:val="center"/>
          </w:tcPr>
          <w:p>
            <w:r>
              <w:rPr>
                <w:b/>
                <w:color w:val="1D4ED8"/>
                <w:sz w:val="21"/>
              </w:rPr>
              <w:t>Advertising budget planning</w:t>
            </w:r>
          </w:p>
        </w:tc>
        <w:tc>
          <w:tcPr>
            <w:tcW w:type="dxa" w:w="2551"/>
            <w:shd w:val="clear" w:color="auto" w:fill="FFFFFF"/>
            <w:vAlign w:val="center"/>
          </w:tcPr>
          <w:p>
            <w:r>
              <w:rPr>
                <w:b w:val="0"/>
                <w:color w:val="1F2D3D"/>
                <w:sz w:val="21"/>
              </w:rPr>
              <w:t>Deep Learning</w:t>
            </w:r>
          </w:p>
        </w:tc>
        <w:tc>
          <w:tcPr>
            <w:tcW w:type="dxa" w:w="3685"/>
            <w:shd w:val="clear" w:color="auto" w:fill="FFFFFF"/>
            <w:vAlign w:val="center"/>
          </w:tcPr>
          <w:p>
            <w:r>
              <w:rPr>
                <w:b w:val="0"/>
                <w:color w:val="1F2D3D"/>
                <w:sz w:val="21"/>
              </w:rPr>
              <w:t>View forecast range → revenue projection → budget ceiling</w:t>
            </w:r>
          </w:p>
        </w:tc>
      </w:tr>
      <w:tr>
        <w:trPr>
          <w:trHeight w:val="408"/>
        </w:trPr>
        <w:tc>
          <w:tcPr>
            <w:tcW w:type="dxa" w:w="3118"/>
            <w:shd w:val="clear" w:color="auto" w:fill="DBEAFE"/>
            <w:vAlign w:val="center"/>
          </w:tcPr>
          <w:p>
            <w:r>
              <w:rPr>
                <w:b/>
                <w:color w:val="1D4ED8"/>
                <w:sz w:val="21"/>
              </w:rPr>
              <w:t>Channel acquisition valuation</w:t>
            </w:r>
          </w:p>
        </w:tc>
        <w:tc>
          <w:tcPr>
            <w:tcW w:type="dxa" w:w="2551"/>
            <w:shd w:val="clear" w:color="auto" w:fill="EFF6FF"/>
            <w:vAlign w:val="center"/>
          </w:tcPr>
          <w:p>
            <w:r>
              <w:rPr>
                <w:b w:val="0"/>
                <w:color w:val="1F2D3D"/>
                <w:sz w:val="21"/>
              </w:rPr>
              <w:t>Both in combination</w:t>
            </w:r>
          </w:p>
        </w:tc>
        <w:tc>
          <w:tcPr>
            <w:tcW w:type="dxa" w:w="3685"/>
            <w:shd w:val="clear" w:color="auto" w:fill="EFF6FF"/>
            <w:vAlign w:val="center"/>
          </w:tcPr>
          <w:p>
            <w:r>
              <w:rPr>
                <w:b w:val="0"/>
                <w:color w:val="1F2D3D"/>
                <w:sz w:val="21"/>
              </w:rPr>
              <w:t>Current platform value (stats) + future value (DL)</w:t>
            </w:r>
          </w:p>
        </w:tc>
      </w:tr>
      <w:tr>
        <w:trPr>
          <w:trHeight w:val="408"/>
        </w:trPr>
        <w:tc>
          <w:tcPr>
            <w:tcW w:type="dxa" w:w="3118"/>
            <w:shd w:val="clear" w:color="auto" w:fill="DBEAFE"/>
            <w:vAlign w:val="center"/>
          </w:tcPr>
          <w:p>
            <w:r>
              <w:rPr>
                <w:b/>
                <w:color w:val="1D4ED8"/>
                <w:sz w:val="21"/>
              </w:rPr>
              <w:t>Audience engagement optimisation</w:t>
            </w:r>
          </w:p>
        </w:tc>
        <w:tc>
          <w:tcPr>
            <w:tcW w:type="dxa" w:w="2551"/>
            <w:shd w:val="clear" w:color="auto" w:fill="FFFFFF"/>
            <w:vAlign w:val="center"/>
          </w:tcPr>
          <w:p>
            <w:r>
              <w:rPr>
                <w:b w:val="0"/>
                <w:color w:val="1F2D3D"/>
                <w:sz w:val="21"/>
              </w:rPr>
              <w:t>Statistical Analysis</w:t>
            </w:r>
          </w:p>
        </w:tc>
        <w:tc>
          <w:tcPr>
            <w:tcW w:type="dxa" w:w="3685"/>
            <w:shd w:val="clear" w:color="auto" w:fill="FFFFFF"/>
            <w:vAlign w:val="center"/>
          </w:tcPr>
          <w:p>
            <w:r>
              <w:rPr>
                <w:b w:val="0"/>
                <w:color w:val="1F2D3D"/>
                <w:sz w:val="21"/>
              </w:rPr>
              <w:t>Engagement vs surface metrics — where to invest</w:t>
            </w:r>
          </w:p>
        </w:tc>
      </w:tr>
      <w:tr>
        <w:trPr>
          <w:trHeight w:val="408"/>
        </w:trPr>
        <w:tc>
          <w:tcPr>
            <w:tcW w:type="dxa" w:w="3118"/>
            <w:shd w:val="clear" w:color="auto" w:fill="DBEAFE"/>
            <w:vAlign w:val="center"/>
          </w:tcPr>
          <w:p>
            <w:r>
              <w:rPr>
                <w:b/>
                <w:color w:val="1D4ED8"/>
                <w:sz w:val="21"/>
              </w:rPr>
              <w:t>Long-term content calendar</w:t>
            </w:r>
          </w:p>
        </w:tc>
        <w:tc>
          <w:tcPr>
            <w:tcW w:type="dxa" w:w="2551"/>
            <w:shd w:val="clear" w:color="auto" w:fill="EFF6FF"/>
            <w:vAlign w:val="center"/>
          </w:tcPr>
          <w:p>
            <w:r>
              <w:rPr>
                <w:b w:val="0"/>
                <w:color w:val="1F2D3D"/>
                <w:sz w:val="21"/>
              </w:rPr>
              <w:t>Both in combination</w:t>
            </w:r>
          </w:p>
        </w:tc>
        <w:tc>
          <w:tcPr>
            <w:tcW w:type="dxa" w:w="3685"/>
            <w:shd w:val="clear" w:color="auto" w:fill="EFF6FF"/>
            <w:vAlign w:val="center"/>
          </w:tcPr>
          <w:p>
            <w:r>
              <w:rPr>
                <w:b w:val="0"/>
                <w:color w:val="1F2D3D"/>
                <w:sz w:val="21"/>
              </w:rPr>
              <w:t>Peak timing from stats · monthly targets from DL</w:t>
            </w:r>
          </w:p>
        </w:tc>
      </w:tr>
    </w:tbl>
    <w:p>
      <w:r>
        <w:br w:type="page"/>
      </w:r>
    </w:p>
    <w:p>
      <w:pPr>
        <w:spacing w:before="280" w:after="120"/>
      </w:pPr>
      <w:r>
        <w:rPr>
          <w:b/>
          <w:color w:val="1E40AF"/>
          <w:sz w:val="30"/>
        </w:rPr>
        <w:t>8.  Conclusion</w:t>
      </w:r>
    </w:p>
    <w:p>
      <w:pPr>
        <w:pBdr>
          <w:bottom w:val="single" w:sz="6" w:space="1" w:color="1E40AF"/>
        </w:pBdr>
        <w:spacing w:before="40" w:after="120"/>
      </w:pPr>
    </w:p>
    <w:p>
      <w:pPr>
        <w:spacing w:after="120"/>
      </w:pPr>
      <w:r>
        <w:rPr>
          <w:b w:val="0"/>
          <w:i w:val="0"/>
          <w:color w:val="1F2D3D"/>
          <w:sz w:val="21"/>
        </w:rPr>
        <w:t>NumPy/Pandas statistical analysis reveals the structural truths of the YouTube ecosystem across 10,000 trending videos and 24 countries. It confirms that viral success produces a 60× view multiplier, that surface metrics are entirely uncorrelated with engagement (r &lt; 0.03), that Sunday and November represent the highest-traffic windows, and that Russia and Turkey outperform the US by a factor of 3× in average views. These findings are immediately actionable for any content strategist without requiring model training or technical infrastructure.</w:t>
      </w:r>
    </w:p>
    <w:p>
      <w:pPr>
        <w:spacing w:after="120"/>
      </w:pPr>
      <w:r>
        <w:rPr>
          <w:b w:val="0"/>
          <w:i w:val="0"/>
          <w:color w:val="1F2D3D"/>
          <w:sz w:val="21"/>
        </w:rPr>
        <w:t>The Deep Learning MLP models capture temporal patterns invisible to descriptive statistics. Trained on 73 months of single-channel data, the Advanced model achieves 99% validation accuracy and projects a stable view plateau of approximately 0.17M per month through 2028 — more than 57% above the channel's 2025 average. The Basic model's mild-decline forecast and the Advanced model's stable outlook together define a credible performance corridor for channel planning.</w:t>
      </w:r>
    </w:p>
    <w:p>
      <w:pPr>
        <w:spacing w:after="120"/>
      </w:pPr>
      <w:r>
        <w:rPr>
          <w:b w:val="0"/>
          <w:i w:val="0"/>
          <w:color w:val="1F2D3D"/>
          <w:sz w:val="21"/>
        </w:rPr>
        <w:t>The fundamental conclusion is that neither approach is universally superior. Statistical analysis is the tool of choice when the goal is exploration, discovery, segmentation, and explanation of historical data. Deep learning is the tool of choice when the goal is prediction, forecasting, and planning for future performance. Deploying both in a structured two-phase pipeline — 'understand the landscape first, then forecast the trajectory' — produces the most complete and reliable analytical outcome for data-driven YouTube channel strategy.</w:t>
      </w:r>
    </w:p>
    <w:p>
      <w:pPr>
        <w:spacing w:before="400" w:after="80"/>
      </w:pPr>
      <w:r>
        <w:rPr>
          <w:b/>
          <w:color w:val="475569"/>
          <w:sz w:val="26"/>
        </w:rPr>
        <w:t>License</w:t>
      </w:r>
    </w:p>
    <w:p>
      <w:pPr>
        <w:pBdr>
          <w:bottom w:val="single" w:sz="6" w:space="1" w:color="9CA3AF"/>
        </w:pBdr>
        <w:spacing w:before="40" w:after="120"/>
      </w:pPr>
    </w:p>
    <w:p>
      <w:pPr>
        <w:spacing w:after="240"/>
      </w:pPr>
      <w:r>
        <w:rPr>
          <w:rFonts w:ascii="Courier New" w:hAnsi="Courier New"/>
          <w:color w:val="475569"/>
          <w:sz w:val="18"/>
        </w:rPr>
        <w:t>Copyright 2024 Meruva Kodanda Suraj</w:t>
        <w:br/>
        <w:br/>
        <w:t>Licensed under the Apache License, Version 2.0 (the "License");</w:t>
        <w:br/>
        <w:t>you may not use this file except in compliance with the License.</w:t>
        <w:br/>
        <w:t>You may obtain a copy of the License at</w:t>
        <w:br/>
        <w:br/>
        <w:t xml:space="preserve">    http://www.apache.org/licenses/LICENSE-2.0</w:t>
        <w:br/>
        <w:br/>
        <w:t>Unless required by applicable law or agreed to in writing, software</w:t>
        <w:br/>
        <w:t>distributed under the License is distributed on an "AS IS" BASIS,</w:t>
        <w:br/>
        <w:t>WITHOUT WARRANTIES OR CONDITIONS OF ANY KIND, either express or implied.</w:t>
        <w:br/>
        <w:t>See the License for the specific language governing permissions and</w:t>
        <w:br/>
        <w:t>limitations under the License.</w:t>
      </w:r>
    </w:p>
    <w:p>
      <w:pPr>
        <w:pBdr>
          <w:bottom w:val="single" w:sz="6" w:space="1" w:color="9CA3AF"/>
        </w:pBdr>
        <w:spacing w:before="40" w:after="120"/>
      </w:pPr>
    </w:p>
    <w:p>
      <w:pPr>
        <w:jc w:val="center"/>
      </w:pPr>
      <w:r>
        <w:rPr>
          <w:i/>
          <w:color w:val="6B7280"/>
          <w:sz w:val="17"/>
        </w:rPr>
        <w:t>Lightgo Analytics  ·  Comparative Analysis Report  ·  April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