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E40AF"/>
          <w:sz w:val="72"/>
        </w:rPr>
        <w:t>YouTube Views</w:t>
      </w:r>
    </w:p>
    <w:p>
      <w:pPr>
        <w:jc w:val="center"/>
      </w:pPr>
      <w:r>
        <w:rPr>
          <w:b/>
          <w:color w:val="1E40AF"/>
          <w:sz w:val="72"/>
        </w:rPr>
        <w:t>Prediction Report</w:t>
      </w:r>
    </w:p>
    <w:p/>
    <w:p>
      <w:pPr>
        <w:jc w:val="center"/>
      </w:pPr>
      <w:r>
        <w:rPr>
          <w:color w:val="64708C"/>
          <w:sz w:val="28"/>
        </w:rPr>
        <w:t>AI-Powered Forecast · 2026 – 2028</w:t>
      </w:r>
    </w:p>
    <w:p/>
    <w:p>
      <w:pPr>
        <w:jc w:val="center"/>
      </w:pPr>
      <w:r>
        <w:rPr>
          <w:color w:val="1E40AF"/>
        </w:rPr>
        <w:t>────────────────────────────────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rHeight w:val="453"/>
        </w:trPr>
        <w:tc>
          <w:tcPr>
            <w:tcW w:type="dxa" w:w="4535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DAE4F5"/>
                <w:sz w:val="21"/>
              </w:rPr>
              <w:t>Prepared by</w:t>
            </w:r>
          </w:p>
        </w:tc>
        <w:tc>
          <w:tcPr>
            <w:tcW w:type="dxa" w:w="4535"/>
            <w:shd w:val="clear" w:color="auto" w:fill="F0F4FF"/>
            <w:vAlign w:val="center"/>
          </w:tcPr>
          <w:p>
            <w:pPr>
              <w:jc w:val="center"/>
            </w:pPr>
            <w:r>
              <w:rPr>
                <w:color w:val="1E40AF"/>
                <w:sz w:val="21"/>
              </w:rPr>
              <w:t>Lightgo Analytics</w:t>
            </w:r>
          </w:p>
        </w:tc>
      </w:tr>
      <w:tr>
        <w:trPr>
          <w:trHeight w:val="453"/>
        </w:trPr>
        <w:tc>
          <w:tcPr>
            <w:tcW w:type="dxa" w:w="4535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DAE4F5"/>
                <w:sz w:val="21"/>
              </w:rPr>
              <w:t>Date</w:t>
            </w:r>
          </w:p>
        </w:tc>
        <w:tc>
          <w:tcPr>
            <w:tcW w:type="dxa" w:w="4535"/>
            <w:shd w:val="clear" w:color="auto" w:fill="F0F4FF"/>
            <w:vAlign w:val="center"/>
          </w:tcPr>
          <w:p>
            <w:pPr>
              <w:jc w:val="center"/>
            </w:pPr>
            <w:r>
              <w:rPr>
                <w:color w:val="1E40AF"/>
                <w:sz w:val="21"/>
              </w:rPr>
              <w:t>April 18, 2026</w:t>
            </w:r>
          </w:p>
        </w:tc>
      </w:tr>
      <w:tr>
        <w:trPr>
          <w:trHeight w:val="453"/>
        </w:trPr>
        <w:tc>
          <w:tcPr>
            <w:tcW w:type="dxa" w:w="4535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DAE4F5"/>
                <w:sz w:val="21"/>
              </w:rPr>
              <w:t>Data Range</w:t>
            </w:r>
          </w:p>
        </w:tc>
        <w:tc>
          <w:tcPr>
            <w:tcW w:type="dxa" w:w="4535"/>
            <w:shd w:val="clear" w:color="auto" w:fill="F0F4FF"/>
            <w:vAlign w:val="center"/>
          </w:tcPr>
          <w:p>
            <w:pPr>
              <w:jc w:val="center"/>
            </w:pPr>
            <w:r>
              <w:rPr>
                <w:color w:val="1E40AF"/>
                <w:sz w:val="21"/>
              </w:rPr>
              <w:t>January 2020 – January 2026 (Actual)</w:t>
            </w:r>
          </w:p>
        </w:tc>
      </w:tr>
      <w:tr>
        <w:trPr>
          <w:trHeight w:val="453"/>
        </w:trPr>
        <w:tc>
          <w:tcPr>
            <w:tcW w:type="dxa" w:w="4535"/>
            <w:shd w:val="clear" w:color="auto" w:fill="1E40AF"/>
            <w:vAlign w:val="center"/>
          </w:tcPr>
          <w:p>
            <w:pPr>
              <w:jc w:val="center"/>
            </w:pPr>
            <w:r>
              <w:rPr>
                <w:b/>
                <w:color w:val="DAE4F5"/>
                <w:sz w:val="21"/>
              </w:rPr>
              <w:t>Forecast Scope</w:t>
            </w:r>
          </w:p>
        </w:tc>
        <w:tc>
          <w:tcPr>
            <w:tcW w:type="dxa" w:w="4535"/>
            <w:shd w:val="clear" w:color="auto" w:fill="F0F4FF"/>
            <w:vAlign w:val="center"/>
          </w:tcPr>
          <w:p>
            <w:pPr>
              <w:jc w:val="center"/>
            </w:pPr>
            <w:r>
              <w:rPr>
                <w:color w:val="1E40AF"/>
                <w:sz w:val="21"/>
              </w:rPr>
              <w:t>February 2026 – December 2028</w:t>
            </w:r>
          </w:p>
        </w:tc>
      </w:tr>
    </w:tbl>
    <w:p/>
    <w:p>
      <w:pPr>
        <w:jc w:val="center"/>
      </w:pPr>
      <w:r>
        <w:rPr>
          <w:i/>
          <w:color w:val="64708C"/>
          <w:sz w:val="18"/>
        </w:rPr>
        <w:t>Powered by Lightgo  ·  Built with Rust + AI Neural Network</w:t>
      </w:r>
    </w:p>
    <w:p>
      <w:r>
        <w:br w:type="page"/>
      </w:r>
    </w:p>
    <w:p>
      <w:pPr>
        <w:spacing w:before="280" w:after="120"/>
      </w:pPr>
      <w:r>
        <w:rPr>
          <w:b/>
          <w:color w:val="1E40AF"/>
          <w:sz w:val="30"/>
        </w:rPr>
        <w:t>1.  Executive Summary</w:t>
      </w:r>
    </w:p>
    <w:p>
      <w:pPr>
        <w:pBdr>
          <w:bottom w:val="single" w:sz="6" w:space="1" w:color="1E40AF"/>
        </w:pBdr>
        <w:spacing w:before="40" w:after="160"/>
      </w:pPr>
    </w:p>
    <w:p>
      <w:pPr>
        <w:spacing w:after="120"/>
      </w:pPr>
      <w:r>
        <w:rPr>
          <w:b w:val="0"/>
          <w:sz w:val="21"/>
        </w:rPr>
        <w:t>This report presents a comprehensive analysis of YouTube channel view performance from January 2020 through January 2026, along with AI-generated forecasts for the period February 2026 through December 2028. Two neural network models — a Basic model and an Advanced model — were trained independently and applied to project monthly average trending video view counts.</w:t>
      </w:r>
    </w:p>
    <w:p>
      <w:pPr>
        <w:spacing w:after="80"/>
      </w:pPr>
      <w:r>
        <w:rPr>
          <w:b/>
          <w:color w:val="1E40AF"/>
          <w:sz w:val="22"/>
        </w:rPr>
        <w:t>Key Findings:</w:t>
      </w:r>
    </w:p>
    <w:p>
      <w:pPr>
        <w:pStyle w:val="ListBullet"/>
        <w:spacing w:after="60"/>
      </w:pPr>
      <w:r>
        <w:rPr>
          <w:sz w:val="21"/>
        </w:rPr>
        <w:t>Historical peak views reached 0.180M in 2026-01, representing the channel's highest monthly average.</w:t>
      </w:r>
    </w:p>
    <w:p>
      <w:pPr>
        <w:pStyle w:val="ListBullet"/>
        <w:spacing w:after="60"/>
      </w:pPr>
      <w:r>
        <w:rPr>
          <w:sz w:val="21"/>
        </w:rPr>
        <w:t>The 2025 annual average stood at 0.107M views per month.</w:t>
      </w:r>
    </w:p>
    <w:p>
      <w:pPr>
        <w:pStyle w:val="ListBullet"/>
        <w:spacing w:after="60"/>
      </w:pPr>
      <w:r>
        <w:rPr>
          <w:sz w:val="21"/>
        </w:rPr>
        <w:t>Both AI models forecast sustained view levels in the 0.14M–0.20M range through 2028.</w:t>
      </w:r>
    </w:p>
    <w:p>
      <w:pPr>
        <w:pStyle w:val="ListBullet"/>
        <w:spacing w:after="60"/>
      </w:pPr>
      <w:r>
        <w:rPr>
          <w:sz w:val="21"/>
        </w:rPr>
        <w:t>The Advanced model (99% accuracy) predicts a stable plateau, while the Basic model (63% accuracy) shows a gradual decline trend.</w:t>
      </w:r>
    </w:p>
    <w:p>
      <w:pPr>
        <w:pStyle w:val="ListBullet"/>
        <w:spacing w:after="60"/>
      </w:pPr>
      <w:r>
        <w:rPr>
          <w:sz w:val="21"/>
        </w:rPr>
        <w:t>April consistently emerges as the peak engagement month across all forecast years.</w:t>
      </w:r>
    </w:p>
    <w:p>
      <w:pPr>
        <w:pStyle w:val="ListBullet"/>
        <w:spacing w:after="60"/>
      </w:pPr>
      <w:r>
        <w:rPr>
          <w:sz w:val="21"/>
        </w:rPr>
        <w:t>Model agreement is highest at the start of the forecast period, diverging slightly toward 2028.</w:t>
      </w:r>
    </w:p>
    <w:p>
      <w:r>
        <w:br w:type="page"/>
      </w:r>
    </w:p>
    <w:p>
      <w:pPr>
        <w:spacing w:before="280" w:after="120"/>
      </w:pPr>
      <w:r>
        <w:rPr>
          <w:b/>
          <w:color w:val="1E40AF"/>
          <w:sz w:val="30"/>
        </w:rPr>
        <w:t>2.  Historical Data Overview  (2020 – 2025)</w:t>
      </w:r>
    </w:p>
    <w:p>
      <w:pPr>
        <w:pBdr>
          <w:bottom w:val="single" w:sz="6" w:space="1" w:color="1E40AF"/>
        </w:pBdr>
        <w:spacing w:before="40" w:after="160"/>
      </w:pPr>
    </w:p>
    <w:p>
      <w:pPr>
        <w:spacing w:after="120"/>
      </w:pPr>
      <w:r>
        <w:rPr>
          <w:b w:val="0"/>
          <w:sz w:val="21"/>
        </w:rPr>
        <w:t>The dataset covers 73 months of actual monthly average view counts from a YouTube channel, sourced from platform analytics and stored in structured JSON format. All values represent average views per trending video, expressed in millions (M).</w:t>
      </w:r>
    </w:p>
    <w:p>
      <w:pPr>
        <w:spacing w:after="80"/>
      </w:pPr>
      <w:r>
        <w:rPr>
          <w:b/>
          <w:color w:val="1E40AF"/>
          <w:sz w:val="22"/>
        </w:rPr>
        <w:t>Historical Statistics: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rHeight w:val="425"/>
        </w:trPr>
        <w:tc>
          <w:tcPr>
            <w:tcW w:type="dxa" w:w="4703"/>
            <w:shd w:val="clear" w:color="auto" w:fill="1E40AF"/>
          </w:tcPr>
          <w:p>
            <w:r>
              <w:rPr>
                <w:b/>
                <w:color w:val="DAE4F5"/>
                <w:sz w:val="21"/>
              </w:rPr>
              <w:t>Metric</w:t>
            </w:r>
          </w:p>
        </w:tc>
        <w:tc>
          <w:tcPr>
            <w:tcW w:type="dxa" w:w="4703"/>
            <w:shd w:val="clear" w:color="auto" w:fill="1E40AF"/>
          </w:tcPr>
          <w:p>
            <w:r>
              <w:rPr>
                <w:b/>
                <w:color w:val="DAE4F5"/>
                <w:sz w:val="21"/>
              </w:rPr>
              <w:t>Value</w:t>
            </w:r>
          </w:p>
        </w:tc>
      </w:tr>
      <w:tr>
        <w:trPr>
          <w:trHeight w:val="425"/>
        </w:trPr>
        <w:tc>
          <w:tcPr>
            <w:tcW w:type="dxa" w:w="4703"/>
            <w:shd w:val="clear" w:color="auto" w:fill="FFFFFF"/>
          </w:tcPr>
          <w:p>
            <w:r>
              <w:rPr>
                <w:b w:val="0"/>
                <w:color w:val="1E40AF"/>
                <w:sz w:val="21"/>
              </w:rPr>
              <w:t>Total data points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 w:val="0"/>
                <w:color w:val="1E40AF"/>
                <w:sz w:val="21"/>
              </w:rPr>
              <w:t>73 months  (Jan 2020 – Jan 2026)</w:t>
            </w:r>
          </w:p>
        </w:tc>
      </w:tr>
      <w:tr>
        <w:trPr>
          <w:trHeight w:val="425"/>
        </w:trPr>
        <w:tc>
          <w:tcPr>
            <w:tcW w:type="dxa" w:w="4703"/>
            <w:shd w:val="clear" w:color="auto" w:fill="F0F4FF"/>
          </w:tcPr>
          <w:p>
            <w:r>
              <w:rPr>
                <w:b w:val="0"/>
                <w:color w:val="1E40AF"/>
                <w:sz w:val="21"/>
              </w:rPr>
              <w:t>All-time peak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b w:val="0"/>
                <w:color w:val="1E40AF"/>
                <w:sz w:val="21"/>
              </w:rPr>
              <w:t>0.1802M  (2026-01)</w:t>
            </w:r>
          </w:p>
        </w:tc>
      </w:tr>
      <w:tr>
        <w:trPr>
          <w:trHeight w:val="425"/>
        </w:trPr>
        <w:tc>
          <w:tcPr>
            <w:tcW w:type="dxa" w:w="4703"/>
            <w:shd w:val="clear" w:color="auto" w:fill="FFFFFF"/>
          </w:tcPr>
          <w:p>
            <w:r>
              <w:rPr>
                <w:b w:val="0"/>
                <w:color w:val="1E40AF"/>
                <w:sz w:val="21"/>
              </w:rPr>
              <w:t>2025 monthly average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 w:val="0"/>
                <w:color w:val="1E40AF"/>
                <w:sz w:val="21"/>
              </w:rPr>
              <w:t>0.1066M</w:t>
            </w:r>
          </w:p>
        </w:tc>
      </w:tr>
      <w:tr>
        <w:trPr>
          <w:trHeight w:val="425"/>
        </w:trPr>
        <w:tc>
          <w:tcPr>
            <w:tcW w:type="dxa" w:w="4703"/>
            <w:shd w:val="clear" w:color="auto" w:fill="F0F4FF"/>
          </w:tcPr>
          <w:p>
            <w:r>
              <w:rPr>
                <w:b w:val="0"/>
                <w:color w:val="1E40AF"/>
                <w:sz w:val="21"/>
              </w:rPr>
              <w:t>Last recorded data point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b w:val="0"/>
                <w:color w:val="1E40AF"/>
                <w:sz w:val="21"/>
              </w:rPr>
              <w:t>0.1802M  (Jan 2026)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The historical data reveals a strong growth trajectory from 2020 to early 2023, followed by a moderation phase in 2023–2025 before reaching the all-time high in early 2026. Seasonal patterns show consistent engagement peaks in spring months (March–May) and softer performance in summer and late-year periods.</w:t>
      </w:r>
    </w:p>
    <w:p/>
    <w:p>
      <w:pPr>
        <w:jc w:val="center"/>
      </w:pPr>
      <w:r>
        <w:rPr>
          <w:i/>
          <w:color w:val="64708C"/>
          <w:sz w:val="19"/>
        </w:rPr>
        <w:t>Figure 1 — Full Historical &amp; Forecast Timeline (All Years)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749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All_Yea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4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08C"/>
          <w:sz w:val="17"/>
        </w:rPr>
        <w:t>Gray line = Actual data  ·  Blue line = Basic AI prediction  ·  Green line = Advanced AI prediction  ·  Amber divider = Actual / Forecast boundary</w:t>
      </w:r>
    </w:p>
    <w:p>
      <w:r>
        <w:br w:type="page"/>
      </w:r>
    </w:p>
    <w:p>
      <w:pPr>
        <w:spacing w:before="280" w:after="120"/>
      </w:pPr>
      <w:r>
        <w:rPr>
          <w:b/>
          <w:color w:val="1E40AF"/>
          <w:sz w:val="30"/>
        </w:rPr>
        <w:t>3.  AI Model Description</w:t>
      </w:r>
    </w:p>
    <w:p>
      <w:pPr>
        <w:pBdr>
          <w:bottom w:val="single" w:sz="6" w:space="1" w:color="1E40AF"/>
        </w:pBdr>
        <w:spacing w:before="40" w:after="160"/>
      </w:pPr>
    </w:p>
    <w:p>
      <w:pPr>
        <w:spacing w:after="120"/>
      </w:pPr>
      <w:r>
        <w:rPr>
          <w:b w:val="0"/>
          <w:sz w:val="21"/>
        </w:rPr>
        <w:t>Two independent neural network models were developed and trained on the historical view data together with subscriber growth trends and seasonal feature templates.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rHeight w:val="425"/>
        </w:trPr>
        <w:tc>
          <w:tcPr>
            <w:tcW w:type="dxa" w:w="3135"/>
            <w:shd w:val="clear" w:color="auto" w:fill="1E40AF"/>
          </w:tcPr>
          <w:p>
            <w:r>
              <w:rPr>
                <w:b/>
                <w:color w:val="DAE4F5"/>
                <w:sz w:val="21"/>
              </w:rPr>
              <w:t>Property</w:t>
            </w:r>
          </w:p>
        </w:tc>
        <w:tc>
          <w:tcPr>
            <w:tcW w:type="dxa" w:w="3135"/>
            <w:shd w:val="clear" w:color="auto" w:fill="1D4ED8"/>
          </w:tcPr>
          <w:p>
            <w:r>
              <w:rPr>
                <w:b/>
                <w:color w:val="DAE4F5"/>
                <w:sz w:val="21"/>
              </w:rPr>
              <w:t>Basic Model</w:t>
            </w:r>
          </w:p>
        </w:tc>
        <w:tc>
          <w:tcPr>
            <w:tcW w:type="dxa" w:w="3135"/>
            <w:shd w:val="clear" w:color="auto" w:fill="1D4ED8"/>
          </w:tcPr>
          <w:p>
            <w:r>
              <w:rPr>
                <w:b/>
                <w:color w:val="DAE4F5"/>
                <w:sz w:val="21"/>
              </w:rPr>
              <w:t>Advanced Model</w:t>
            </w:r>
          </w:p>
        </w:tc>
      </w:tr>
      <w:tr>
        <w:trPr>
          <w:trHeight w:val="425"/>
        </w:trPr>
        <w:tc>
          <w:tcPr>
            <w:tcW w:type="dxa" w:w="3135"/>
            <w:shd w:val="clear" w:color="auto" w:fill="FFFFFF"/>
          </w:tcPr>
          <w:p>
            <w:r>
              <w:rPr>
                <w:b/>
                <w:color w:val="1E40AF"/>
                <w:sz w:val="21"/>
              </w:rPr>
              <w:t>Architecture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 w:val="0"/>
                <w:color w:val="1F2D3D"/>
                <w:sz w:val="21"/>
              </w:rPr>
              <w:t>MLP + Batch Norm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 w:val="0"/>
                <w:color w:val="1F2D3D"/>
                <w:sz w:val="21"/>
              </w:rPr>
              <w:t>MLP + Residual Blocks + Batch Norm</w:t>
            </w:r>
          </w:p>
        </w:tc>
      </w:tr>
      <w:tr>
        <w:trPr>
          <w:trHeight w:val="425"/>
        </w:trP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E40AF"/>
                <w:sz w:val="21"/>
              </w:rPr>
              <w:t>Reported Accuracy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b w:val="0"/>
                <w:color w:val="1F2D3D"/>
                <w:sz w:val="21"/>
              </w:rPr>
              <w:t>63%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b w:val="0"/>
                <w:color w:val="1F2D3D"/>
                <w:sz w:val="21"/>
              </w:rPr>
              <w:t>99%</w:t>
            </w:r>
          </w:p>
        </w:tc>
      </w:tr>
      <w:tr>
        <w:trPr>
          <w:trHeight w:val="425"/>
        </w:trPr>
        <w:tc>
          <w:tcPr>
            <w:tcW w:type="dxa" w:w="3135"/>
            <w:shd w:val="clear" w:color="auto" w:fill="FFFFFF"/>
          </w:tcPr>
          <w:p>
            <w:r>
              <w:rPr>
                <w:b/>
                <w:color w:val="1E40AF"/>
                <w:sz w:val="21"/>
              </w:rPr>
              <w:t>Trend Behaviour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 w:val="0"/>
                <w:color w:val="1F2D3D"/>
                <w:sz w:val="21"/>
              </w:rPr>
              <w:t>Gradual decline over time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 w:val="0"/>
                <w:color w:val="1F2D3D"/>
                <w:sz w:val="21"/>
              </w:rPr>
              <w:t>Stable plateau with seasonal cycles</w:t>
            </w:r>
          </w:p>
        </w:tc>
      </w:tr>
      <w:tr>
        <w:trPr>
          <w:trHeight w:val="425"/>
        </w:trP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E40AF"/>
                <w:sz w:val="21"/>
              </w:rPr>
              <w:t>Best Use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b w:val="0"/>
                <w:color w:val="1F2D3D"/>
                <w:sz w:val="21"/>
              </w:rPr>
              <w:t>Conservative lower bound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b w:val="0"/>
                <w:color w:val="1F2D3D"/>
                <w:sz w:val="21"/>
              </w:rPr>
              <w:t>Primary forecast reference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Both models share the same inference pipeline: a stem layer normalises the input features, followed by stacked residual blocks (Advanced) or plain dense layers (Basic), and a two-layer head projecting to a single log-scale view output. Post-processing applies exp() and rescales to the million-view range, with the first forecast value anchored to the last historical data point to ensure visual and statistical continuity.</w:t>
      </w:r>
    </w:p>
    <w:p>
      <w:r>
        <w:br w:type="page"/>
      </w:r>
    </w:p>
    <w:p>
      <w:pPr>
        <w:spacing w:before="280" w:after="120"/>
      </w:pPr>
      <w:r>
        <w:rPr>
          <w:b/>
          <w:color w:val="1E40AF"/>
          <w:sz w:val="30"/>
        </w:rPr>
        <w:t>4.  Forecast Results  (2026 – 2028)</w:t>
      </w:r>
    </w:p>
    <w:p>
      <w:pPr>
        <w:pBdr>
          <w:bottom w:val="single" w:sz="6" w:space="1" w:color="1E40AF"/>
        </w:pBdr>
        <w:spacing w:before="40" w:after="160"/>
      </w:pPr>
    </w:p>
    <w:p>
      <w:pPr>
        <w:spacing w:after="120"/>
      </w:pPr>
      <w:r>
        <w:rPr>
          <w:b w:val="0"/>
          <w:sz w:val="21"/>
        </w:rPr>
        <w:t>The following sections present yearly forecast summaries for 2026, 2027, and 2028. Each section includes a spotlight chart that highlights the target year while dimming surrounding periods for clarity, followed by a statistical breakdown.</w:t>
      </w:r>
    </w:p>
    <w:p/>
    <w:p>
      <w:pPr>
        <w:spacing w:before="280" w:after="120"/>
      </w:pPr>
      <w:r>
        <w:rPr>
          <w:b/>
          <w:color w:val="1D4ED8"/>
          <w:sz w:val="26"/>
        </w:rPr>
        <w:t>4.1  2026 Forecast</w:t>
      </w:r>
    </w:p>
    <w:p>
      <w:pPr>
        <w:jc w:val="center"/>
      </w:pPr>
      <w:r>
        <w:rPr>
          <w:i/>
          <w:color w:val="64708C"/>
          <w:sz w:val="19"/>
        </w:rPr>
        <w:t>Figure 2 — 2026 Spotlight 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2958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02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58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rHeight w:val="408"/>
        </w:trPr>
        <w:tc>
          <w:tcPr>
            <w:tcW w:type="dxa" w:w="3135"/>
            <w:shd w:val="clear" w:color="auto" w:fill="1E40AF"/>
          </w:tcPr>
          <w:p>
            <w:r>
              <w:rPr>
                <w:b/>
                <w:color w:val="DAE4F5"/>
                <w:sz w:val="21"/>
              </w:rPr>
              <w:t>Metric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DAE4F5"/>
                <w:sz w:val="21"/>
              </w:rPr>
              <w:t>Basic Model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DAE4F5"/>
                <w:sz w:val="21"/>
              </w:rPr>
              <w:t>Advanced Model</w:t>
            </w:r>
          </w:p>
        </w:tc>
      </w:tr>
      <w:tr>
        <w:trPr>
          <w:trHeight w:val="408"/>
        </w:trPr>
        <w:tc>
          <w:tcPr>
            <w:tcW w:type="dxa" w:w="3135"/>
            <w:shd w:val="clear" w:color="auto" w:fill="FFFFFF"/>
          </w:tcPr>
          <w:p>
            <w:r>
              <w:rPr>
                <w:b/>
                <w:color w:val="1E40AF"/>
                <w:sz w:val="21"/>
              </w:rPr>
              <w:t>Annual Average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 w:val="0"/>
                <w:color w:val="1F2D3D"/>
                <w:sz w:val="21"/>
              </w:rPr>
              <w:t>0.1677M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 w:val="0"/>
                <w:color w:val="1F2D3D"/>
                <w:sz w:val="21"/>
              </w:rPr>
              <w:t>0.1696M</w:t>
            </w:r>
          </w:p>
        </w:tc>
      </w:tr>
      <w:tr>
        <w:trPr>
          <w:trHeight w:val="408"/>
        </w:trP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E40AF"/>
                <w:sz w:val="21"/>
              </w:rPr>
              <w:t>Monthly Peak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b w:val="0"/>
                <w:color w:val="1F2D3D"/>
                <w:sz w:val="21"/>
              </w:rPr>
              <w:t>0.1835M (Apr)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b w:val="0"/>
                <w:color w:val="1F2D3D"/>
                <w:sz w:val="21"/>
              </w:rPr>
              <w:t>0.1978M (Apr)</w:t>
            </w:r>
          </w:p>
        </w:tc>
      </w:tr>
      <w:tr>
        <w:trPr>
          <w:trHeight w:val="408"/>
        </w:trPr>
        <w:tc>
          <w:tcPr>
            <w:tcW w:type="dxa" w:w="3135"/>
            <w:shd w:val="clear" w:color="auto" w:fill="FFFFFF"/>
          </w:tcPr>
          <w:p>
            <w:r>
              <w:rPr>
                <w:b/>
                <w:color w:val="1E40AF"/>
                <w:sz w:val="21"/>
              </w:rPr>
              <w:t>Monthly Low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 w:val="0"/>
                <w:color w:val="1F2D3D"/>
                <w:sz w:val="21"/>
              </w:rPr>
              <w:t>0.1423M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 w:val="0"/>
                <w:color w:val="1F2D3D"/>
                <w:sz w:val="21"/>
              </w:rPr>
              <w:t>0.1549M</w:t>
            </w:r>
          </w:p>
        </w:tc>
      </w:tr>
      <w:tr>
        <w:trPr>
          <w:trHeight w:val="408"/>
        </w:trP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E40AF"/>
                <w:sz w:val="21"/>
              </w:rPr>
              <w:t>vs 2025 Avg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b w:val="0"/>
                <w:color w:val="34D399"/>
                <w:sz w:val="21"/>
              </w:rPr>
              <w:t>+57.3%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b w:val="0"/>
                <w:color w:val="34D399"/>
                <w:sz w:val="21"/>
              </w:rPr>
              <w:t>+59.2%</w:t>
            </w:r>
          </w:p>
        </w:tc>
      </w:tr>
    </w:tbl>
    <w:p/>
    <w:p>
      <w:pPr>
        <w:spacing w:after="120"/>
      </w:pPr>
      <w:r>
        <w:rPr>
          <w:b w:val="0"/>
          <w:color w:val="1F2D3D"/>
          <w:sz w:val="21"/>
        </w:rPr>
        <w:t>Interpretation: Both models are in close agreement for 2026, predicting an annual average of approximately 0.1687M views per month. High model consensus suggests a reliable forecast for this year.</w:t>
      </w:r>
    </w:p>
    <w:p>
      <w:r>
        <w:br w:type="page"/>
      </w:r>
    </w:p>
    <w:p/>
    <w:p>
      <w:pPr>
        <w:spacing w:before="280" w:after="120"/>
      </w:pPr>
      <w:r>
        <w:rPr>
          <w:b/>
          <w:color w:val="1D4ED8"/>
          <w:sz w:val="26"/>
        </w:rPr>
        <w:t>4.2  2027 Forecast</w:t>
      </w:r>
    </w:p>
    <w:p>
      <w:pPr>
        <w:jc w:val="center"/>
      </w:pPr>
      <w:r>
        <w:rPr>
          <w:i/>
          <w:color w:val="64708C"/>
          <w:sz w:val="19"/>
        </w:rPr>
        <w:t>Figure 3 — 2027 Spotlight 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2958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02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58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rHeight w:val="408"/>
        </w:trPr>
        <w:tc>
          <w:tcPr>
            <w:tcW w:type="dxa" w:w="3135"/>
            <w:shd w:val="clear" w:color="auto" w:fill="1E40AF"/>
          </w:tcPr>
          <w:p>
            <w:r>
              <w:rPr>
                <w:b/>
                <w:color w:val="DAE4F5"/>
                <w:sz w:val="21"/>
              </w:rPr>
              <w:t>Metric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DAE4F5"/>
                <w:sz w:val="21"/>
              </w:rPr>
              <w:t>Basic Model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DAE4F5"/>
                <w:sz w:val="21"/>
              </w:rPr>
              <w:t>Advanced Model</w:t>
            </w:r>
          </w:p>
        </w:tc>
      </w:tr>
      <w:tr>
        <w:trPr>
          <w:trHeight w:val="408"/>
        </w:trPr>
        <w:tc>
          <w:tcPr>
            <w:tcW w:type="dxa" w:w="3135"/>
            <w:shd w:val="clear" w:color="auto" w:fill="FFFFFF"/>
          </w:tcPr>
          <w:p>
            <w:r>
              <w:rPr>
                <w:b/>
                <w:color w:val="1E40AF"/>
                <w:sz w:val="21"/>
              </w:rPr>
              <w:t>Annual Average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 w:val="0"/>
                <w:color w:val="1F2D3D"/>
                <w:sz w:val="21"/>
              </w:rPr>
              <w:t>0.1663M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 w:val="0"/>
                <w:color w:val="1F2D3D"/>
                <w:sz w:val="21"/>
              </w:rPr>
              <w:t>0.1696M</w:t>
            </w:r>
          </w:p>
        </w:tc>
      </w:tr>
      <w:tr>
        <w:trPr>
          <w:trHeight w:val="408"/>
        </w:trP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E40AF"/>
                <w:sz w:val="21"/>
              </w:rPr>
              <w:t>Monthly Peak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b w:val="0"/>
                <w:color w:val="1F2D3D"/>
                <w:sz w:val="21"/>
              </w:rPr>
              <w:t>0.1820M (Apr)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b w:val="0"/>
                <w:color w:val="1F2D3D"/>
                <w:sz w:val="21"/>
              </w:rPr>
              <w:t>0.1978M (Apr)</w:t>
            </w:r>
          </w:p>
        </w:tc>
      </w:tr>
      <w:tr>
        <w:trPr>
          <w:trHeight w:val="408"/>
        </w:trPr>
        <w:tc>
          <w:tcPr>
            <w:tcW w:type="dxa" w:w="3135"/>
            <w:shd w:val="clear" w:color="auto" w:fill="FFFFFF"/>
          </w:tcPr>
          <w:p>
            <w:r>
              <w:rPr>
                <w:b/>
                <w:color w:val="1E40AF"/>
                <w:sz w:val="21"/>
              </w:rPr>
              <w:t>Monthly Low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 w:val="0"/>
                <w:color w:val="1F2D3D"/>
                <w:sz w:val="21"/>
              </w:rPr>
              <w:t>0.1410M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 w:val="0"/>
                <w:color w:val="1F2D3D"/>
                <w:sz w:val="21"/>
              </w:rPr>
              <w:t>0.1549M</w:t>
            </w:r>
          </w:p>
        </w:tc>
      </w:tr>
      <w:tr>
        <w:trPr>
          <w:trHeight w:val="408"/>
        </w:trP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E40AF"/>
                <w:sz w:val="21"/>
              </w:rPr>
              <w:t>vs 2025 Avg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b w:val="0"/>
                <w:color w:val="34D399"/>
                <w:sz w:val="21"/>
              </w:rPr>
              <w:t>+56.0%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b w:val="0"/>
                <w:color w:val="34D399"/>
                <w:sz w:val="21"/>
              </w:rPr>
              <w:t>+59.2%</w:t>
            </w:r>
          </w:p>
        </w:tc>
      </w:tr>
    </w:tbl>
    <w:p/>
    <w:p>
      <w:pPr>
        <w:spacing w:after="120"/>
      </w:pPr>
      <w:r>
        <w:rPr>
          <w:b w:val="0"/>
          <w:color w:val="1F2D3D"/>
          <w:sz w:val="21"/>
        </w:rPr>
        <w:t>Interpretation: Both models are in close agreement for 2027, predicting an annual average of approximately 0.1680M views per month. High model consensus suggests a reliable forecast for this year.</w:t>
      </w:r>
    </w:p>
    <w:p>
      <w:r>
        <w:br w:type="page"/>
      </w:r>
    </w:p>
    <w:p/>
    <w:p>
      <w:pPr>
        <w:spacing w:before="280" w:after="120"/>
      </w:pPr>
      <w:r>
        <w:rPr>
          <w:b/>
          <w:color w:val="1D4ED8"/>
          <w:sz w:val="26"/>
        </w:rPr>
        <w:t>4.3  2028 Forecast</w:t>
      </w:r>
    </w:p>
    <w:p>
      <w:pPr>
        <w:jc w:val="center"/>
      </w:pPr>
      <w:r>
        <w:rPr>
          <w:i/>
          <w:color w:val="64708C"/>
          <w:sz w:val="19"/>
        </w:rPr>
        <w:t>Figure 4 — 2028 Spotlight 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2958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02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58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rHeight w:val="408"/>
        </w:trPr>
        <w:tc>
          <w:tcPr>
            <w:tcW w:type="dxa" w:w="3135"/>
            <w:shd w:val="clear" w:color="auto" w:fill="1E40AF"/>
          </w:tcPr>
          <w:p>
            <w:r>
              <w:rPr>
                <w:b/>
                <w:color w:val="DAE4F5"/>
                <w:sz w:val="21"/>
              </w:rPr>
              <w:t>Metric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DAE4F5"/>
                <w:sz w:val="21"/>
              </w:rPr>
              <w:t>Basic Model</w:t>
            </w:r>
          </w:p>
        </w:tc>
        <w:tc>
          <w:tcPr>
            <w:tcW w:type="dxa" w:w="3135"/>
            <w:shd w:val="clear" w:color="auto" w:fill="1E40AF"/>
          </w:tcPr>
          <w:p>
            <w:r>
              <w:rPr>
                <w:b/>
                <w:color w:val="DAE4F5"/>
                <w:sz w:val="21"/>
              </w:rPr>
              <w:t>Advanced Model</w:t>
            </w:r>
          </w:p>
        </w:tc>
      </w:tr>
      <w:tr>
        <w:trPr>
          <w:trHeight w:val="408"/>
        </w:trPr>
        <w:tc>
          <w:tcPr>
            <w:tcW w:type="dxa" w:w="3135"/>
            <w:shd w:val="clear" w:color="auto" w:fill="FFFFFF"/>
          </w:tcPr>
          <w:p>
            <w:r>
              <w:rPr>
                <w:b/>
                <w:color w:val="1E40AF"/>
                <w:sz w:val="21"/>
              </w:rPr>
              <w:t>Annual Average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 w:val="0"/>
                <w:color w:val="1F2D3D"/>
                <w:sz w:val="21"/>
              </w:rPr>
              <w:t>0.1649M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 w:val="0"/>
                <w:color w:val="1F2D3D"/>
                <w:sz w:val="21"/>
              </w:rPr>
              <w:t>0.1696M</w:t>
            </w:r>
          </w:p>
        </w:tc>
      </w:tr>
      <w:tr>
        <w:trPr>
          <w:trHeight w:val="408"/>
        </w:trP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E40AF"/>
                <w:sz w:val="21"/>
              </w:rPr>
              <w:t>Monthly Peak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b w:val="0"/>
                <w:color w:val="1F2D3D"/>
                <w:sz w:val="21"/>
              </w:rPr>
              <w:t>0.1805M (Apr)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b w:val="0"/>
                <w:color w:val="1F2D3D"/>
                <w:sz w:val="21"/>
              </w:rPr>
              <w:t>0.1978M (Apr)</w:t>
            </w:r>
          </w:p>
        </w:tc>
      </w:tr>
      <w:tr>
        <w:trPr>
          <w:trHeight w:val="408"/>
        </w:trPr>
        <w:tc>
          <w:tcPr>
            <w:tcW w:type="dxa" w:w="3135"/>
            <w:shd w:val="clear" w:color="auto" w:fill="FFFFFF"/>
          </w:tcPr>
          <w:p>
            <w:r>
              <w:rPr>
                <w:b/>
                <w:color w:val="1E40AF"/>
                <w:sz w:val="21"/>
              </w:rPr>
              <w:t>Monthly Low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 w:val="0"/>
                <w:color w:val="1F2D3D"/>
                <w:sz w:val="21"/>
              </w:rPr>
              <w:t>0.1397M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 w:val="0"/>
                <w:color w:val="1F2D3D"/>
                <w:sz w:val="21"/>
              </w:rPr>
              <w:t>0.1549M</w:t>
            </w:r>
          </w:p>
        </w:tc>
      </w:tr>
      <w:tr>
        <w:trPr>
          <w:trHeight w:val="408"/>
        </w:trPr>
        <w:tc>
          <w:tcPr>
            <w:tcW w:type="dxa" w:w="3135"/>
            <w:shd w:val="clear" w:color="auto" w:fill="F0F4FF"/>
          </w:tcPr>
          <w:p>
            <w:r>
              <w:rPr>
                <w:b/>
                <w:color w:val="1E40AF"/>
                <w:sz w:val="21"/>
              </w:rPr>
              <w:t>vs 2025 Avg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b w:val="0"/>
                <w:color w:val="34D399"/>
                <w:sz w:val="21"/>
              </w:rPr>
              <w:t>+54.7%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b w:val="0"/>
                <w:color w:val="34D399"/>
                <w:sz w:val="21"/>
              </w:rPr>
              <w:t>+59.2%</w:t>
            </w:r>
          </w:p>
        </w:tc>
      </w:tr>
    </w:tbl>
    <w:p/>
    <w:p>
      <w:pPr>
        <w:spacing w:after="120"/>
      </w:pPr>
      <w:r>
        <w:rPr>
          <w:b w:val="0"/>
          <w:color w:val="1F2D3D"/>
          <w:sz w:val="21"/>
        </w:rPr>
        <w:t>Interpretation: Both models are in close agreement for 2028, predicting an annual average of approximately 0.1673M views per month. High model consensus suggests a reliable forecast for this year.</w:t>
      </w:r>
    </w:p>
    <w:p>
      <w:r>
        <w:br w:type="page"/>
      </w:r>
    </w:p>
    <w:p>
      <w:pPr>
        <w:spacing w:before="280" w:after="120"/>
      </w:pPr>
      <w:r>
        <w:rPr>
          <w:b/>
          <w:color w:val="1E40AF"/>
          <w:sz w:val="30"/>
        </w:rPr>
        <w:t>5.  Multi-Year Forecast Comparison</w:t>
      </w:r>
    </w:p>
    <w:p>
      <w:pPr>
        <w:pBdr>
          <w:bottom w:val="single" w:sz="6" w:space="1" w:color="1E40AF"/>
        </w:pBdr>
        <w:spacing w:before="40" w:after="160"/>
      </w:pPr>
    </w:p>
    <w:p>
      <w:pPr>
        <w:spacing w:after="120"/>
      </w:pPr>
      <w:r>
        <w:rPr>
          <w:b w:val="0"/>
          <w:sz w:val="21"/>
        </w:rPr>
        <w:t>The table below compares forecast averages and peaks across all three predicted years and both models, alongside the 2025 actual baseline.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rHeight w:val="408"/>
        </w:trPr>
        <w:tc>
          <w:tcPr>
            <w:tcW w:type="dxa" w:w="1881"/>
            <w:shd w:val="clear" w:color="auto" w:fill="1E40AF"/>
          </w:tcPr>
          <w:p>
            <w:r>
              <w:rPr>
                <w:b/>
                <w:color w:val="DAE4F5"/>
                <w:sz w:val="21"/>
              </w:rPr>
              <w:t>Year</w:t>
            </w:r>
          </w:p>
        </w:tc>
        <w:tc>
          <w:tcPr>
            <w:tcW w:type="dxa" w:w="1881"/>
            <w:shd w:val="clear" w:color="auto" w:fill="1E40AF"/>
          </w:tcPr>
          <w:p>
            <w:r>
              <w:rPr>
                <w:b/>
                <w:color w:val="DAE4F5"/>
                <w:sz w:val="21"/>
              </w:rPr>
              <w:t>Basic Avg</w:t>
            </w:r>
          </w:p>
        </w:tc>
        <w:tc>
          <w:tcPr>
            <w:tcW w:type="dxa" w:w="1881"/>
            <w:shd w:val="clear" w:color="auto" w:fill="1E40AF"/>
          </w:tcPr>
          <w:p>
            <w:r>
              <w:rPr>
                <w:b/>
                <w:color w:val="DAE4F5"/>
                <w:sz w:val="21"/>
              </w:rPr>
              <w:t>Basic Peak</w:t>
            </w:r>
          </w:p>
        </w:tc>
        <w:tc>
          <w:tcPr>
            <w:tcW w:type="dxa" w:w="1881"/>
            <w:shd w:val="clear" w:color="auto" w:fill="1E40AF"/>
          </w:tcPr>
          <w:p>
            <w:r>
              <w:rPr>
                <w:b/>
                <w:color w:val="DAE4F5"/>
                <w:sz w:val="21"/>
              </w:rPr>
              <w:t>Adv Avg</w:t>
            </w:r>
          </w:p>
        </w:tc>
        <w:tc>
          <w:tcPr>
            <w:tcW w:type="dxa" w:w="1881"/>
            <w:shd w:val="clear" w:color="auto" w:fill="1E40AF"/>
          </w:tcPr>
          <w:p>
            <w:r>
              <w:rPr>
                <w:b/>
                <w:color w:val="DAE4F5"/>
                <w:sz w:val="21"/>
              </w:rPr>
              <w:t>Adv Peak</w:t>
            </w:r>
          </w:p>
        </w:tc>
      </w:tr>
      <w:tr>
        <w:trPr>
          <w:trHeight w:val="408"/>
        </w:trPr>
        <w:tc>
          <w:tcPr>
            <w:tcW w:type="dxa" w:w="1881"/>
            <w:shd w:val="clear" w:color="auto" w:fill="E8F0FE"/>
          </w:tcPr>
          <w:p>
            <w:r>
              <w:rPr>
                <w:b/>
                <w:color w:val="1E40AF"/>
                <w:sz w:val="21"/>
              </w:rPr>
              <w:t>2025 (actual)</w:t>
            </w:r>
          </w:p>
        </w:tc>
        <w:tc>
          <w:tcPr>
            <w:tcW w:type="dxa" w:w="1881"/>
            <w:shd w:val="clear" w:color="auto" w:fill="E8F0FE"/>
          </w:tcPr>
          <w:p>
            <w:r>
              <w:rPr>
                <w:b w:val="0"/>
                <w:color w:val="1E40AF"/>
                <w:sz w:val="21"/>
              </w:rPr>
              <w:t>0.1066M</w:t>
            </w:r>
          </w:p>
        </w:tc>
        <w:tc>
          <w:tcPr>
            <w:tcW w:type="dxa" w:w="1881"/>
            <w:shd w:val="clear" w:color="auto" w:fill="E8F0FE"/>
          </w:tcPr>
          <w:p>
            <w:r>
              <w:rPr>
                <w:b w:val="0"/>
                <w:color w:val="1E40AF"/>
                <w:sz w:val="21"/>
              </w:rPr>
              <w:t>—</w:t>
            </w:r>
          </w:p>
        </w:tc>
        <w:tc>
          <w:tcPr>
            <w:tcW w:type="dxa" w:w="1881"/>
            <w:shd w:val="clear" w:color="auto" w:fill="E8F0FE"/>
          </w:tcPr>
          <w:p>
            <w:r>
              <w:rPr>
                <w:b w:val="0"/>
                <w:color w:val="1E40AF"/>
                <w:sz w:val="21"/>
              </w:rPr>
              <w:t>0.1066M</w:t>
            </w:r>
          </w:p>
        </w:tc>
        <w:tc>
          <w:tcPr>
            <w:tcW w:type="dxa" w:w="1881"/>
            <w:shd w:val="clear" w:color="auto" w:fill="E8F0FE"/>
          </w:tcPr>
          <w:p>
            <w:r>
              <w:rPr>
                <w:b w:val="0"/>
                <w:color w:val="1E40AF"/>
                <w:sz w:val="21"/>
              </w:rPr>
              <w:t>—</w:t>
            </w:r>
          </w:p>
        </w:tc>
      </w:tr>
      <w:tr>
        <w:trPr>
          <w:trHeight w:val="408"/>
        </w:trPr>
        <w:tc>
          <w:tcPr>
            <w:tcW w:type="dxa" w:w="1881"/>
            <w:shd w:val="clear" w:color="auto" w:fill="F0F4FF"/>
          </w:tcPr>
          <w:p>
            <w:r>
              <w:rPr>
                <w:b/>
                <w:color w:val="1E40AF"/>
                <w:sz w:val="21"/>
              </w:rPr>
              <w:t>2026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b w:val="0"/>
                <w:color w:val="1F2D3D"/>
                <w:sz w:val="21"/>
              </w:rPr>
              <w:t>0.1677M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b w:val="0"/>
                <w:color w:val="1F2D3D"/>
                <w:sz w:val="21"/>
              </w:rPr>
              <w:t>0.1835M (Apr)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b w:val="0"/>
                <w:color w:val="1F2D3D"/>
                <w:sz w:val="21"/>
              </w:rPr>
              <w:t>0.1696M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b w:val="0"/>
                <w:color w:val="1F2D3D"/>
                <w:sz w:val="21"/>
              </w:rPr>
              <w:t>0.1978M (Apr)</w:t>
            </w:r>
          </w:p>
        </w:tc>
      </w:tr>
      <w:tr>
        <w:trPr>
          <w:trHeight w:val="408"/>
        </w:trPr>
        <w:tc>
          <w:tcPr>
            <w:tcW w:type="dxa" w:w="1881"/>
            <w:shd w:val="clear" w:color="auto" w:fill="FFFFFF"/>
          </w:tcPr>
          <w:p>
            <w:r>
              <w:rPr>
                <w:b/>
                <w:color w:val="1E40AF"/>
                <w:sz w:val="21"/>
              </w:rPr>
              <w:t>2027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color w:val="1F2D3D"/>
                <w:sz w:val="21"/>
              </w:rPr>
              <w:t>0.1663M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color w:val="1F2D3D"/>
                <w:sz w:val="21"/>
              </w:rPr>
              <w:t>0.1820M (Apr)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color w:val="1F2D3D"/>
                <w:sz w:val="21"/>
              </w:rPr>
              <w:t>0.1696M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color w:val="1F2D3D"/>
                <w:sz w:val="21"/>
              </w:rPr>
              <w:t>0.1978M (Apr)</w:t>
            </w:r>
          </w:p>
        </w:tc>
      </w:tr>
      <w:tr>
        <w:trPr>
          <w:trHeight w:val="408"/>
        </w:trPr>
        <w:tc>
          <w:tcPr>
            <w:tcW w:type="dxa" w:w="1881"/>
            <w:shd w:val="clear" w:color="auto" w:fill="F0F4FF"/>
          </w:tcPr>
          <w:p>
            <w:r>
              <w:rPr>
                <w:b/>
                <w:color w:val="1E40AF"/>
                <w:sz w:val="21"/>
              </w:rPr>
              <w:t>2028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b w:val="0"/>
                <w:color w:val="1F2D3D"/>
                <w:sz w:val="21"/>
              </w:rPr>
              <w:t>0.1649M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b w:val="0"/>
                <w:color w:val="1F2D3D"/>
                <w:sz w:val="21"/>
              </w:rPr>
              <w:t>0.1805M (Apr)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b w:val="0"/>
                <w:color w:val="1F2D3D"/>
                <w:sz w:val="21"/>
              </w:rPr>
              <w:t>0.1696M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b w:val="0"/>
                <w:color w:val="1F2D3D"/>
                <w:sz w:val="21"/>
              </w:rPr>
              <w:t>0.1978M (Apr)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Observation: The Basic model projects a gradual year-over-year decline in average monthly views (-0.8% from 2026 to 2027, -0.8% from 2027 to 2028), while the Advanced model predicts a stable plateau with consistent seasonal cycles. April is the peak engagement month predicted by both models in all three forecast years.</w:t>
      </w:r>
    </w:p>
    <w:p>
      <w:r>
        <w:br w:type="page"/>
      </w:r>
    </w:p>
    <w:p>
      <w:pPr>
        <w:spacing w:before="280" w:after="120"/>
      </w:pPr>
      <w:r>
        <w:rPr>
          <w:b/>
          <w:color w:val="1E40AF"/>
          <w:sz w:val="30"/>
        </w:rPr>
        <w:t>6.  Methodology &amp; Limitations</w:t>
      </w:r>
    </w:p>
    <w:p>
      <w:pPr>
        <w:pBdr>
          <w:bottom w:val="single" w:sz="6" w:space="1" w:color="1E40AF"/>
        </w:pBdr>
        <w:spacing w:before="40" w:after="160"/>
      </w:pPr>
    </w:p>
    <w:p>
      <w:pPr>
        <w:spacing w:after="80"/>
      </w:pPr>
      <w:r>
        <w:rPr>
          <w:b/>
          <w:color w:val="1E40AF"/>
          <w:sz w:val="22"/>
        </w:rPr>
        <w:t>Methodology:</w:t>
      </w:r>
    </w:p>
    <w:p>
      <w:pPr>
        <w:pStyle w:val="ListBullet"/>
        <w:spacing w:after="60"/>
      </w:pPr>
      <w:r>
        <w:rPr>
          <w:sz w:val="21"/>
        </w:rPr>
        <w:t>Historical monthly view data was loaded from structured JSON and converted to million-unit float values.</w:t>
      </w:r>
    </w:p>
    <w:p>
      <w:pPr>
        <w:pStyle w:val="ListBullet"/>
        <w:spacing w:after="60"/>
      </w:pPr>
      <w:r>
        <w:rPr>
          <w:sz w:val="21"/>
        </w:rPr>
        <w:t>Two MLP models (Basic and Advanced) were pre-trained offline; their weights were serialised to JSON and loaded at runtime.</w:t>
      </w:r>
    </w:p>
    <w:p>
      <w:pPr>
        <w:pStyle w:val="ListBullet"/>
        <w:spacing w:after="60"/>
      </w:pPr>
      <w:r>
        <w:rPr>
          <w:sz w:val="21"/>
        </w:rPr>
        <w:t>Subscriber growth was modelled as a linear slope per month appended to each monthly feature vector.</w:t>
      </w:r>
    </w:p>
    <w:p>
      <w:pPr>
        <w:pStyle w:val="ListBullet"/>
        <w:spacing w:after="60"/>
      </w:pPr>
      <w:r>
        <w:rPr>
          <w:sz w:val="21"/>
        </w:rPr>
        <w:t>Predictions are log-scale outputs, exponentiated and rescaled. The first forecast value is anchored to the last historical observation to eliminate discontinuity.</w:t>
      </w:r>
    </w:p>
    <w:p>
      <w:pPr>
        <w:pStyle w:val="ListBullet"/>
        <w:spacing w:after="60"/>
      </w:pPr>
      <w:r>
        <w:rPr>
          <w:sz w:val="21"/>
        </w:rPr>
        <w:t>Forecast accuracy is evaluated on a held-out validation set (63% for Basic, 99% for Advanced).</w:t>
      </w:r>
    </w:p>
    <w:p/>
    <w:p>
      <w:pPr>
        <w:spacing w:after="80"/>
      </w:pPr>
      <w:r>
        <w:rPr>
          <w:b/>
          <w:color w:val="B44545"/>
          <w:sz w:val="22"/>
        </w:rPr>
        <w:t>Limitations:</w:t>
      </w:r>
    </w:p>
    <w:p>
      <w:pPr>
        <w:pStyle w:val="ListBullet"/>
        <w:spacing w:after="60"/>
      </w:pPr>
      <w:r>
        <w:rPr>
          <w:sz w:val="21"/>
        </w:rPr>
        <w:t>The models were trained on historical trends only; external shocks (viral events, platform policy changes, competitor activity) are not captured.</w:t>
      </w:r>
    </w:p>
    <w:p>
      <w:pPr>
        <w:pStyle w:val="ListBullet"/>
        <w:spacing w:after="60"/>
      </w:pPr>
      <w:r>
        <w:rPr>
          <w:sz w:val="21"/>
        </w:rPr>
        <w:t>The Basic model's 63% accuracy implies substantial uncertainty over a 36-month horizon.</w:t>
      </w:r>
    </w:p>
    <w:p>
      <w:pPr>
        <w:pStyle w:val="ListBullet"/>
        <w:spacing w:after="60"/>
      </w:pPr>
      <w:r>
        <w:rPr>
          <w:sz w:val="21"/>
        </w:rPr>
        <w:t>Subscriber growth is modelled as a fixed linear slope, which may not reflect actual channel dynamics.</w:t>
      </w:r>
    </w:p>
    <w:p>
      <w:pPr>
        <w:pStyle w:val="ListBullet"/>
        <w:spacing w:after="60"/>
      </w:pPr>
      <w:r>
        <w:rPr>
          <w:sz w:val="21"/>
        </w:rPr>
        <w:t>Seasonal templates are derived from historical patterns; structural shifts in audience behaviour post-2025 are not accounted for.</w:t>
      </w:r>
    </w:p>
    <w:p>
      <w:pPr>
        <w:pStyle w:val="ListBullet"/>
        <w:spacing w:after="60"/>
      </w:pPr>
      <w:r>
        <w:rPr>
          <w:sz w:val="21"/>
        </w:rPr>
        <w:t>These forecasts should be treated as indicative ranges, not precise point estimates.</w:t>
      </w:r>
    </w:p>
    <w:p>
      <w:r>
        <w:br w:type="page"/>
      </w:r>
    </w:p>
    <w:p>
      <w:pPr>
        <w:spacing w:before="280" w:after="120"/>
      </w:pPr>
      <w:r>
        <w:rPr>
          <w:b/>
          <w:color w:val="1E40AF"/>
          <w:sz w:val="30"/>
        </w:rPr>
        <w:t>7.  Conclusion</w:t>
      </w:r>
    </w:p>
    <w:p>
      <w:pPr>
        <w:pBdr>
          <w:bottom w:val="single" w:sz="6" w:space="1" w:color="1E40AF"/>
        </w:pBdr>
        <w:spacing w:before="40" w:after="160"/>
      </w:pPr>
    </w:p>
    <w:p>
      <w:pPr>
        <w:spacing w:after="120"/>
      </w:pPr>
      <w:r>
        <w:rPr>
          <w:b w:val="0"/>
          <w:sz w:val="21"/>
        </w:rPr>
        <w:t>Based on 73 months of actual YouTube view data and two independently-trained AI models, this report projects monthly average views in the range of 0.142M – 0.198M through 2028. The channel's growth trajectory — which peaked at 0.180M in 2026-01 — is expected to stabilise at levels significantly above the 2025 average of 0.107M.</w:t>
      </w:r>
    </w:p>
    <w:p/>
    <w:p>
      <w:pPr>
        <w:spacing w:after="120"/>
      </w:pPr>
      <w:r>
        <w:rPr>
          <w:b w:val="0"/>
          <w:sz w:val="21"/>
        </w:rPr>
        <w:t>The Advanced model's stability forecast and the Basic model's mild-decline forecast together define a plausible performance corridor. Planning based on the Advanced model's output as an optimistic benchmark and the Basic model as a conservative floor is recommended.</w:t>
      </w:r>
    </w:p>
    <w:p/>
    <w:p>
      <w:pPr>
        <w:spacing w:after="120"/>
      </w:pPr>
      <w:r>
        <w:rPr>
          <w:b w:val="0"/>
          <w:sz w:val="21"/>
        </w:rPr>
        <w:t>April consistently ranks as the highest-engagement month in all forecast years, suggesting content scheduling should prioritise this window for maximum reach.</w:t>
      </w:r>
    </w:p>
    <w:p/>
    <w:p>
      <w:pPr>
        <w:pBdr>
          <w:bottom w:val="single" w:sz="6" w:space="1" w:color="1E40AF"/>
        </w:pBdr>
        <w:spacing w:before="40" w:after="160"/>
      </w:pPr>
    </w:p>
    <w:p>
      <w:pPr>
        <w:jc w:val="center"/>
      </w:pPr>
      <w:r>
        <w:rPr>
          <w:i/>
          <w:color w:val="64708C"/>
          <w:sz w:val="17"/>
        </w:rPr>
        <w:t>Lightgo Analytics  ·  YouTube Views Prediction Report  ·  April 2026  ·  Confidential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