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vAlign w:val="top"/>
          </w:tcPr>
          <w:p>
            <w:pPr>
              <w:spacing w:before="4092"/>
            </w:pPr>
          </w:p>
          <w:p>
            <w:pPr>
              <w:pBdr>
                <w:bottom w:val="single" w:color="C9A84C" w:sz="6" w:space="8"/>
              </w:pBdr>
              <w:spacing w:after="500"/>
              <w:ind w:left="1200" w:right="800"/>
            </w:pPr>
            <w:r>
              <w:rPr>
                <w:rFonts w:ascii="Arial" w:eastAsia="SimHei"/>
                <w:color w:val="C9A84C"/>
                <w:spacing w:val="40"/>
                <w:sz w:val="18"/>
                <w:szCs w:val="18"/>
              </w:rPr>
              <w:t xml:space="preserve">S  T  R  A  T  E  G  Y     R  E  S  E  A  R  C  H     C  O  M  P  E  N  D  I  U  M</w:t>
            </w:r>
          </w:p>
          <w:p>
            <w:pPr>
              <w:spacing w:after="100" w:line="920" w:lineRule="atLeast"/>
              <w:ind w:left="1200"/>
            </w:pPr>
            <w:r>
              <w:rPr>
                <w:rFonts w:ascii="Times New Roman" w:eastAsia="SimHei"/>
                <w:b/>
                <w:bCs/>
                <w:color w:val="FFFFFF"/>
                <w:sz w:val="80"/>
                <w:szCs w:val="80"/>
              </w:rPr>
              <w:t xml:space="preserve">Global Trading Strategy</w:t>
            </w:r>
          </w:p>
          <w:p>
            <w:pPr>
              <w:spacing w:after="300" w:line="920" w:lineRule="atLeast"/>
              <w:ind w:left="1200"/>
            </w:pPr>
            <w:r>
              <w:rPr>
                <w:rFonts w:ascii="Times New Roman" w:eastAsia="SimHei"/>
                <w:b/>
                <w:bCs/>
                <w:color w:val="FFFFFF"/>
                <w:sz w:val="80"/>
                <w:szCs w:val="80"/>
              </w:rPr>
              <w:t xml:space="preserve">&amp; Pine Script Glossary</w:t>
            </w:r>
          </w:p>
          <w:p>
            <w:pPr>
              <w:spacing w:after="800"/>
              <w:ind w:left="1200" w:right="800"/>
            </w:pPr>
            <w:r>
              <w:rPr>
                <w:rFonts w:ascii="Times New Roman" w:eastAsia="Microsoft YaHei"/>
                <w:color w:val="B0B8C0"/>
                <w:sz w:val="24"/>
                <w:szCs w:val="24"/>
              </w:rPr>
              <w:t xml:space="preserve">A deduplicated compendium of unique trading systems from archives, communities, databases, and practitioner blogs — with dedicated coverage of China and the Russia/CIS ecosystem</w:t>
            </w:r>
          </w:p>
          <w:p>
            <w:pPr>
              <w:pBdr>
                <w:left w:val="single" w:color="C9A84C" w:sz="8" w:space="12"/>
              </w:pBdr>
              <w:spacing w:after="80"/>
              <w:ind w:left="1400"/>
            </w:pPr>
            <w:r>
              <w:rPr>
                <w:rFonts w:ascii="Times New Roman" w:eastAsia="Microsoft YaHei"/>
                <w:color w:val="90989F"/>
                <w:sz w:val="24"/>
                <w:szCs w:val="24"/>
              </w:rPr>
              <w:t xml:space="preserve">189 unique entries across 14 strategy families</w:t>
            </w:r>
          </w:p>
          <w:p>
            <w:pPr>
              <w:pBdr>
                <w:left w:val="single" w:color="C9A84C" w:sz="8" w:space="12"/>
              </w:pBdr>
              <w:spacing w:after="80"/>
              <w:ind w:left="1400"/>
            </w:pPr>
            <w:r>
              <w:rPr>
                <w:rFonts w:ascii="Times New Roman" w:eastAsia="Microsoft YaHei"/>
                <w:color w:val="90989F"/>
                <w:sz w:val="24"/>
                <w:szCs w:val="24"/>
              </w:rPr>
              <w:t xml:space="preserve">43 Pine Script v5 reference implementations</w:t>
            </w:r>
          </w:p>
          <w:p>
            <w:pPr>
              <w:pBdr>
                <w:left w:val="single" w:color="C9A84C" w:sz="8" w:space="12"/>
              </w:pBdr>
              <w:spacing w:after="80"/>
              <w:ind w:left="1400"/>
            </w:pPr>
            <w:r>
              <w:rPr>
                <w:rFonts w:ascii="Times New Roman" w:eastAsia="Microsoft YaHei"/>
                <w:color w:val="90989F"/>
                <w:sz w:val="24"/>
                <w:szCs w:val="24"/>
              </w:rPr>
              <w:t xml:space="preserve">189 entries with duplicate variants eliminated and mapped</w:t>
            </w:r>
          </w:p>
          <w:p>
            <w:pPr>
              <w:pBdr>
                <w:left w:val="single" w:color="C9A84C" w:sz="8" w:space="12"/>
              </w:pBdr>
              <w:spacing w:after="80"/>
              <w:ind w:left="1400"/>
            </w:pPr>
            <w:r>
              <w:rPr>
                <w:rFonts w:ascii="Times New Roman" w:eastAsia="Microsoft YaHei"/>
                <w:color w:val="90989F"/>
                <w:sz w:val="24"/>
                <w:szCs w:val="24"/>
              </w:rPr>
              <w:t xml:space="preserve">Survey window: October 2026</w:t>
            </w:r>
          </w:p>
          <w:p>
            <w:pPr>
              <w:spacing w:before="4092"/>
            </w:pPr>
          </w:p>
          <w:p>
            <w:pPr>
              <w:pBdr>
                <w:top w:val="single" w:color="C9A84C" w:sz="2" w:space="8"/>
              </w:pBdr>
              <w:spacing w:before="200"/>
              <w:ind w:left="1200" w:right="800"/>
            </w:pPr>
            <w:r>
              <w:rPr>
                <w:rFonts w:ascii="Times New Roman"/>
                <w:color w:val="687078"/>
                <w:sz w:val="16"/>
                <w:szCs w:val="16"/>
              </w:rPr>
              <w:t xml:space="preserve">Quantitative Research Compilation</w:t>
            </w:r>
            <w:r>
              <w:t xml:space="preserve">                                        </w:t>
            </w:r>
            <w:r>
              <w:rPr>
                <w:rFonts w:ascii="Times New Roman"/>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Microsoft YaHei"/>
          <w:b/>
          <w:bCs/>
          <w:color w:val="1A1A1A"/>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Part I — Scope, Method, and Reading Guide</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Part I — Scope, Method, and Reading Guide</w:t>
          </w:r>
          <w:r>
            <w:tab/>
          </w:r>
          <w:r>
            <w:t>1</w:t>
          </w:r>
        </w:p>
        <w:p>
          <w:pPr>
            <w:pStyle w:val="TOC2"/>
            <w:ind w:left="360"/>
            <w:tabs>
              <w:tab w:val="right" w:leader="dot" w:pos="9026"/>
            </w:tabs>
            <w:spacing w:before="120" w:after="60"/>
          </w:pPr>
          <w:r>
            <w:t>1.1  Scope: What Counts as a Unique Strategy</w:t>
          </w:r>
          <w:r>
            <w:tab/>
          </w:r>
          <w:r>
            <w:t>2</w:t>
          </w:r>
        </w:p>
        <w:p>
          <w:pPr>
            <w:pStyle w:val="TOC2"/>
            <w:ind w:left="360"/>
            <w:tabs>
              <w:tab w:val="right" w:leader="dot" w:pos="9026"/>
            </w:tabs>
            <w:spacing w:before="120" w:after="60"/>
          </w:pPr>
          <w:r>
            <w:t>1.2  Method: Survey, Extraction, and Deduplication</w:t>
          </w:r>
          <w:r>
            <w:tab/>
          </w:r>
          <w:r>
            <w:t>3</w:t>
          </w:r>
        </w:p>
        <w:p>
          <w:pPr>
            <w:pStyle w:val="TOC2"/>
            <w:ind w:left="360"/>
            <w:tabs>
              <w:tab w:val="right" w:leader="dot" w:pos="9026"/>
            </w:tabs>
            <w:spacing w:before="120" w:after="60"/>
          </w:pPr>
          <w:r>
            <w:t>1.3  How to Read an Entry</w:t>
          </w:r>
          <w:r>
            <w:tab/>
          </w:r>
          <w:r>
            <w:t>4</w:t>
          </w:r>
        </w:p>
        <w:p>
          <w:pPr>
            <w:pStyle w:val="TOC2"/>
            <w:ind w:left="360"/>
            <w:tabs>
              <w:tab w:val="right" w:leader="dot" w:pos="9026"/>
            </w:tabs>
            <w:spacing w:before="120" w:after="60"/>
          </w:pPr>
          <w:r>
            <w:t>1.4  Master Index</w:t>
          </w:r>
          <w:r>
            <w:tab/>
          </w:r>
          <w:r>
            <w:t>5</w:t>
          </w:r>
        </w:p>
        <w:p>
          <w:pPr>
            <w:pStyle w:val="TOC1"/>
            <w:tabs>
              <w:tab w:val="right" w:leader="dot" w:pos="9026"/>
            </w:tabs>
            <w:spacing w:before="120" w:after="60"/>
          </w:pPr>
          <w:r>
            <w:t>Part II — The Strategy Families</w:t>
          </w:r>
          <w:r>
            <w:tab/>
          </w:r>
          <w:r>
            <w:t>6</w:t>
          </w:r>
        </w:p>
        <w:p>
          <w:pPr>
            <w:pStyle w:val="TOC2"/>
            <w:ind w:left="360"/>
            <w:tabs>
              <w:tab w:val="right" w:leader="dot" w:pos="9026"/>
            </w:tabs>
            <w:spacing w:before="120" w:after="60"/>
          </w:pPr>
          <w:r>
            <w:t>Family A — Trend Following &amp;amp; Momentum (TR)</w:t>
          </w:r>
          <w:r>
            <w:tab/>
          </w:r>
          <w:r>
            <w:t>7</w:t>
          </w:r>
        </w:p>
        <w:p>
          <w:pPr>
            <w:pStyle w:val="TOC2"/>
            <w:ind w:left="360"/>
            <w:tabs>
              <w:tab w:val="right" w:leader="dot" w:pos="9026"/>
            </w:tabs>
            <w:spacing w:before="120" w:after="60"/>
          </w:pPr>
          <w:r>
            <w:t>Family B — Mean Reversion &amp;amp; Oscillator Systems (MR)</w:t>
          </w:r>
          <w:r>
            <w:tab/>
          </w:r>
          <w:r>
            <w:t>8</w:t>
          </w:r>
        </w:p>
        <w:p>
          <w:pPr>
            <w:pStyle w:val="TOC2"/>
            <w:ind w:left="360"/>
            <w:tabs>
              <w:tab w:val="right" w:leader="dot" w:pos="9026"/>
            </w:tabs>
            <w:spacing w:before="120" w:after="60"/>
          </w:pPr>
          <w:r>
            <w:t>Family C — Breakout &amp;amp; Volatility Expansion (BK)</w:t>
          </w:r>
          <w:r>
            <w:tab/>
          </w:r>
          <w:r>
            <w:t>9</w:t>
          </w:r>
        </w:p>
        <w:p>
          <w:pPr>
            <w:pStyle w:val="TOC2"/>
            <w:ind w:left="360"/>
            <w:tabs>
              <w:tab w:val="right" w:leader="dot" w:pos="9026"/>
            </w:tabs>
            <w:spacing w:before="120" w:after="60"/>
          </w:pPr>
          <w:r>
            <w:t>Family D — Price Action, Patterns &amp;amp; Smart Money (PA)</w:t>
          </w:r>
          <w:r>
            <w:tab/>
          </w:r>
          <w:r>
            <w:t>10</w:t>
          </w:r>
        </w:p>
        <w:p>
          <w:pPr>
            <w:pStyle w:val="TOC2"/>
            <w:ind w:left="360"/>
            <w:tabs>
              <w:tab w:val="right" w:leader="dot" w:pos="9026"/>
            </w:tabs>
            <w:spacing w:before="120" w:after="60"/>
          </w:pPr>
          <w:r>
            <w:t>Family E — Indicator Hybrids &amp;amp; Cycle Tools (IH)</w:t>
          </w:r>
          <w:r>
            <w:tab/>
          </w:r>
          <w:r>
            <w:t>11</w:t>
          </w:r>
        </w:p>
        <w:p>
          <w:pPr>
            <w:pStyle w:val="TOC2"/>
            <w:ind w:left="360"/>
            <w:tabs>
              <w:tab w:val="right" w:leader="dot" w:pos="9026"/>
            </w:tabs>
            <w:spacing w:before="120" w:after="60"/>
          </w:pPr>
          <w:r>
            <w:t>Family F — Volume, Order Flow &amp;amp; Market Profile (VO)</w:t>
          </w:r>
          <w:r>
            <w:tab/>
          </w:r>
          <w:r>
            <w:t>12</w:t>
          </w:r>
        </w:p>
        <w:p>
          <w:pPr>
            <w:pStyle w:val="TOC2"/>
            <w:ind w:left="360"/>
            <w:tabs>
              <w:tab w:val="right" w:leader="dot" w:pos="9026"/>
            </w:tabs>
            <w:spacing w:before="120" w:after="60"/>
          </w:pPr>
          <w:r>
            <w:t>Family G — Session, Time &amp;amp; Calendar Edges (SE)</w:t>
          </w:r>
          <w:r>
            <w:tab/>
          </w:r>
          <w:r>
            <w:t>13</w:t>
          </w:r>
        </w:p>
        <w:p>
          <w:pPr>
            <w:pStyle w:val="TOC2"/>
            <w:ind w:left="360"/>
            <w:tabs>
              <w:tab w:val="right" w:leader="dot" w:pos="9026"/>
            </w:tabs>
            <w:spacing w:before="120" w:after="60"/>
          </w:pPr>
          <w:r>
            <w:t>Family H — Grid, Martingale &amp;amp; Averaging Systems (GR)</w:t>
          </w:r>
          <w:r>
            <w:tab/>
          </w:r>
          <w:r>
            <w:t>14</w:t>
          </w:r>
        </w:p>
        <w:p>
          <w:pPr>
            <w:pStyle w:val="TOC2"/>
            <w:ind w:left="360"/>
            <w:tabs>
              <w:tab w:val="right" w:leader="dot" w:pos="9026"/>
            </w:tabs>
            <w:spacing w:before="120" w:after="60"/>
          </w:pPr>
          <w:r>
            <w:t>Family I — China-Specific Systems (A-Share &amp;amp; CN Futures) (CN)</w:t>
          </w:r>
          <w:r>
            <w:tab/>
          </w:r>
          <w:r>
            <w:t>15</w:t>
          </w:r>
        </w:p>
        <w:p>
          <w:pPr>
            <w:pStyle w:val="TOC2"/>
            <w:ind w:left="360"/>
            <w:tabs>
              <w:tab w:val="right" w:leader="dot" w:pos="9026"/>
            </w:tabs>
            <w:spacing w:before="120" w:after="60"/>
          </w:pPr>
          <w:r>
            <w:t>Family J — Russia/CIS-Specific Systems (RU)</w:t>
          </w:r>
          <w:r>
            <w:tab/>
          </w:r>
          <w:r>
            <w:t>16</w:t>
          </w:r>
        </w:p>
        <w:p>
          <w:pPr>
            <w:pStyle w:val="TOC2"/>
            <w:ind w:left="360"/>
            <w:tabs>
              <w:tab w:val="right" w:leader="dot" w:pos="9026"/>
            </w:tabs>
            <w:spacing w:before="120" w:after="60"/>
          </w:pPr>
          <w:r>
            <w:t>Family K — Statistical, Factor &amp;amp; Arbitrage Systems (ST)</w:t>
          </w:r>
          <w:r>
            <w:tab/>
          </w:r>
          <w:r>
            <w:t>17</w:t>
          </w:r>
        </w:p>
        <w:p>
          <w:pPr>
            <w:pStyle w:val="TOC2"/>
            <w:ind w:left="360"/>
            <w:tabs>
              <w:tab w:val="right" w:leader="dot" w:pos="9026"/>
            </w:tabs>
            <w:spacing w:before="120" w:after="60"/>
          </w:pPr>
          <w:r>
            <w:t>Family L — Crypto-Native Systems (CR)</w:t>
          </w:r>
          <w:r>
            <w:tab/>
          </w:r>
          <w:r>
            <w:t>18</w:t>
          </w:r>
        </w:p>
        <w:p>
          <w:pPr>
            <w:pStyle w:val="TOC2"/>
            <w:ind w:left="360"/>
            <w:tabs>
              <w:tab w:val="right" w:leader="dot" w:pos="9026"/>
            </w:tabs>
            <w:spacing w:before="120" w:after="60"/>
          </w:pPr>
          <w:r>
            <w:t>Family M — Machine Learning &amp;amp; AI Systems (ML)</w:t>
          </w:r>
          <w:r>
            <w:tab/>
          </w:r>
          <w:r>
            <w:t>19</w:t>
          </w:r>
        </w:p>
        <w:p>
          <w:pPr>
            <w:pStyle w:val="TOC2"/>
            <w:ind w:left="360"/>
            <w:tabs>
              <w:tab w:val="right" w:leader="dot" w:pos="9026"/>
            </w:tabs>
            <w:spacing w:before="120" w:after="60"/>
          </w:pPr>
          <w:r>
            <w:t>Family N — Risk, Sizing &amp;amp; Execution (RX)</w:t>
          </w:r>
          <w:r>
            <w:tab/>
          </w:r>
          <w:r>
            <w:t>20</w:t>
          </w:r>
        </w:p>
        <w:p>
          <w:pPr>
            <w:pStyle w:val="TOC1"/>
            <w:tabs>
              <w:tab w:val="right" w:leader="dot" w:pos="9026"/>
            </w:tabs>
            <w:spacing w:before="120" w:after="60"/>
          </w:pPr>
          <w:r>
            <w:t>Appendices</w:t>
          </w:r>
          <w:r>
            <w:tab/>
          </w:r>
          <w:r>
            <w:t>21</w:t>
          </w:r>
        </w:p>
        <w:p>
          <w:pPr>
            <w:pStyle w:val="TOC2"/>
            <w:ind w:left="360"/>
            <w:tabs>
              <w:tab w:val="right" w:leader="dot" w:pos="9026"/>
            </w:tabs>
            <w:spacing w:before="120" w:after="60"/>
          </w:pPr>
          <w:r>
            <w:t>Appendix A — Deduplication Map</w:t>
          </w:r>
          <w:r>
            <w:tab/>
          </w:r>
          <w:r>
            <w:t>22</w:t>
          </w:r>
        </w:p>
        <w:p>
          <w:pPr>
            <w:pStyle w:val="TOC2"/>
            <w:ind w:left="360"/>
            <w:tabs>
              <w:tab w:val="right" w:leader="dot" w:pos="9026"/>
            </w:tabs>
            <w:spacing w:before="120" w:after="60"/>
          </w:pPr>
          <w:r>
            <w:t>Appendix B — Source and Archive Inventory</w:t>
          </w:r>
          <w:r>
            <w:tab/>
          </w:r>
          <w:r>
            <w:t>23</w:t>
          </w:r>
        </w:p>
        <w:p>
          <w:pPr>
            <w:pStyle w:val="TOC2"/>
            <w:ind w:left="360"/>
            <w:tabs>
              <w:tab w:val="right" w:leader="dot" w:pos="9026"/>
            </w:tabs>
            <w:spacing w:before="120" w:after="60"/>
          </w:pPr>
          <w:r>
            <w:t>Appendix C — Pine Conventions, Statistics, and Disclaimer</w:t>
          </w:r>
          <w:r>
            <w:tab/>
          </w:r>
          <w:r>
            <w:t>24</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Microsoft YaHei"/>
          <w:i/>
          <w:iCs/>
          <w:color w:val="888888"/>
          <w:sz w:val="18"/>
          <w:szCs w:val="18"/>
        </w:rPr>
        <w:t xml:space="preserve">Note: This Table of Contents is generated via field codes. To ensure page number accuracy after editing, please right-click the TOC and select "Update Field."</w:t>
      </w:r>
    </w:p>
    <w:p>
      <w:pPr>
        <w:pStyle w:val="Heading1"/>
        <w:spacing w:after="200" w:before="400" w:line="380" w:lineRule="atLeast"/>
      </w:pPr>
      <w:bookmarkStart w:name="_Toc1" w:id="1"/>
      <w:r>
        <w:rPr>
          <w:rFonts w:ascii="Times New Roman" w:eastAsia="Microsoft YaHei"/>
          <w:b/>
          <w:bCs/>
          <w:color w:val="1A1A1A"/>
        </w:rPr>
        <w:t xml:space="preserve">Part I — Scope, Method, and Reading Guide</w:t>
      </w:r>
      <w:bookmarkEnd w:id="1"/>
    </w:p>
    <w:p>
      <w:pPr>
        <w:pStyle w:val="Heading2"/>
        <w:spacing w:after="160" w:before="320" w:line="340" w:lineRule="atLeast"/>
      </w:pPr>
      <w:bookmarkStart w:name="_Toc2" w:id="2"/>
      <w:r>
        <w:rPr>
          <w:rFonts w:ascii="Times New Roman" w:eastAsia="Microsoft YaHei"/>
          <w:b/>
          <w:bCs/>
          <w:color w:val="1A1A1A"/>
        </w:rPr>
        <w:t xml:space="preserve">1.1  Scope: What Counts as a Unique Strategy</w:t>
      </w:r>
      <w:bookmarkEnd w:id="2"/>
    </w:p>
    <w:p>
      <w:pPr>
        <w:spacing w:after="120" w:line="312"/>
        <w:jc w:val="both"/>
      </w:pPr>
      <w:r>
        <w:rPr>
          <w:rFonts w:ascii="Times New Roman" w:eastAsia="Microsoft YaHei"/>
          <w:color w:val="1A1A1A"/>
          <w:sz w:val="22"/>
          <w:szCs w:val="22"/>
        </w:rPr>
        <w:t xml:space="preserve">This glossary is a deduplicated census of trading strategies and Pine Script implementations found across archives, community sites, quant databases, think-tank papers, and practitioner blogs worldwide, with deliberate depth on China and the Russia/CIS ecosystem. A strategy earns an entry when its mechanism — how it enters, exits, and sizes — is distinct from every other entry in the list; marketing names, language translations, and parameter retunes do not create new entries. The result is a reference of 189 unique systems across fourteen families, of which 43 carry complete Pine Script v5 reference implementations and 189 document the duplicate variants that were eliminated in consolidation.</w:t>
      </w:r>
    </w:p>
    <w:p>
      <w:pPr>
        <w:spacing w:after="120" w:line="312"/>
        <w:jc w:val="both"/>
      </w:pPr>
      <w:r>
        <w:rPr>
          <w:rFonts w:ascii="Times New Roman" w:eastAsia="Microsoft YaHei"/>
          <w:color w:val="1A1A1A"/>
          <w:sz w:val="22"/>
          <w:szCs w:val="22"/>
        </w:rPr>
        <w:t xml:space="preserve">"Near complete" deserves an honest qualifier. The population of published trading strategies is unbounded: every indicator combination can be wrapped in a strategy() block, and communities republish renames daily. What a census can achieve is coverage of the generative core — the mechanisms from which the long tail of variants is derived. The families in Part II are that core: the Donchian/Turtle lineage that spawns most trend robots, the Bollinger/oscillator core behind most reversion systems, Wyckoff structure behind the entire smart-money wave of the 2020s, and the market-microstructure artifacts (A-share price limits, MOEX dividend gaps, perpetual funding) that exist nowhere else.</w:t>
      </w:r>
    </w:p>
    <w:p>
      <w:pPr>
        <w:spacing w:after="120" w:line="312"/>
        <w:jc w:val="both"/>
      </w:pPr>
      <w:r>
        <w:rPr>
          <w:rFonts w:ascii="Times New Roman" w:eastAsia="Microsoft YaHei"/>
          <w:color w:val="1A1A1A"/>
          <w:sz w:val="22"/>
          <w:szCs w:val="22"/>
        </w:rPr>
        <w:t xml:space="preserve">Every entry names its origin and lineage as precisely as the public record allows. Where a system's true author is unknown or contested (WaveTrend's pre-LazyBear history, QQE's MT4-era birth), the attribution says so rather than inventing certainty. Where a system's edge is structurally negative or regime-dependent (martingale averaging, short-vol harvesting), the entry documents that fact plainly — a glossary that flatters every entry would be marketing, not research.</w:t>
      </w:r>
    </w:p>
    <w:p>
      <w:pPr>
        <w:pStyle w:val="Heading2"/>
        <w:spacing w:after="160" w:before="320" w:line="340" w:lineRule="atLeast"/>
      </w:pPr>
      <w:bookmarkStart w:name="_Toc3" w:id="3"/>
      <w:r>
        <w:rPr>
          <w:rFonts w:ascii="Times New Roman" w:eastAsia="Microsoft YaHei"/>
          <w:b/>
          <w:bCs/>
          <w:color w:val="1A1A1A"/>
        </w:rPr>
        <w:t xml:space="preserve">1.2  Method: Survey, Extraction, and Deduplication</w:t>
      </w:r>
      <w:bookmarkEnd w:id="3"/>
    </w:p>
    <w:p>
      <w:pPr>
        <w:spacing w:after="120" w:line="312"/>
        <w:jc w:val="both"/>
      </w:pPr>
      <w:r>
        <w:rPr>
          <w:rFonts w:ascii="Times New Roman" w:eastAsia="Microsoft YaHei"/>
          <w:color w:val="1A1A1A"/>
          <w:sz w:val="22"/>
          <w:szCs w:val="22"/>
        </w:rPr>
        <w:t xml:space="preserve">The compilation followed a fixed pipeline so that the deduplication is reproducible rather than editorial taste. The steps below were applied in order; Appendix A applies rule (1) mechanically to the duplicate variants actually encountered.</w:t>
      </w:r>
    </w:p>
    <w:p>
      <w:pPr>
        <w:pStyle w:val="ListParagraph"/>
        <w:numPr>
          <w:ilvl w:val="0"/>
          <w:numId w:val="2"/>
        </w:numPr>
        <w:spacing w:after="80" w:line="312"/>
        <w:jc w:val="left"/>
      </w:pPr>
      <w:r>
        <w:rPr>
          <w:rFonts w:ascii="Times New Roman" w:eastAsia="Microsoft YaHei"/>
          <w:color w:val="1A1A1A"/>
          <w:sz w:val="22"/>
          <w:szCs w:val="22"/>
        </w:rPr>
        <w:t xml:space="preserve">Survey: swept public strategy corpora across TradingView (100,000+ published scripts and editor picks), the LuxAlgo and PineCoders libraries, GitHub strategy collections, MQL5.com and its CodeBase, TASC (Stocks &amp; Commodities) Traders' Tips archives, SSRN, arXiv q-fin, and NBER working papers.</w:t>
      </w:r>
    </w:p>
    <w:p>
      <w:pPr>
        <w:pStyle w:val="ListParagraph"/>
        <w:numPr>
          <w:ilvl w:val="0"/>
          <w:numId w:val="2"/>
        </w:numPr>
        <w:spacing w:after="80" w:line="312"/>
        <w:jc w:val="left"/>
      </w:pPr>
      <w:r>
        <w:rPr>
          <w:rFonts w:ascii="Times New Roman" w:eastAsia="Microsoft YaHei"/>
          <w:color w:val="1A1A1A"/>
          <w:sz w:val="22"/>
          <w:szCs w:val="22"/>
        </w:rPr>
        <w:t xml:space="preserve">China track: JoinQuant and myquant strategy libraries, BigQuant and Uqer factor research, the czsc and chanlun-pro open-source Chan-theory projects, vn.py strategy templates, Jisilu (convertible bonds), Xueqiu and Taoguba communities, TDX/Tonghuashun formula canons, and broker quant-research series (Huatai, Guosheng).</w:t>
      </w:r>
    </w:p>
    <w:p>
      <w:pPr>
        <w:pStyle w:val="ListParagraph"/>
        <w:numPr>
          <w:ilvl w:val="0"/>
          <w:numId w:val="2"/>
        </w:numPr>
        <w:spacing w:after="80" w:line="312"/>
        <w:jc w:val="left"/>
      </w:pPr>
      <w:r>
        <w:rPr>
          <w:rFonts w:ascii="Times New Roman" w:eastAsia="Microsoft YaHei"/>
          <w:color w:val="1A1A1A"/>
          <w:sz w:val="22"/>
          <w:szCs w:val="22"/>
        </w:rPr>
        <w:t xml:space="preserve">Russia/CIS track: Smart-Lab.ru blogs and robot threads, TSLab and StockSharp ecosystems, QUIK Lua community, MQL5 Russian section, T-Bank (Tinkoff) Investments community, MOEX education materials, and the HSE/MIPT quant lineage.</w:t>
      </w:r>
    </w:p>
    <w:p>
      <w:pPr>
        <w:pStyle w:val="ListParagraph"/>
        <w:numPr>
          <w:ilvl w:val="0"/>
          <w:numId w:val="2"/>
        </w:numPr>
        <w:spacing w:after="80" w:line="312"/>
        <w:jc w:val="left"/>
      </w:pPr>
      <w:r>
        <w:rPr>
          <w:rFonts w:ascii="Times New Roman" w:eastAsia="Microsoft YaHei"/>
          <w:color w:val="1A1A1A"/>
          <w:sz w:val="22"/>
          <w:szCs w:val="22"/>
        </w:rPr>
        <w:t xml:space="preserve">Extraction: each candidate system was recorded with its mechanism (entry, exit, sizing), not its marketing name; packaging variants were merged at this stage.</w:t>
      </w:r>
    </w:p>
    <w:p>
      <w:pPr>
        <w:pStyle w:val="ListParagraph"/>
        <w:numPr>
          <w:ilvl w:val="0"/>
          <w:numId w:val="2"/>
        </w:numPr>
        <w:spacing w:after="80" w:line="312"/>
        <w:jc w:val="left"/>
      </w:pPr>
      <w:r>
        <w:rPr>
          <w:rFonts w:ascii="Times New Roman" w:eastAsia="Microsoft YaHei"/>
          <w:color w:val="1A1A1A"/>
          <w:sz w:val="22"/>
          <w:szCs w:val="22"/>
        </w:rPr>
        <w:t xml:space="preserve">Deduplication rules: (1) identical entry/exit/sizing logic under different names or languages collapses into one canonical entry with the earliest documented source; (2) parameter retunes of the same mechanism are noted as duplicates, not entries; (3) regional ecosystems (China, Russia/CIS) keep their own entries where market microstructure, data, or theory is genuinely distinct; (4) cross-family relationships are kept as explicit cross-references.</w:t>
      </w:r>
    </w:p>
    <w:p>
      <w:pPr>
        <w:pStyle w:val="ListParagraph"/>
        <w:numPr>
          <w:ilvl w:val="0"/>
          <w:numId w:val="2"/>
        </w:numPr>
        <w:spacing w:after="80" w:line="312"/>
        <w:jc w:val="left"/>
      </w:pPr>
      <w:r>
        <w:rPr>
          <w:rFonts w:ascii="Times New Roman" w:eastAsia="Microsoft YaHei"/>
          <w:color w:val="1A1A1A"/>
          <w:sz w:val="22"/>
          <w:szCs w:val="22"/>
        </w:rPr>
        <w:t xml:space="preserve">Code policy: all Pine listings are fresh v5 reference implementations written for this glossary and faithful to each system's published logic; they deliberately avoid reproducing any third-party copyrighted script verbatim. Verify everything on TradingView before any live use.</w:t>
      </w:r>
    </w:p>
    <w:p>
      <w:pPr>
        <w:pStyle w:val="Heading2"/>
        <w:spacing w:after="160" w:before="320" w:line="340" w:lineRule="atLeast"/>
      </w:pPr>
      <w:bookmarkStart w:name="_Toc4" w:id="4"/>
      <w:r>
        <w:rPr>
          <w:rFonts w:ascii="Times New Roman" w:eastAsia="Microsoft YaHei"/>
          <w:b/>
          <w:bCs/>
          <w:color w:val="1A1A1A"/>
        </w:rPr>
        <w:t xml:space="preserve">1.3  How to Read an Entry</w:t>
      </w:r>
      <w:bookmarkEnd w:id="4"/>
    </w:p>
    <w:p>
      <w:pPr>
        <w:spacing w:after="120" w:line="312"/>
        <w:jc w:val="both"/>
      </w:pPr>
      <w:r>
        <w:rPr>
          <w:rFonts w:ascii="Times New Roman" w:eastAsia="Microsoft YaHei"/>
          <w:color w:val="1A1A1A"/>
          <w:sz w:val="22"/>
          <w:szCs w:val="22"/>
        </w:rPr>
        <w:t xml:space="preserve">Each entry carries six fields. Origin &amp; lineage names the earliest credible documented source and the pathway by which the system spread (archive, platform, or community). Core idea states the economic or statistical hypothesis in plain language. Rules condense the entry/exit mechanics to what an implementer needs. Key parameters give the canonical settings and their observed ranges. Duplicates eliminated lists the regional renames and clones that were collapsed into this canonical entry — this field is the glossary's answer to duplication, and Appendix A reprints it as a map. Finally, entries marked "Pine Script v5 reference implementation" include complete, self-contained code written for this glossary; entries marked "logic-only" either depend on data Pine cannot see (order books, options chains, funding calendars, disclosure feeds) or would require a cross-sectional universe that a single-symbol script cannot express.</w:t>
      </w:r>
    </w:p>
    <w:p>
      <w:pPr>
        <w:spacing w:after="120" w:line="312"/>
        <w:jc w:val="both"/>
      </w:pPr>
      <w:r>
        <w:rPr>
          <w:rFonts w:ascii="Times New Roman" w:eastAsia="Microsoft YaHei"/>
          <w:color w:val="1A1A1A"/>
          <w:sz w:val="22"/>
          <w:szCs w:val="22"/>
        </w:rPr>
        <w:t xml:space="preserve">IDs are stable handles: a two-letter family code (TR, MR, BK, PA, IH, VO, SE, GR, CN, RU, ST, CR, ML, RX) plus a running number. Families are ordered from the most universally replicated (trend, reversion, breakout) to the most market-specific (China, Russia/CIS) and then to the institutional and methodological families (statistical, crypto, machine learning, risk). Cross-references inside entries point to relatives elsewhere in the glossary so that a reader can traverse the space mechanistically rather than alphabetically.</w:t>
      </w:r>
    </w:p>
    <w:p>
      <w:pPr>
        <w:pStyle w:val="Heading2"/>
        <w:spacing w:after="160" w:before="320" w:line="340" w:lineRule="atLeast"/>
      </w:pPr>
      <w:bookmarkStart w:name="_Toc5" w:id="5"/>
      <w:r>
        <w:rPr>
          <w:rFonts w:ascii="Times New Roman" w:eastAsia="Microsoft YaHei"/>
          <w:b/>
          <w:bCs/>
          <w:color w:val="1A1A1A"/>
        </w:rPr>
        <w:t xml:space="preserve">1.4  Master Index</w:t>
      </w:r>
      <w:bookmarkEnd w:id="5"/>
    </w:p>
    <w:p>
      <w:pPr>
        <w:keepNext/>
        <w:spacing w:after="80" w:before="120" w:line="312"/>
      </w:pPr>
      <w:r>
        <w:rPr>
          <w:rFonts w:ascii="Times New Roman" w:eastAsia="Microsoft YaHei"/>
          <w:b/>
          <w:bCs/>
          <w:color w:val="6E6E6E"/>
          <w:sz w:val="20"/>
          <w:szCs w:val="20"/>
        </w:rPr>
        <w:t xml:space="preserve">Table 1. Master index of all 189 unique strategies (Pine = reference implementation included)</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791"/>
        <w:gridCol w:w="3603"/>
        <w:gridCol w:w="879"/>
        <w:gridCol w:w="1758"/>
        <w:gridCol w:w="1758"/>
      </w:tblGrid>
      <w:tr>
        <w:trPr>
          <w:cantSplit/>
          <w:tblHeader/>
        </w:trPr>
        <w:tc>
          <w:tcPr>
            <w:tcW w:type="pct" w:w="45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ID</w:t>
            </w:r>
          </w:p>
        </w:tc>
        <w:tc>
          <w:tcPr>
            <w:tcW w:type="pct" w:w="205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Strategy</w:t>
            </w:r>
          </w:p>
        </w:tc>
        <w:tc>
          <w:tcPr>
            <w:tcW w:type="pct" w:w="5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Family</w:t>
            </w:r>
          </w:p>
        </w:tc>
        <w:tc>
          <w:tcPr>
            <w:tcW w:type="pct" w:w="1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Coverage</w:t>
            </w:r>
          </w:p>
        </w:tc>
        <w:tc>
          <w:tcPr>
            <w:tcW w:type="pct" w:w="1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Pine</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Donchian Channel Breakout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Turtle Trading System (S1/S2)</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Dual Moving Average Crossover (Golden Cross)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Granville Eight Rules of Moving Averages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MACD Trend and Histogram System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Parabolic SAR Flip System</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ADX/DMI Trend Filter System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SuperTrend</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UT Bot Alerts (ATR Trailing Stop on Close)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Chandelier Exit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Ichimoku Kinko Hyo</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Kaufman Adaptive Moving Average (KAMA)</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VIDYA (Variable Index Dynamic Average)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FRAMA (Fractal Adaptive Moving Average)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Guppy Multiple Moving Averages (GMMA)</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Heikin-Ashi Trend Flip</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Time-Series Momentum (TSMOM)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CANSLIM Momentum / Leading-Stock Playbook</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Connors RSI(2) Pullback</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Bollinger Band Reversion (%B Fade)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Double 7s / 3-Day High-Low Pullback</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Keltner Channel Pullback</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TTM Squeeze / Squeeze Momentum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QQE (Qualitative Quantitative Estimation)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WaveTrend Oscillator</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Fisher Transform Reversal</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RSI Regular Divergence System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Stochastic Oversold System</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Pivot Point Reversion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Intraday VWAP Mean Reversion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Z-Score Spread Reversion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Williams %R Fade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Money-Flow Reversion (CMF/MFI)</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BK-01</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Opening Range Breakout (ORB)</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BK-02</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Narrow Range 7 / Inside Day Patterns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BK-03</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Volatility Contraction Pattern (VCP)</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BK-04</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Darvas Box</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BK-05</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Bill Williams Alligator + Fractals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BK-06</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Awesome Oscillator / Accelerator System</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BK-07</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Aroon Breakout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BK-08</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Range Breakout with Volume Surge (放量突破)</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BK-09</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Consolidation Box Breakout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BK-10</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Gap Playbook (Fade / Continue)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BK-11</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Squeeze Pro / Multi-Threshold Squeeze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BK-12</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High-of-Day Break &amp; Retest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BK-13</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Volatility Expansion Breakout (Keltner/ATR form)</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Wyckoff Accumulation/Distribution &amp; Spring (V-Hook)</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Effort vs Result / Composite Operator Reading</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Pin Bar / Hammer Rejection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Engulfing &amp; Inside-Bar Momentum Patterns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Al Brooks Bar-by-Bar Price Action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Fakey / False-Breakout Inside-Bar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Supply &amp; Demand Zones (Set-and-Forget)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Smart Money Concepts (BOS / CHoCH / Order Blocks / FVG)</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ICT Kill Zones, Silver Bullet &amp; Time-Based Liquidity</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Turtle Soup / Fake Breakout Fade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Harmonic Patterns (Gartley / Bat / Butterfly / AB=CD)</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Elliott Wave (Mechanized Approaches)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Wolfe Waves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Classical Reversal Patterns Automated (Double Top, H&amp;S)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Trendline &amp; Channel Break Automation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Round Numbers / Psychological Levels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MESA Adaptive MA (MAMA / FAMA)</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Instantaneous Trendline &amp; Sine Wave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Cyber Cycle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Ehlers SuperSmoother / Roofing Filter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Vortex Indicator</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True Strength Index (TSI)</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Schaff Trend Cycle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Connors RSI (Composite)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Stochastic RSI</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Commodity Channel Index Systems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Chande Momentum Oscillator</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Ultimate Oscillator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Long-Cycle Momentum Composites (KST / Coppock)</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Detrended Price Oscillator &amp; Cycle Projection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Volume Spread Analysis (VSA)</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On-Balance Volume Divergence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Chaikin Money Flow / Accumulation-Distribution Line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Money Flow Index</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Volume Profile Nodes (HVN/LVN/POC)</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Market Profile TPO (Steidlmayer)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VWAP Deviation Bands (Execution-Grade)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Anchored VWAP (AVWAP)</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Cumulative Delta Divergence (CVD)</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Klinger Volume Oscillator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Ease of Movement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Volume-Weighted Momentum Breakout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Asia Range Sweep &amp; London Reversal</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London Breakout («Лондонский взрыв»)</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NY Open Momentum (10:00 Rule)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Overnight vs Intraday Edge (Tug of War)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Turn-of-Month / Turn-of-Quarter Effect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Sell in May / Halloween Indicator</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Pre-FOMC Announcement Drift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Hour-of-Day Volatility Breakout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Crypto Weekend &amp; Funding Window Effects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GR-01</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Classic Spot Grid Bot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GR-02</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Martingale / Averaging-Down Systems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GR-03</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Anti-Martingale Pyramiding</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GR-04</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DCA &amp; Smart DCA Bots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GR-05</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Fibonacci Grid</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GR-06</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ATR-Adaptive Grid</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GR-07</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Portfolio Rebalancing Bot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Chan Theory (缠论): Fractals, Pens, Pivots &amp; Three Buy/Sell Points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Limit-Up Board Tactics (打板：首板/连板/接力)</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Limit-Up Pullback Re-entry (涨停回马枪)</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Dragon-Head Leading-Stock Tactics (龙头战法)</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Sentiment Cycle Model (情绪周期)</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Chip Distribution (筹码分布 / CYQ)</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Dragon-Tiger List Following (龙虎榜跟随)</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Northbound Capital Following (北向资金跟随)</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Margin Balance Sentiment (融资融券情绪)</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Double-Low Convertible Bonds (双低可转债)</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Large/Small-Cap Rotation (大小盘轮动)</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Sector Rotation (行业轮动)</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Index Enhancement (指数增强)</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Alpha Strategy with Index-Futures Hedge (阿尔法策略)</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Multi-Factor Stock Selection (多因子选股)</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 Convergence Breakout (均线粘合突破)</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N-Structure Tactics (N字战法)</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Rising Pullback System (上升回档)</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Main-Force Accumulation Tracking (主力吸筹跟踪)</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Swing Band System (波段操作 / 波段王)</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Intraday T+0 Around Base Position (底仓做T)</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Call-Auction &amp; Tail-Session Tactics (集合竞价/尾盘战法)</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Calendar Spread Arbitrage (跨期套利)</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Cross-Commodity Spreads (跨品种套利)</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Futures-Cash Basis Arbitrage (期现套利)</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Valuation-Band Rotation (估值分位轮动)</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Elder's Triple Screen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Ilan Family (RSI + CCI Martingale Advisors)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Sniper Method («Снайпер», Дмитриев / Байнов)</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Elder SafeZone Stops &amp; Elder Ray</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Order-Book (Стакан) Scalping on MOEX Futures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Synthetic Bond Arbitrage («SyntheticBondsArbitrage»)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Dividend-Gap Trading (Дивидендный гэп)</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Pairs Trading on MOEX Equities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Morning Flat Breakout («Пробой утреннего флэта»)</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Russian Ichimoku Schools (Ишимоку-школы)</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Automated Fibonacci Level Robots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Brent-Urals &amp; Calendar Spread Trading (TSLab)</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Book + Tape Hybrid (Стакан + Лента) Automation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Smart-Lab Community Trend Robots (Si/RTS)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T-Bank Community Auto-Strategies (Tinkoff API era)</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Academic Quant Lineage (ВШЭ / МФТИ factor studies)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 / CIS</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Pairs Trading (Distance Method)</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Statistical Arbitrage (Avellaneda-Lee)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Kalman-Filter Hedge Ratio (Dynamic Pairs)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Cross-Sectional Momentum (Jegadeesh-Titman)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Value Factor (HML) &amp; Value-Momentum Combination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FX Carry Trade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Low-Volatility Anomaly</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Betting Against Beta (BAB)</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Quality / Profitability Factor (QMJ)</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WorldQuant 101 Formulaic Alphas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The Factor Zoo &amp; Multiple-Testing Corrections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COT Positioning Strategies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Dispersion Trading (Index vs Constituents)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Volatility Risk Premium Harvesting</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Gamma Scalping (Long-Gamma Rebalancing)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Commodity Roll Yield / Contango Harvest</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Risk Parity &amp; Volatility Targeting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Commodity Seasonality</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Funding-Rate Arbitrage (Delta-Neutral Carry)</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Cash-and-Carry / Futures Basis Trade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Liquidation-Cascade Fade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Open-Interest Regime Model (OI + Price Matrix)</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On-Chain Whale &amp; Flow Following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BTC Dominance / Altcoin Rotation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Crypto Volatility Breakout (Donchian + Funding Filter)</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CR-08</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Triangular Arbitrage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CR-09</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DeFi Concentrated Liquidity Market-Making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CR-10</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MEV Extraction (Sandwich / Backrun) — Documented, Not Endorsed</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CR-11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Cross-Exchange Latency Arbitrage</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ML-01</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Gradient-Boosted Factor Models (XGBoost/LightGBM Alpha)</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ML-02</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LSTM / Sequence Models for Direction</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ML-03</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Reinforcement Learning Portfolios (FinRL lineage)</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ML-04</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HMM Regime Switching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ML-05</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NLP Sentiment &amp; News Trading</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ML-06</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Genetic Algorithms &amp; Parameter Search</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ML-07</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Walk-Forward, Deflated Sharpe &amp; Overfitting Control</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RX-01</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Fixed Fractional / Percent-Risk Sizing</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RX-02</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Kelly &amp; Half-Kelly Criterion</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RX-03</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Volatility-Targeted Sizing (ATR Units)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RX-04</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Portfolio Heat &amp; Correlation Limits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RX-05</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Breakeven Ratchet &amp; Scale-Out Exits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Yes</w:t>
            </w:r>
          </w:p>
        </w:tc>
      </w:tr>
      <w:tr>
        <w:trPr>
          <w:cantSplit/>
        </w:trPr>
        <w:tc>
          <w:tcPr>
            <w:tcW w:type="pct" w:w="4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RX-06</w:t>
            </w:r>
          </w:p>
        </w:tc>
        <w:tc>
          <w:tcPr>
            <w:tcW w:type="pct" w:w="20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Time Stops &amp; Opportunity-Cost Exits</w:t>
            </w:r>
          </w:p>
        </w:tc>
        <w:tc>
          <w:tcPr>
            <w:tcW w:type="pct" w:w="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r>
        <w:trPr>
          <w:cantSplit/>
        </w:trPr>
        <w:tc>
          <w:tcPr>
            <w:tcW w:type="pct" w:w="4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RX-07</w:t>
            </w:r>
          </w:p>
        </w:tc>
        <w:tc>
          <w:tcPr>
            <w:tcW w:type="pct" w:w="20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Execution Algorithms (TWAP / VWAP / POV) &amp; Slippage Budgets</w:t>
            </w:r>
          </w:p>
        </w:tc>
        <w:tc>
          <w:tcPr>
            <w:tcW w:type="pct" w:w="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Logic-only</w:t>
            </w:r>
          </w:p>
        </w:tc>
      </w:tr>
    </w:tbl>
    <w:p>
      <w:pPr>
        <w:pStyle w:val="Heading1"/>
        <w:spacing w:after="200" w:before="400" w:line="380" w:lineRule="atLeast"/>
      </w:pPr>
      <w:bookmarkStart w:name="_Toc6" w:id="6"/>
      <w:r>
        <w:rPr>
          <w:rFonts w:ascii="Times New Roman" w:eastAsia="Microsoft YaHei"/>
          <w:b/>
          <w:bCs/>
          <w:color w:val="1A1A1A"/>
        </w:rPr>
        <w:t xml:space="preserve">Part II — The Strategy Families</w:t>
      </w:r>
      <w:bookmarkEnd w:id="6"/>
    </w:p>
    <w:p>
      <w:pPr>
        <w:spacing w:after="200" w:line="312"/>
        <w:jc w:val="both"/>
      </w:pPr>
      <w:r>
        <w:rPr>
          <w:rFonts w:ascii="Times New Roman" w:eastAsia="Microsoft YaHei"/>
          <w:color w:val="1A1A1A"/>
          <w:sz w:val="22"/>
          <w:szCs w:val="22"/>
        </w:rPr>
        <w:t xml:space="preserve">Fourteen families follow, ordered from mechanical classics to market-specific ecosystems and finally to statistical, machine-learning, and risk infrastructure. Each family opens with a short orientation; entries then proceed by ID. Code blocks are Pine Script v5, written to compile against current TradingView built-ins, and each carries its strategy's canonical parameters as inputs so the same file can be re-tuned rather than rewritten.</w:t>
      </w:r>
    </w:p>
    <w:p>
      <w:pPr>
        <w:pStyle w:val="Heading2"/>
        <w:spacing w:after="160" w:before="320" w:line="340" w:lineRule="atLeast"/>
      </w:pPr>
      <w:bookmarkStart w:name="_Toc7" w:id="7"/>
      <w:r>
        <w:rPr>
          <w:rFonts w:ascii="Times New Roman" w:eastAsia="Microsoft YaHei"/>
          <w:b/>
          <w:bCs/>
          <w:color w:val="1A1A1A"/>
        </w:rPr>
        <w:t xml:space="preserve">Family A — Trend Following &amp; Momentum (TR)</w:t>
      </w:r>
      <w:bookmarkEnd w:id="7"/>
    </w:p>
    <w:p>
      <w:pPr>
        <w:spacing w:after="200" w:line="312"/>
        <w:jc w:val="both"/>
      </w:pPr>
      <w:r>
        <w:rPr>
          <w:rFonts w:ascii="Times New Roman" w:eastAsia="Microsoft YaHei"/>
          <w:color w:val="1A1A1A"/>
          <w:sz w:val="22"/>
          <w:szCs w:val="22"/>
        </w:rPr>
        <w:t xml:space="preserve">Trend following is the oldest and most globally replicated strategy family: the same core mechanics (buy strength, trail a stop, cut reversals) reappear in 1950s US futures columns, JoinQuant and vn.py strategy templates, and Smart-Lab robot threads under different national names. Entries below are the canonical, deduplicated forms; parameter variants traded on Chinese commodity futures or MOEX are treated as the same strategy unless the exit or sizing logic differs materially. This family contributes the most eliminated duplicates in Appendix A.</w:t>
      </w:r>
    </w:p>
    <w:p>
      <w:pPr>
        <w:pStyle w:val="Heading3"/>
        <w:spacing w:after="80" w:before="280" w:line="320" w:lineRule="atLeast"/>
      </w:pPr>
      <w:bookmarkStart w:id="100000" w:name="_Toc100000"/>
      <w:r>
        <w:rPr>
          <w:rFonts w:ascii="Times New Roman" w:eastAsia="Microsoft YaHei"/>
          <w:b/>
          <w:bCs/>
          <w:color w:val="1A1A1A"/>
        </w:rPr>
        <w:t xml:space="preserve">TR-01 · Donchian Channel Breakout</w:t>
      </w:r>
      <w:bookmarkEnd w:id="100000"/>
    </w:p>
    <w:p>
      <w:pPr>
        <w:spacing w:after="80" w:line="312"/>
      </w:pPr>
      <w:r>
        <w:rPr>
          <w:rFonts w:ascii="Times New Roman" w:eastAsia="Microsoft YaHei"/>
          <w:i/>
          <w:iCs/>
          <w:color w:val="6E6E6E"/>
          <w:sz w:val="20"/>
          <w:szCs w:val="20"/>
        </w:rPr>
        <w:t xml:space="preserve">唐奇安通道突破 · Прорыв канала Дончиана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Richard Donchian, US commodity research columns, late 1940s-1960s; popularized as the 4-week rule.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Buy when price closes above the highest high of the prior N bars and sell when it closes below the lowest low, letting the channel itself define trend participation. The channel doubles as the trailing exit on a shorter counter-channel. It is the direct ancestor of the Turtle system and of most later channel-breakout robots.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Enter long on close above the 20-bar (prior, offset by 1) high; exit on close below the 10-bar low;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Entry channel 20 (55 for slow systems); exit channel 10 (20); works best on continuous futures and trending FX pairs.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Turtle S1/S2; CN 海龟策略 templates (JoinQuant, myquant.cn); RU «Пробой канала» robots; vn.py TurtleSignalStrategy.</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strategy("Donchian 20-10 Breakout",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default_qty_type=strategy.percent_of_equity, default_qty_value=100)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nIn  = input.int(20, "Entry channel")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nOut = input.int(10, "Exit channel")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hi   = ta.highest(high, nIn)[1]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   = ta.lowest(low, nIn)[1]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xHi  = ta.highest(high, nOut)[1]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xLo  = ta.lowest(low, nOut)[1]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 and close &gt; 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xLo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comment="Exit channel")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 and close &lt; 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 and close &gt; xHi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strategy.close("S", comment="Exit channel")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plot(hi, "Entry High", color=color.teal)</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plot(lo, "Entry Low", color=color.red)</w:t>
      </w:r>
    </w:p>
    <w:p>
      <w:pPr>
        <w:pStyle w:val="Heading3"/>
        <w:spacing w:after="80" w:before="280" w:line="320" w:lineRule="atLeast"/>
      </w:pPr>
      <w:bookmarkStart w:id="100001" w:name="_Toc100001"/>
      <w:r>
        <w:rPr>
          <w:rFonts w:ascii="Times New Roman" w:eastAsia="Microsoft YaHei"/>
          <w:b/>
          <w:bCs/>
          <w:color w:val="1A1A1A"/>
        </w:rPr>
        <w:t xml:space="preserve">TR-02 · Turtle Trading System (S1/S2)</w:t>
      </w:r>
      <w:bookmarkEnd w:id="100001"/>
    </w:p>
    <w:p>
      <w:pPr>
        <w:spacing w:after="80" w:line="312"/>
      </w:pPr>
      <w:r>
        <w:rPr>
          <w:rFonts w:ascii="Times New Roman" w:eastAsia="Microsoft YaHei"/>
          <w:i/>
          <w:iCs/>
          <w:color w:val="6E6E6E"/>
          <w:sz w:val="20"/>
          <w:szCs w:val="20"/>
        </w:rPr>
        <w:t xml:space="preserve">海龟交易法则 · Система «Черепах»</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Richard Dennis &amp; William Eckhardt experiment, 1983-1988; full rules leaked online in 2003 and archived widely (Way of the Turtle, 2007).</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complete trend-following stack: Donchian entries (System 1 at 20 days, System 2 at 55 days), volatility-normalized unit sizing via ATR ('N'), 0.5N pyramiding up to 4 units, a 2N stop per unit, and channel exits. Its lasting contribution is sizing by volatility rather than conviction. Most later trend robots are Turtles with renamed parameters.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Unit = 1% of equity / ATR(20). Add a unit each +0.5N; stop the whole position at 2N from last fill; exit longs on a 10-day (S1) or 20-day (S2) low.</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period 20; unit risk 1%; max 4 units; exits 10/20 days.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海龟交易法则 implementations on JoinQuant/BigQuant/vn.py (TurtleSignalStrategy); RU «Система Черепах» on Si/RTS futures; original Turtle Rules PDF archive.</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strategy("Turtle S2 Condensed (55/20, 2N stop)", overlay=true, pyramiding=4)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nLen    = input.int(20, "N length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riskPct = input.float(1.0, "Equity risk per unit, %", step=0.25)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       = ta.atr(nLen)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entryHi = ta.highest(high, 55)[1]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exitLo  = ta.lowest(low, 20)[1]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lastFill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longSig = strategy.position_size == 0 and close &gt; entryHi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addSig  = strategy.position_size &gt; 0 and not na(lastFill) and close &gt; lastFill + 0.5 * N and strategy.opentrades &lt; 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longSig or addSig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strategy.entry("U" + str.tostring(strategy.opentrades + 1),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qty=(strategy.equity * riskPct / 100) / 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lastFill := close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((not na(lastFill) and close &lt; lastFill - 2 * N) or close &lt; exitLo)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strategy.close_all(comment="2N stop or 20-day low")</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lastFill := na</w:t>
      </w:r>
    </w:p>
    <w:p>
      <w:pPr>
        <w:pStyle w:val="Heading3"/>
        <w:spacing w:after="80" w:before="280" w:line="320" w:lineRule="atLeast"/>
      </w:pPr>
      <w:bookmarkStart w:id="100002" w:name="_Toc100002"/>
      <w:r>
        <w:rPr>
          <w:rFonts w:ascii="Times New Roman" w:eastAsia="Microsoft YaHei"/>
          <w:b/>
          <w:bCs/>
          <w:color w:val="1A1A1A"/>
        </w:rPr>
        <w:t xml:space="preserve">TR-03 · Dual Moving Average Crossover (Golden Cross)</w:t>
      </w:r>
      <w:bookmarkEnd w:id="100002"/>
    </w:p>
    <w:p>
      <w:pPr>
        <w:spacing w:after="80" w:line="312"/>
      </w:pPr>
      <w:r>
        <w:rPr>
          <w:rFonts w:ascii="Times New Roman" w:eastAsia="Microsoft YaHei"/>
          <w:i/>
          <w:iCs/>
          <w:color w:val="6E6E6E"/>
          <w:sz w:val="20"/>
          <w:szCs w:val="20"/>
        </w:rPr>
        <w:t xml:space="preserve">双均线金叉死叉 · Пересечение скользящих средних</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Attributed to Granville-era US practice; every retail platform ships it as the default example strategy.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Go long when a faster MA crosses above a slower MA and exit (or reverse) on the opposite cross. It is the 'Hello World' of quant trading — literally the default demo on JoinQuant — and remains a useful baseline to benchmark any trend model against. Its chronic weakness is whipsaw when the two averages are close in length.</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EMA(50) crossing above EMA(200) (or 5/20 on Chinese platforms); reverse or stop on the cross under; optional ATR trailing stop instead of reversal.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Common pairs: 50/200 swing, 5/20 or 5/10 intraday; ATR stop 3x14.</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双均线策略 (JoinQuant/myquant default demo, DoubleMaStrategy in vn.py); RU «Пересечение SMA 50/200»; MQL5 CodeBase MA-cross EAs.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strategy("Dual MA Cross + ATR Stop",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fastLen = input.int(50, "Fast MA")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slowLen = input.int(200, "Slow MA")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atrMult = input.float(3.0, "Stop ATR multiple")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fast = ta.ema(close, fastLen)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slow = ta.ema(close, slowLen)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ta.crossover(fast, slow)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ta.crossunder(fast, slow)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strategy.exit("LX", from_entry="L", stop=close - atrMult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strategy.exit("SX", from_entry="S", stop=close + atrMult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plot(fast, "Fast EMA", color=color.teal)</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plot(slow, "Slow EMA", color=color.orange)</w:t>
      </w:r>
    </w:p>
    <w:p>
      <w:pPr>
        <w:pStyle w:val="Heading3"/>
        <w:spacing w:after="80" w:before="280" w:line="320" w:lineRule="atLeast"/>
      </w:pPr>
      <w:bookmarkStart w:id="100003" w:name="_Toc100003"/>
      <w:r>
        <w:rPr>
          <w:rFonts w:ascii="Times New Roman" w:eastAsia="Microsoft YaHei"/>
          <w:b/>
          <w:bCs/>
          <w:color w:val="1A1A1A"/>
        </w:rPr>
        <w:t xml:space="preserve">TR-04 · Granville Eight Rules of Moving Averages</w:t>
      </w:r>
      <w:bookmarkEnd w:id="100003"/>
    </w:p>
    <w:p>
      <w:pPr>
        <w:spacing w:after="80" w:line="312"/>
      </w:pPr>
      <w:r>
        <w:rPr>
          <w:rFonts w:ascii="Times New Roman" w:eastAsia="Microsoft YaHei"/>
          <w:i/>
          <w:iCs/>
          <w:color w:val="6E6E6E"/>
          <w:sz w:val="20"/>
          <w:szCs w:val="20"/>
        </w:rPr>
        <w:t xml:space="preserve">格兰维尔八大法则 · Восемь правил Гранвиля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Joseph Granville, 1960s US newsletters; formalized into scored strategies on JoinQuant (双均线-格兰维 strategy).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Rather than a single cross signal, Granville codified eight MA relationships: four buys (cross up, pullback to rising MA, break-then-reclaim, divergence away from a falling MA) and four sells (mirror). Chinese community strategies score all eight conditions into a 0-100 ranking and trade the highest-scoring names. It is an early example of signal confluence scoring now common in factor models.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Score MA alignment, price-vs-MA breakout, volume confirmation; buy top-ranked names when score exceeds threshold; sell on bearish rule triggers, fixed take-profit, or trailing stop from peak.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Typical CN implementation: MA 5/10/20/60; volume ratio filter; 20% take-profit; 10% trailing stop.</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JoinQuant 双均线-格兰维交易 strategy; CN 移动平均线战法 variants; RU «Правила Гранвиля» tutorials (no separate robot).</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04" w:name="_Toc100004"/>
      <w:r>
        <w:rPr>
          <w:rFonts w:ascii="Times New Roman" w:eastAsia="Microsoft YaHei"/>
          <w:b/>
          <w:bCs/>
          <w:color w:val="1A1A1A"/>
        </w:rPr>
        <w:t xml:space="preserve">TR-05 · MACD Trend and Histogram System</w:t>
      </w:r>
      <w:bookmarkEnd w:id="100004"/>
    </w:p>
    <w:p>
      <w:pPr>
        <w:spacing w:after="80" w:line="312"/>
      </w:pPr>
      <w:r>
        <w:rPr>
          <w:rFonts w:ascii="Times New Roman" w:eastAsia="Microsoft YaHei"/>
          <w:i/>
          <w:iCs/>
          <w:color w:val="6E6E6E"/>
          <w:sz w:val="20"/>
          <w:szCs w:val="20"/>
        </w:rPr>
        <w:t xml:space="preserve">MACD趋势+柱状图系统 · Система по MACD</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Gerald Appel, 1970s (MACD); histogram by Thomas Aspray, 1986.</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Trade the MACD line versus its signal line, filtered by the zero line so signals are only taken in the direction of the underlying momentum regime. The histogram's slope adds early warning of momentum loss before the actual cross. It remains one of the most-ported indicators on TradingView, MQL5, and Chinese platforms.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MACD(12,26,9) crossing above signal while above zero; short mirrored; exit on opposite cross or histogram divergence.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12/26/9 standard; CN variants add 背离 (divergence) detection on the histogram.</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MACD+EMA combos in MQL5 CodeBase; CN MACD背离战法; vn.py MACD demo strategies.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strategy("MACD Zero-Line Trend System",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[macdLine, sigLine, hist] = ta.macd(close, 12, 26, 9)</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ta.crossover(macdLine, sigLine) and macdLine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ta.crossunder(macdLine, sigLine) and macdLine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plot(macdLine, "MACD",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plot(sigLine, "Signal", color=color.orange)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plot(hist, "Histogram", style=plot.style_columns,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color=hist &gt;= 0 ? color.new(color.teal, 40) : color.new(color.red, 40))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hline(0)</w:t>
      </w:r>
    </w:p>
    <w:p>
      <w:pPr>
        <w:pStyle w:val="Heading3"/>
        <w:spacing w:after="80" w:before="280" w:line="320" w:lineRule="atLeast"/>
      </w:pPr>
      <w:bookmarkStart w:id="100005" w:name="_Toc100005"/>
      <w:r>
        <w:rPr>
          <w:rFonts w:ascii="Times New Roman" w:eastAsia="Microsoft YaHei"/>
          <w:b/>
          <w:bCs/>
          <w:color w:val="1A1A1A"/>
        </w:rPr>
        <w:t xml:space="preserve">TR-06 · Parabolic SAR Flip System</w:t>
      </w:r>
      <w:bookmarkEnd w:id="100005"/>
    </w:p>
    <w:p>
      <w:pPr>
        <w:spacing w:after="80" w:line="312"/>
      </w:pPr>
      <w:r>
        <w:rPr>
          <w:rFonts w:ascii="Times New Roman" w:eastAsia="Microsoft YaHei"/>
          <w:i/>
          <w:iCs/>
          <w:color w:val="6E6E6E"/>
          <w:sz w:val="20"/>
          <w:szCs w:val="20"/>
        </w:rPr>
        <w:t xml:space="preserve">抛物线SAR系统 · Система по Параболику SAR</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 Welles Wilder, New Concepts in Technical Trading Systems, 1978.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perpetual-in-the-market stop-and-reverse system: dots trail price with an accelerating factor, and every stop hit flips the position. Wilder designed it for commodity trends; modern usage adds a filter (e.g., only long above a 200 EMA) because SAR bleeds badly in ranges. It survives everywhere as a trailing-stop visual.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while close is above SAR, flip short when close crosses below; acceleration 0.02 per new extreme, capped at 0.2.</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AF start 0.02 / increment 0.02 / max 0.2.</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PSAR+EMA200+MACD signal packs (multiple GitHub repos); CN SAR跟踪策略; RU «Параболик» robots.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strategy("Parabolic SAR Flip",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start = input.float(0.02, "Start")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inc   = input.float(0.02, "Increment")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maxv  = input.float(0.2, "Max")</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sar = ta.sar(start, inc, maxv)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close &gt; sar and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close &lt; sar and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plot(sar, "SAR", style=plot.style_circles,</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color=strategy.position_size &gt;= 0 ? color.teal : color.red)</w:t>
      </w:r>
    </w:p>
    <w:p>
      <w:pPr>
        <w:pStyle w:val="Heading3"/>
        <w:spacing w:after="80" w:before="280" w:line="320" w:lineRule="atLeast"/>
      </w:pPr>
      <w:bookmarkStart w:id="100006" w:name="_Toc100006"/>
      <w:r>
        <w:rPr>
          <w:rFonts w:ascii="Times New Roman" w:eastAsia="Microsoft YaHei"/>
          <w:b/>
          <w:bCs/>
          <w:color w:val="1A1A1A"/>
        </w:rPr>
        <w:t xml:space="preserve">TR-07 · ADX/DMI Trend Filter System</w:t>
      </w:r>
      <w:bookmarkEnd w:id="100006"/>
    </w:p>
    <w:p>
      <w:pPr>
        <w:spacing w:after="80" w:line="312"/>
      </w:pPr>
      <w:r>
        <w:rPr>
          <w:rFonts w:ascii="Times New Roman" w:eastAsia="Microsoft YaHei"/>
          <w:i/>
          <w:iCs/>
          <w:color w:val="6E6E6E"/>
          <w:sz w:val="20"/>
          <w:szCs w:val="20"/>
        </w:rPr>
        <w:t xml:space="preserve">ADX/DMI趋势过滤系统 · Система на ADX/DMI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 Welles Wilder, 1978; refined by numerous TASC articles.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Use +DI/-DI crossovers for direction and ADX as a regime gate: only take DI signals while ADX is rising above ~20-25, which separates trending from chopping conditions. As a standalone it underperforms its filters' reputation, but as an overlay it is attached to half of the breakout systems in this glossary. Chinese CTA templates and Smart-Lab robots both use it almost identically.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+DI crosses above -DI with ADX &gt; 20 and rising; exit on reverse cross or ADX rolling over from a high.</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DMI 14; ADX threshold 20-25; optional exit at ADX peak.</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ADX gates inside CN CTA templates (文华/TB); RU «ADX-фильтр» modules; generic MT4 ADX EAs.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07" w:name="_Toc100007"/>
      <w:r>
        <w:rPr>
          <w:rFonts w:ascii="Times New Roman" w:eastAsia="Microsoft YaHei"/>
          <w:b/>
          <w:bCs/>
          <w:color w:val="1A1A1A"/>
        </w:rPr>
        <w:t xml:space="preserve">TR-08 · SuperTrend</w:t>
      </w:r>
      <w:bookmarkEnd w:id="100007"/>
    </w:p>
    <w:p>
      <w:pPr>
        <w:spacing w:after="80" w:line="312"/>
      </w:pPr>
      <w:r>
        <w:rPr>
          <w:rFonts w:ascii="Times New Roman" w:eastAsia="Microsoft YaHei"/>
          <w:i/>
          <w:iCs/>
          <w:color w:val="6E6E6E"/>
          <w:sz w:val="20"/>
          <w:szCs w:val="20"/>
        </w:rPr>
        <w:t xml:space="preserve">超级趋势 · Супертренд</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Olivier Seban (France), circa 2009; hundreds of open Pine ports.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ATR band flipped around price: the level trails beneath uptrends and above downtrends by factor x ATR, and crossing it flips the position. It is conceptually Wilder's vol-stop with a cleaner flip mechanic, which is why it replaced SAR in most modern retail systems. Its exposure is near-binary, so it is usually paired with a higher-timeframe filter.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while price is above the SuperTrend line (direction -1), short while below; flips on close through the line.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Factor 3, ATR 10 (classic); factor 2-4, ATR 7-14 in the wild.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超级趋势 (JoinQuant/文华); RU «Супертренд» TradingView scripts; countless 'ST + filter' hybrids on MQL5.</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strategy("SuperTrend Flip",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factor = input.float(3.0, "Factor")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atrLen = input.int(10, "ATR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 dir] = ta.supertrend(factor, atrLen)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dir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dir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plot(dir &lt; 0 ? st : na, "ST Up", color=color.teal,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plot(dir &gt; 0 ? st : na, "ST Down", color=color.red, style=plot.style_linebr)</w:t>
      </w:r>
    </w:p>
    <w:p>
      <w:pPr>
        <w:pStyle w:val="Heading3"/>
        <w:spacing w:after="80" w:before="280" w:line="320" w:lineRule="atLeast"/>
      </w:pPr>
      <w:bookmarkStart w:id="100008" w:name="_Toc100008"/>
      <w:r>
        <w:rPr>
          <w:rFonts w:ascii="Times New Roman" w:eastAsia="Microsoft YaHei"/>
          <w:b/>
          <w:bCs/>
          <w:color w:val="1A1A1A"/>
        </w:rPr>
        <w:t xml:space="preserve">TR-09 · UT Bot Alerts (ATR Trailing Stop on Close)</w:t>
      </w:r>
      <w:bookmarkEnd w:id="100008"/>
    </w:p>
    <w:p>
      <w:pPr>
        <w:spacing w:after="80" w:line="312"/>
      </w:pPr>
      <w:r>
        <w:rPr>
          <w:rFonts w:ascii="Times New Roman" w:eastAsia="Microsoft YaHei"/>
          <w:i/>
          <w:iCs/>
          <w:color w:val="6E6E6E"/>
          <w:sz w:val="20"/>
          <w:szCs w:val="20"/>
        </w:rPr>
        <w:t xml:space="preserve">UT Bot · ATR трейлинг-стоп</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Yo_adriiiiaan on TradingView (2020), popularized by QuantNomad videos; ATR trailing-stop lineage from 2010s forex forums.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recursive ATR trailing stop computed on closes: the stop only ratchets in the trend direction and flips when close crosses it, producing sparse buy/sell alerts. Its popularity comes from clean visualization and alert-driven automation rather than novelty — it is mathematically inside the SuperTrend/Chandelier family. Widely cloned with EMA, HTF, or session filters bolted 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Trail = close -/+ key x ATR(period), ratcheting only; long when close crosses above the down-trail, exit/short on cross under the up-trail.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Key (sensitivity) 2 (1-3 typical); ATR period 10 (or 1 in aggressive clones).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Original 'ATR Trailing Stops' scripts (R	thomson bands, 2018); RU 'Универсальный трейлинг' packs; UT Bot + EMA 200 variants (QuantNomad).</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strategy("UT Bot-Style ATR Trailing Stop",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keyA   = input.float(2.0, "Sensitivity")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atrLen = input.int(10, "ATR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nLoss  = keyA * ta.atr(atrLen)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up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dn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up := close &gt; nz(up[1], close) and close[1] &gt; nz(up[1], close)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math.max(nz(up[1]), close - nLoss) : close - nLoss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dn := close &lt; nz(dn[1], close) and close[1] &lt; nz(dn[1], close)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math.min(nz(dn[1]), close + nLoss) : close + nLoss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ta.crossover(close, dn)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ta.crossunder(close, up)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plot(ta.crossover(close, dn) ? dn : na, "Buy", style=plot.style_circles, color=color.teal, linewidth=3)</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plot(ta.crossunder(close, up) ? up : na, "Sell", style=plot.style_circles, color=color.red, linewidth=3)</w:t>
      </w:r>
    </w:p>
    <w:p>
      <w:pPr>
        <w:pStyle w:val="Heading3"/>
        <w:spacing w:after="80" w:before="280" w:line="320" w:lineRule="atLeast"/>
      </w:pPr>
      <w:bookmarkStart w:id="100009" w:name="_Toc100009"/>
      <w:r>
        <w:rPr>
          <w:rFonts w:ascii="Times New Roman" w:eastAsia="Microsoft YaHei"/>
          <w:b/>
          <w:bCs/>
          <w:color w:val="1A1A1A"/>
        </w:rPr>
        <w:t xml:space="preserve">TR-10 · Chandelier Exit</w:t>
      </w:r>
      <w:bookmarkEnd w:id="100009"/>
    </w:p>
    <w:p>
      <w:pPr>
        <w:spacing w:after="80" w:line="312"/>
      </w:pPr>
      <w:r>
        <w:rPr>
          <w:rFonts w:ascii="Times New Roman" w:eastAsia="Microsoft YaHei"/>
          <w:i/>
          <w:iCs/>
          <w:color w:val="6E6E6E"/>
          <w:sz w:val="20"/>
          <w:szCs w:val="20"/>
        </w:rPr>
        <w:t xml:space="preserve">吊灯止损 · Chandelier-выход</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Chuck LeBeau, 1990s (Systems &amp; Exchanges seminars; popularized via TASC).</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Trail a stop at the highest high since entry minus a multiple of ATR, hanging from the 'chandelier' rather than from entry price. As a standalone system it rides trends with a volatility-scaled ratchet and re-enters when the trend state flips. It is the professional-grade ancestor of most modern trailing-stop scripts including UT Bot and SuperTrend variants.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stop = highest high(22) - 3 x ATR(22); flip trend when the stop is breached;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22; multiple 3.0 (2.5-4.0).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ATR Trailing Stops (Wilders-based); 'QQE trailing' variants; CN 吊灯止损 modules in CTA templates.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strategy("Chandelier Exit Trend Rider",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nLen = input.int(22, "Lookback")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mult = input.float(3.0, "ATR Multiple")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longStop  = ta.highest(high, nLen) - mult * ta.atr(nLen)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shortStop = ta.lowest(low, nLen) + mult * ta.atr(nLen)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trail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int   trend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trend := close &gt; nz(trail[1], shortStop) ? 1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close &lt; nz(trail[1], longStop) ? -1 : nz(trend[1],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trail := trend == 1 ? math.max(longStop, nz(trail[1], longStop))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math.min(shortStop, nz(trail[1], shortStop))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trend == 1 and nz(trend[1])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trend == -1 and nz(trend[1])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plot(trend == 1 ? trail : na, "Long trail", color=color.teal,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plot(trend == -1 ? trail : na, "Short trail", color=color.red, style=plot.style_linebr)</w:t>
      </w:r>
    </w:p>
    <w:p>
      <w:pPr>
        <w:pStyle w:val="Heading3"/>
        <w:spacing w:after="80" w:before="280" w:line="320" w:lineRule="atLeast"/>
      </w:pPr>
      <w:bookmarkStart w:id="100010" w:name="_Toc100010"/>
      <w:r>
        <w:rPr>
          <w:rFonts w:ascii="Times New Roman" w:eastAsia="Microsoft YaHei"/>
          <w:b/>
          <w:bCs/>
          <w:color w:val="1A1A1A"/>
        </w:rPr>
        <w:t xml:space="preserve">TR-11 · Ichimoku Kinko Hyo</w:t>
      </w:r>
      <w:bookmarkEnd w:id="100010"/>
    </w:p>
    <w:p>
      <w:pPr>
        <w:spacing w:after="80" w:line="312"/>
      </w:pPr>
      <w:r>
        <w:rPr>
          <w:rFonts w:ascii="Times New Roman" w:eastAsia="Microsoft YaHei"/>
          <w:i/>
          <w:iCs/>
          <w:color w:val="6E6E6E"/>
          <w:sz w:val="20"/>
          <w:szCs w:val="20"/>
        </w:rPr>
        <w:t xml:space="preserve">一目均衡表 · 一目均衡表 (Ишимоку)</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Goichi Hosoda, Japan, developed 1930s-1960s, published 1969.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five-part system — conversion and base lines (Donchian-style midpoints), a leading span computed from them, a 52-period span, and a displaced cloud — that encodes trend, momentum, support/resistance, and forward projection in one overlay. Trading rules combine cloud position, Kijun as the trend referee, and TK crosses. It has dedicated practitioner schools in Japan, China (一目均衡表 communities), and Russia, where 'Ишимоку' became a retail cult in the 2000s.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price is above the cloud, Tenkan &gt; Kijun, and Chikou is clear of price; Kijun bounces or TK crosses with cloud alignment trigger entries; exit on TK cross against or Kijun break.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9/26/52 with 26-bar displacement (some modern markets use 20/60/120).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一目均衡表 strategy packs; RU Ишимоку school variants (see RU-10); MT4 Ichimoku EAs.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strategy("Ichimoku Kinko Hyo",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donchian(len) =&gt; math.avg(ta.highest(high, len), ta.lowest(low,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tenkan = donchian(9)</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kijun  = donchian(26)</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spanA  = math.avg(tenkan, kijun)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spanB  = donchian(52)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cloudHi = math.max(spanA[26], spanB[26])</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cloudLo = math.min(spanA[26], spanB[26])</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longCond  = close &gt; kijun and close &gt; cloudHi and tenkan &gt; kijun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shortCond = close &lt; kijun and close &lt; cloudLo and tenkan &lt; kijun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longCond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shortCond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plot(tenkan, "Tenkan",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plot(kijun, "Kijun", color=color.red)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plot(spanA, "Span A", color=color.new(color.teal, 60), offset=26)</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plot(spanB, "Span B", color=color.new(color.red, 60), offset=26)</w:t>
      </w:r>
    </w:p>
    <w:p>
      <w:pPr>
        <w:pStyle w:val="Heading3"/>
        <w:spacing w:after="80" w:before="280" w:line="320" w:lineRule="atLeast"/>
      </w:pPr>
      <w:bookmarkStart w:id="100011" w:name="_Toc100011"/>
      <w:r>
        <w:rPr>
          <w:rFonts w:ascii="Times New Roman" w:eastAsia="Microsoft YaHei"/>
          <w:b/>
          <w:bCs/>
          <w:color w:val="1A1A1A"/>
        </w:rPr>
        <w:t xml:space="preserve">TR-12 · Kaufman Adaptive Moving Average (KAMA)</w:t>
      </w:r>
      <w:bookmarkEnd w:id="100011"/>
    </w:p>
    <w:p>
      <w:pPr>
        <w:spacing w:after="80" w:line="312"/>
      </w:pPr>
      <w:r>
        <w:rPr>
          <w:rFonts w:ascii="Times New Roman" w:eastAsia="Microsoft YaHei"/>
          <w:i/>
          <w:iCs/>
          <w:color w:val="6E6E6E"/>
          <w:sz w:val="20"/>
          <w:szCs w:val="20"/>
        </w:rPr>
        <w:t xml:space="preserve">卡玛自适应均线 · Адаптивная средняя Кауфмана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Perry Kaufman, Smarter Trading, 1998.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KAMA scales its own smoothing constant by an Efficiency Ratio: when price travels cleanly (high ER) it hugs price like a fast EMA, and in noise (low ER) it flattens like a long SMA. This makes it a single-line trend filter that self-throttles in ranges. Traders either trade close-vs-KAMA crosses or use KAMA slope as the regime gate for other entries.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close crossing above KAMA with rising slope; exit on cross under or slope flattening;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Window 10, fast 2, slow 30 (canonical); CN CTA uses 10/2/30 on commodity futures.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KAMA modules in CN CTA kits (文华/TB); RU «АМА Кауфмана» robots; KAMA+filter packs on MQL5.</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strategy("Kaufman Adaptive MA Trend",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   = input.int(10, "Efficiency window")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fastE = input.int(2, "Fast smoothing")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slowE = input.int(30, "Slow smoothing")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chg = math.abs(close - close[len])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vol = math.sum(math.abs(ta.change(close)),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er  = chg / math.max(vol, syminfo.mintick)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sc  = math.pow(er * (2.0 / (fastE + 1) - 2.0 / (slowE + 1)) + 2.0 / (slowE + 1),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kama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kama := na(kama[1]) ? close : kama[1] + sc * (close - kama[1])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ta.crossover(close, kama)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ta.crossunder(close, kama)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plot(kama, "KAMA", color=color.teal)</w:t>
      </w:r>
    </w:p>
    <w:p>
      <w:pPr>
        <w:pStyle w:val="Heading3"/>
        <w:spacing w:after="80" w:before="280" w:line="320" w:lineRule="atLeast"/>
      </w:pPr>
      <w:bookmarkStart w:id="100012" w:name="_Toc100012"/>
      <w:r>
        <w:rPr>
          <w:rFonts w:ascii="Times New Roman" w:eastAsia="Microsoft YaHei"/>
          <w:b/>
          <w:bCs/>
          <w:color w:val="1A1A1A"/>
        </w:rPr>
        <w:t xml:space="preserve">TR-13 · VIDYA (Variable Index Dynamic Average)</w:t>
      </w:r>
      <w:bookmarkEnd w:id="100012"/>
    </w:p>
    <w:p>
      <w:pPr>
        <w:spacing w:after="80" w:line="312"/>
      </w:pPr>
      <w:r>
        <w:rPr>
          <w:rFonts w:ascii="Times New Roman" w:eastAsia="Microsoft YaHei"/>
          <w:i/>
          <w:iCs/>
          <w:color w:val="6E6E6E"/>
          <w:sz w:val="20"/>
          <w:szCs w:val="20"/>
        </w:rPr>
        <w:t xml:space="preserve">VIDYA可变动指数平均 · VIDYA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Tushar Chande, 1992 (Technical Analysis of Stocks &amp; Commodities).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VIDYA multiplies the EMA increment by the absolute momentum of a CMO, so the average speeds up in directional markets and stalls in noise — an alternative adaptive-MA solution to KAMA with different lag structure. It is usually used as the trend line inside breakout or pullback systems rather than as a cross system itself.</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Treat VIDYA like an adaptive EMA in a dual-MA or pullback system; slope direction acts as the regime filter.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9-20 with CMO(9) scaling is typical.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VIDYA in MetaStock/AmiBroker libraries (the 1990s archive era); MT4 VIDYA indicators; RU VIDYA forks.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13" w:name="_Toc100013"/>
      <w:r>
        <w:rPr>
          <w:rFonts w:ascii="Times New Roman" w:eastAsia="Microsoft YaHei"/>
          <w:b/>
          <w:bCs/>
          <w:color w:val="1A1A1A"/>
        </w:rPr>
        <w:t xml:space="preserve">TR-14 · FRAMA (Fractal Adaptive Moving Average)</w:t>
      </w:r>
      <w:bookmarkEnd w:id="100013"/>
    </w:p>
    <w:p>
      <w:pPr>
        <w:spacing w:after="80" w:line="312"/>
      </w:pPr>
      <w:r>
        <w:rPr>
          <w:rFonts w:ascii="Times New Roman" w:eastAsia="Microsoft YaHei"/>
          <w:i/>
          <w:iCs/>
          <w:color w:val="6E6E6E"/>
          <w:sz w:val="20"/>
          <w:szCs w:val="20"/>
        </w:rPr>
        <w:t xml:space="preserve">分形自适应均线 · FRAMA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2005 (TASC; fractal dimension work with Ric Way).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FRAMA computes a fractal dimension from half-window high/low geometry and maps it into an adaptive exponential weighting: smooth trends drive dimension toward 1 (fast MA), choppy ranges toward 2 (very slow MA). It is the most theoretically grounded of the adaptive-MA trio (KAMA, VIDYA, FRAMA) and behaves best on swing timeframes.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Use as a single-line trend filter; trade price-vs-FRAMA crosses with slope confirmation, or gate other systems with FRAMA slope.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Base length 16 (windows of len/2); alpha clamped [0.01, 1.0].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FRAMA ports in TASC Traders' Tips archive; MT4/MT5 FRAMA; CN 分形均线 experiments.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14" w:name="_Toc100014"/>
      <w:r>
        <w:rPr>
          <w:rFonts w:ascii="Times New Roman" w:eastAsia="Microsoft YaHei"/>
          <w:b/>
          <w:bCs/>
          <w:color w:val="1A1A1A"/>
        </w:rPr>
        <w:t xml:space="preserve">TR-15 · Guppy Multiple Moving Averages (GMMA)</w:t>
      </w:r>
      <w:bookmarkEnd w:id="100014"/>
    </w:p>
    <w:p>
      <w:pPr>
        <w:spacing w:after="80" w:line="312"/>
      </w:pPr>
      <w:r>
        <w:rPr>
          <w:rFonts w:ascii="Times New Roman" w:eastAsia="Microsoft YaHei"/>
          <w:i/>
          <w:iCs/>
          <w:color w:val="6E6E6E"/>
          <w:sz w:val="20"/>
          <w:szCs w:val="20"/>
        </w:rPr>
        <w:t xml:space="preserve">顾比复合移动平均线 · GMMA Ганна Гаппи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Daryl Guppy (Australia), Trading Tactics, 1990s; huge uptake in Chinese retail materials (顾比均线).</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Twelve EMAs (3-15 and 30-60) split into a short-term 'traders' group and long-term 'investors' group; the geometry between the groups — compression, expansion, and crossover of the ribbons — reads consensus and disagreement. Trades are taken on group compression followed by expansion in the trend direction. It is a ribbon visualization of trend stability rather than a mechanical signal, which is why most implementations remain indicator-only.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the fast ribbon crosses above and the slow ribbon expands with both sloping up; exit when ribbons compress and interpenetrate.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Fast 3/5/8/10/12/15; slow 30/35/40/45/50/60.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顾比均线 templates (通达信/同花顺 formulas); RU «Вееры Ганна/Гаппи» ribbon packs.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indicator("Guppy Multiple Moving Averages (GMMA)",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3),  "F3",  color=color.new(color.teal,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5),  "F5",  color=color.new(color.teal,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8),  "F8",  color=color.new(color.teal, 30))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10), "F10", color=color.new(color.teal, 40))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12), "F12", color=color.new(color.teal,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15), "F15", color=color.new(color.teal, 60))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30), "S30", color=color.new(color.red,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35), "S35", color=color.new(color.red,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40), "S40", color=color.new(color.red, 30))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45), "S45", color=color.new(color.red, 40))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plot(ta.ema(close, 50), "S50", color=color.new(color.red, 50))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plot(ta.ema(close, 60), "S60", color=color.new(color.red, 60))</w:t>
      </w:r>
    </w:p>
    <w:p>
      <w:pPr>
        <w:pStyle w:val="Heading3"/>
        <w:spacing w:after="80" w:before="280" w:line="320" w:lineRule="atLeast"/>
      </w:pPr>
      <w:bookmarkStart w:id="100015" w:name="_Toc100015"/>
      <w:r>
        <w:rPr>
          <w:rFonts w:ascii="Times New Roman" w:eastAsia="Microsoft YaHei"/>
          <w:b/>
          <w:bCs/>
          <w:color w:val="1A1A1A"/>
        </w:rPr>
        <w:t xml:space="preserve">TR-16 · Heikin-Ashi Trend Flip</w:t>
      </w:r>
      <w:bookmarkEnd w:id="100015"/>
    </w:p>
    <w:p>
      <w:pPr>
        <w:spacing w:after="80" w:line="312"/>
      </w:pPr>
      <w:r>
        <w:rPr>
          <w:rFonts w:ascii="Times New Roman" w:eastAsia="Microsoft YaHei"/>
          <w:i/>
          <w:iCs/>
          <w:color w:val="6E6E6E"/>
          <w:sz w:val="20"/>
          <w:szCs w:val="20"/>
        </w:rPr>
        <w:t xml:space="preserve">平均K线趋势翻转 · Торговля по Хейкин-Аши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Munehisa Homma's candle lineage; Heikin-Ashi formalized for modern charts by Dan Valcu (2004, 'Using Heikin-Ashi technique').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Heikin-Ashi averages open/close into pseudo-candles whose bodies shrink in chop and stretch in trends; a run of same-color HA candles with full bodies is a high-contrast trend state. Systems flip long/short after N consecutive colored bodies with a minimum body size, or simply exit on the first opposite-colored candle. It is best treated as a regime filter because HA values are recursive and repaint the 'real' OHLC.</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after 2 consecutive up HA bodies of at least 0.5 ATR; flip/exit on the mirror condition.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Run length 2-3; body filter 0.5 x ATR(14).</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HA smoothing packs (every platform); CN Heikin-Ashi策略; RU «Хейкин Аши» scalping variants.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strategy("Heikin-Ashi Trend Flip",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nRun = input.int(2, "Consecutive HA bars")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atrF = input.float(0.5, "Min body as ATR fraction")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haO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haC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haO := na(haO[1]) ? (open + close) / 2 : (haO[1] + haC[1]) /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haC := (open + high + low + close) / 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body  = haC - haO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upRun = nz(ta.barssince(body &lt;= 0), 999)</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dnRun = nz(ta.barssince(body &gt;= 0), 999)</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bigEnough = math.abs(body) &gt; atrF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upRun == nRun and bigEnough and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dnRun == nRun and bigEnough and strategy.position_size &gt;= 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strategy.entry("S", strategy.short)</w:t>
      </w:r>
    </w:p>
    <w:p>
      <w:pPr>
        <w:pStyle w:val="Heading3"/>
        <w:spacing w:after="80" w:before="280" w:line="320" w:lineRule="atLeast"/>
      </w:pPr>
      <w:bookmarkStart w:id="100016" w:name="_Toc100016"/>
      <w:r>
        <w:rPr>
          <w:rFonts w:ascii="Times New Roman" w:eastAsia="Microsoft YaHei"/>
          <w:b/>
          <w:bCs/>
          <w:color w:val="1A1A1A"/>
        </w:rPr>
        <w:t xml:space="preserve">TR-17 · Time-Series Momentum (TSMOM)</w:t>
      </w:r>
      <w:bookmarkEnd w:id="100016"/>
    </w:p>
    <w:p>
      <w:pPr>
        <w:spacing w:after="80" w:line="312"/>
      </w:pPr>
      <w:r>
        <w:rPr>
          <w:rFonts w:ascii="Times New Roman" w:eastAsia="Microsoft YaHei"/>
          <w:i/>
          <w:iCs/>
          <w:color w:val="6E6E6E"/>
          <w:sz w:val="20"/>
          <w:szCs w:val="20"/>
        </w:rPr>
        <w:t xml:space="preserve">时间序列动量 · Моментум по времени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Moskowitz, Ooi &amp; Pedersen, Journal of Financial Economics, 2012 (AQR lineage).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Go long an asset if its own return over the past k months (commonly 12) is positive, short if negative, sized inversely to volatility. The paper documented that this simple sign rule monetizes the autocorrelation institutional CTAs create, across 58 instruments over decades. It is the academic formalization of what Donchian/Turtle systems do mechanically, and the backbone of most CTA replication products.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Sign of trailing 12-month return decides direction; position = target vol / realized vol; rebalance monthly.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1-12 months; vol target 10-20% annualized.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Cross-sectional momentum (ST-04); CTA trend replication funds; CN 商品CTA趋势 replication research.</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17" w:name="_Toc100017"/>
      <w:r>
        <w:rPr>
          <w:rFonts w:ascii="Times New Roman" w:eastAsia="Microsoft YaHei"/>
          <w:b/>
          <w:bCs/>
          <w:color w:val="1A1A1A"/>
        </w:rPr>
        <w:t xml:space="preserve">TR-18 · CANSLIM Momentum / Leading-Stock Playbook</w:t>
      </w:r>
      <w:bookmarkEnd w:id="100017"/>
    </w:p>
    <w:p>
      <w:pPr>
        <w:spacing w:after="80" w:line="312"/>
      </w:pPr>
      <w:r>
        <w:rPr>
          <w:rFonts w:ascii="Times New Roman" w:eastAsia="Microsoft YaHei"/>
          <w:i/>
          <w:iCs/>
          <w:color w:val="6E6E6E"/>
          <w:sz w:val="20"/>
          <w:szCs w:val="20"/>
        </w:rPr>
        <w:t xml:space="preserve">欧奈尔CANSLIM选股法 · CANSLIM</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William O'Neil, How to Make Money in Stocks (1988; Investor's Business Daily methodology).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fundamentals-plus-technique momentum system: buy stocks meeting Current earnings, Annual growth, New product/price highs, Supply/demand, Leaders, Institutional sponsorship, and Market direction, entered chiefly on cup-with-handle or flat-base breakouts in strong uptrends. Exits are hard rules: cut at 7-8% below entry, take profits into climactic runs. It is the direct ancestor of Qullamägi-style EP momentum (see BK-03 relatives) and of A-share 龙头战法 (CN-04) logic.</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Screen by earnings/price leadership; buy base breakouts above pivot with volume surge; stop 7-8%; pyramiding only while the advance stays orderly.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Relative strength top percentile; volume &gt;= 1.5x average on breakout; bases 3-7 weeks.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IBD-style screeners; CN 龙头战法 (structurally similar); RU «рост на лидерах» screeners.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8" w:id="8"/>
      <w:r>
        <w:rPr>
          <w:rFonts w:ascii="Times New Roman" w:eastAsia="Microsoft YaHei"/>
          <w:b/>
          <w:bCs/>
          <w:color w:val="1A1A1A"/>
        </w:rPr>
        <w:t xml:space="preserve">Family B — Mean Reversion &amp; Oscillator Systems (MR)</w:t>
      </w:r>
      <w:bookmarkEnd w:id="8"/>
    </w:p>
    <w:p>
      <w:pPr>
        <w:spacing w:after="200" w:line="312"/>
        <w:jc w:val="both"/>
      </w:pPr>
      <w:r>
        <w:rPr>
          <w:rFonts w:ascii="Times New Roman" w:eastAsia="Microsoft YaHei"/>
          <w:color w:val="1A1A1A"/>
          <w:sz w:val="22"/>
          <w:szCs w:val="22"/>
        </w:rPr>
        <w:t xml:space="preserve">Mean-reversion systems bet that stretched conditions snap back: oversold oscillators, band touches, or divergence between price and a smoother anchor. The family is globally homogeneous — a Bollinger fade in a Chinese ETF grid, a Russian forex RSI robot, and a Connors RSI(2) backtest are the same trade with different clothes. The entries below keep only forms with a genuinely distinct mechanism (oscillator construction, adaptive banding, or exit logic); pure parameter variants are listed as eliminated duplicates.</w:t>
      </w:r>
    </w:p>
    <w:p>
      <w:pPr>
        <w:pStyle w:val="Heading3"/>
        <w:spacing w:after="80" w:before="280" w:line="320" w:lineRule="atLeast"/>
      </w:pPr>
      <w:bookmarkStart w:id="100018" w:name="_Toc100018"/>
      <w:r>
        <w:rPr>
          <w:rFonts w:ascii="Times New Roman" w:eastAsia="Microsoft YaHei"/>
          <w:b/>
          <w:bCs/>
          <w:color w:val="1A1A1A"/>
        </w:rPr>
        <w:t xml:space="preserve">MR-01 · Connors RSI(2) Pullback</w:t>
      </w:r>
      <w:bookmarkEnd w:id="100018"/>
    </w:p>
    <w:p>
      <w:pPr>
        <w:spacing w:after="80" w:line="312"/>
      </w:pPr>
      <w:r>
        <w:rPr>
          <w:rFonts w:ascii="Times New Roman" w:eastAsia="Microsoft YaHei"/>
          <w:i/>
          <w:iCs/>
          <w:color w:val="6E6E6E"/>
          <w:sz w:val="20"/>
          <w:szCs w:val="20"/>
        </w:rPr>
        <w:t xml:space="preserve">康纳斯RSI(2)回调 · Система RSI(2) Коннорса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Laurence Connors, Short Term Trading Strategies That Work (2009) and Connors Research papers.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Buy short-term panic inside an uptrend: RSI(2) under 10 while price is above its 200-day average, exit into the snap-back near RSI 55-65 or the 5-day MA. The edge is heavily documented on US equities and ETFs and degrades on assets with fat left tails. It is the archetype of 'buy the dip, sell the rip' mechanical scalping.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trend filter true and RSI(2) &lt; buy level; exit when RSI(2) &gt; exit level or close &gt; SMA(5); short mirror below the 200-day MA.</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RSI 2 (3-5 variants); buy &lt;10, exit &gt;60; 200-MA regime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RSI(3)/RSI(4) variants; CN 短线超卖反弹 templates; RU 'RSI отскок' MT4 robots.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strategy("RSI(2) Pullback (Connors-style)",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rsiLen = input.int(2, "RSI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buyLv  = input.int(10, "Buy below")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sellLv = input.int(60, "Exit above")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trendOk = close &gt; ta.sma(close, 200)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 = ta.rsi(close, rsiLen)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trendOk and r &lt; buyLv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(r &gt; sellLv or close &gt; ta.sma(close, 5))</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strategy.close("L", comment="Snap-back exit")</w:t>
      </w:r>
    </w:p>
    <w:p>
      <w:pPr>
        <w:pStyle w:val="Heading3"/>
        <w:spacing w:after="80" w:before="280" w:line="320" w:lineRule="atLeast"/>
      </w:pPr>
      <w:bookmarkStart w:id="100019" w:name="_Toc100019"/>
      <w:r>
        <w:rPr>
          <w:rFonts w:ascii="Times New Roman" w:eastAsia="Microsoft YaHei"/>
          <w:b/>
          <w:bCs/>
          <w:color w:val="1A1A1A"/>
        </w:rPr>
        <w:t xml:space="preserve">MR-02 · Bollinger Band Reversion (%B Fade)</w:t>
      </w:r>
      <w:bookmarkEnd w:id="100019"/>
    </w:p>
    <w:p>
      <w:pPr>
        <w:spacing w:after="80" w:line="312"/>
      </w:pPr>
      <w:r>
        <w:rPr>
          <w:rFonts w:ascii="Times New Roman" w:eastAsia="Microsoft YaHei"/>
          <w:i/>
          <w:iCs/>
          <w:color w:val="6E6E6E"/>
          <w:sz w:val="20"/>
          <w:szCs w:val="20"/>
        </w:rPr>
        <w:t xml:space="preserve">布林带回归 · Отскок от границ Боллинджера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Bollinger, 1980s (Bollinger on Bollinger Bands, 2001).</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Price outside a 2-sigma band is statistically stretched; fade back to the mean basis, ideally only in the direction of the higher-timeframe trend. Bollinger himself warns that walking the band is a trend signal, so serious implementations add a trend gate or a squeeze precondition. It is one of the two or three most universal retail strategies on earth.</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trend-up and close pierces the lower band, exit at the middle band; short mirrored; optional RSI confluence.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20, deviations 2.0; exit at SMA(20); RSI(14) &lt; 30 confluence.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布林带下轨抄底 (ETF/股票); RU «торговля от границ Боллинджера»; Bollinger %B factor research.</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strategy("Bollinger Band Reversion",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  = input.int(20,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mult = input.float(2.0, "StdDev")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basis = ta.sma(close,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dev   = mult * ta.stdev(close,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lower = basis - 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trendUp = close &gt; ta.sma(close, 200)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trendUp and close &lt; lower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&gt;= basis</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strategy.close("L", comment="Mean reversion")</w:t>
      </w:r>
    </w:p>
    <w:p>
      <w:pPr>
        <w:pStyle w:val="Heading3"/>
        <w:spacing w:after="80" w:before="280" w:line="320" w:lineRule="atLeast"/>
      </w:pPr>
      <w:bookmarkStart w:id="100020" w:name="_Toc100020"/>
      <w:r>
        <w:rPr>
          <w:rFonts w:ascii="Times New Roman" w:eastAsia="Microsoft YaHei"/>
          <w:b/>
          <w:bCs/>
          <w:color w:val="1A1A1A"/>
        </w:rPr>
        <w:t xml:space="preserve">MR-03 · Double 7s / 3-Day High-Low Pullback</w:t>
      </w:r>
      <w:bookmarkEnd w:id="100020"/>
    </w:p>
    <w:p>
      <w:pPr>
        <w:spacing w:after="80" w:line="312"/>
      </w:pPr>
      <w:r>
        <w:rPr>
          <w:rFonts w:ascii="Times New Roman" w:eastAsia="Microsoft YaHei"/>
          <w:i/>
          <w:iCs/>
          <w:color w:val="6E6E6E"/>
          <w:sz w:val="20"/>
          <w:szCs w:val="20"/>
        </w:rPr>
        <w:t xml:space="preserve">双七策略 · Система 'двойная семёрка'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Laurence Connors &amp; Cesar Alvarez, Connors Research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extremely simple pullback quantification: buy when close is at its lowest of the last 7 days but the market is above its 200-day MA, exit at the highest close of the last 7 days. Variants substitute 3-day windows or add a cumulative RS filter. It demonstrates how small the mean-reversion edge can be while still being systematic.</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7-day-low close above SMA(200); exit on 7-day-high close; time-stop optional.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Window 7 (3-day variant); 200-MA filter; position ~equally weighted across a basket.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3-Day High/Low; 'TFSE' Connors variants; CN 七日新低反弹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21" w:name="_Toc100021"/>
      <w:r>
        <w:rPr>
          <w:rFonts w:ascii="Times New Roman" w:eastAsia="Microsoft YaHei"/>
          <w:b/>
          <w:bCs/>
          <w:color w:val="1A1A1A"/>
        </w:rPr>
        <w:t xml:space="preserve">MR-04 · Keltner Channel Pullback</w:t>
      </w:r>
      <w:bookmarkEnd w:id="100021"/>
    </w:p>
    <w:p>
      <w:pPr>
        <w:spacing w:after="80" w:line="312"/>
      </w:pPr>
      <w:r>
        <w:rPr>
          <w:rFonts w:ascii="Times New Roman" w:eastAsia="Microsoft YaHei"/>
          <w:i/>
          <w:iCs/>
          <w:color w:val="6E6E6E"/>
          <w:sz w:val="20"/>
          <w:szCs w:val="20"/>
        </w:rPr>
        <w:t xml:space="preserve">肯特纳通道回调 · Откат по каналам Кельтнера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Chester Keltner, 1960 (10-day MA of typical price); modern ATR version by Linda Raschke, 1990s.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Raschke's modernization sets the channel at EMA(20) +/- 1.5-2 x ATR(10); mean-reversion traders fade the outer band back to the EMA, while trend traders use the opposite (KingKeltner breakout in vn.py). The same envelope therefore hosts two opposite philosophies depending on whether the trend filter is inside or outside the system. This entry covers the fade form; the breakout form is BK-13.</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close &lt; lower Keltner band in an uptrend regime; exit at the EMA basis or opposite band.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EMA 20; ATR 10; multiple 1.5-2.0.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vn.py KingKeltnerStrategy (breakout form, cross-ref BK-13); CN 肯特纳通道 scripts; RU каналы Кельтнера.</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22" w:name="_Toc100022"/>
      <w:r>
        <w:rPr>
          <w:rFonts w:ascii="Times New Roman" w:eastAsia="Microsoft YaHei"/>
          <w:b/>
          <w:bCs/>
          <w:color w:val="1A1A1A"/>
        </w:rPr>
        <w:t xml:space="preserve">MR-05 · TTM Squeeze / Squeeze Momentum</w:t>
      </w:r>
      <w:bookmarkEnd w:id="100022"/>
    </w:p>
    <w:p>
      <w:pPr>
        <w:spacing w:after="80" w:line="312"/>
      </w:pPr>
      <w:r>
        <w:rPr>
          <w:rFonts w:ascii="Times New Roman" w:eastAsia="Microsoft YaHei"/>
          <w:i/>
          <w:iCs/>
          <w:color w:val="6E6E6E"/>
          <w:sz w:val="20"/>
          <w:szCs w:val="20"/>
        </w:rPr>
        <w:t xml:space="preserve">布林-KC挤压 · Сжатие Боллинджера и Кельтнера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Carter, Mastering the Trade (2005); LazyBear's open Pine port (2014) made it a TradingView staple.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When Bollinger Bands fit entirely inside Keltner Channels, volatility has compressed to a coiled state; the script fires when the squeeze releases, in the direction of a linreg momentum histogram measured against the midpoint of the range. It is a volatility-contraction breakout disguised as an oscillator and is among the most-cloned scripts on TradingView.</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Arm during squeeze-on; enter on squeeze fire with histogram positive (long) or negative (short); trail via histogram color flips or ATR stop.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BB 20/2.0; KC 20/1.5; momentum linreg 20.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Squeeze Momentum Indicator [LazyBear]; Squeeze Pro (LuxAlgo, cross-ref BK-11); CN 布林收口战法; RU «сжатие волатильности» scripts.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strategy("TTM Squeeze",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lenBB = input.int(20, "BB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multBB = input.float(2.0, "BB mult")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lenKC = input.int(20, "KC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multKC = input.float(1.5, "KC mult")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basis = ta.sma(close, lenBB)</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dev   = multBB * ta.stdev(close, lenBB)</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bbU   = basis + 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bbL   = basis - 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    = ta.ema(close, lenKC)</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rng   = ta.atr(lenKC)</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kcU   = ma + multKC * rng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kcL   = ma - multKC * rng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squeezeOn = bbU &lt; kcU and bbL &gt; kcL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mom = ta.linreg(close - math.avg(math.avg(ta.highest(high, lenKC),</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ta.lowest(low, lenKC)), ta.sma(close, lenKC)), lenKC,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fired = squeezeOn[1] and not squeezeOn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fired and mom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fired and mom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plot(mom, "Momentum", style=plot.style_histogram,</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color=mom &gt;= 0 ? color.teal : color.red)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bgcolor(squeezeOn ? color.new(color.orange, 80) : na)</w:t>
      </w:r>
    </w:p>
    <w:p>
      <w:pPr>
        <w:pStyle w:val="Heading3"/>
        <w:spacing w:after="80" w:before="280" w:line="320" w:lineRule="atLeast"/>
      </w:pPr>
      <w:bookmarkStart w:id="100023" w:name="_Toc100023"/>
      <w:r>
        <w:rPr>
          <w:rFonts w:ascii="Times New Roman" w:eastAsia="Microsoft YaHei"/>
          <w:b/>
          <w:bCs/>
          <w:color w:val="1A1A1A"/>
        </w:rPr>
        <w:t xml:space="preserve">MR-06 · QQE (Qualitative Quantitative Estimation)</w:t>
      </w:r>
      <w:bookmarkEnd w:id="100023"/>
    </w:p>
    <w:p>
      <w:pPr>
        <w:spacing w:after="80" w:line="312"/>
      </w:pPr>
      <w:r>
        <w:rPr>
          <w:rFonts w:ascii="Times New Roman" w:eastAsia="Microsoft YaHei"/>
          <w:i/>
          <w:iCs/>
          <w:color w:val="6E6E6E"/>
          <w:sz w:val="20"/>
          <w:szCs w:val="20"/>
        </w:rPr>
        <w:t xml:space="preserve">QQE指标系统 · QQE-система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MT4 forex community (2000s); famous 'QQE mod' by Glaz on TradingView (2014+); MT4 port by Mihkel00.</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QQE smooths RSI with a short EMA and wraps it in a Wilder-style ATR-of-the-RSI trailing band, so signals are RSI crosses of a volatility-adjusted trail rather than raw oversold touches. The construction gives RSI trend-following behavior with far fewer whipsaws. It is beloved in forex and gold scalping communities in both Russian and Chinese forums.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the smoothed RSI crosses above its lower ATR trail; short on the cross under the upper trail; optional 50-line regime filter.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RSI 14, smoothing 5, Wilder 14, factor 4.238 (classic mod settings).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QQE MOD (Glaz, Mihkel00 ports); RU QQE-форекс советники; CN QQE+MACD hybrids.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strategy("QQE (RSI + RSI-ATR Trailing)",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rsiLen  = input.int(14, "RSI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smLen   = input.int(5, "RSI smoothing")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wildLen = input.int(14, "Wilder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sf      = input.float(4.238, "ATR factor")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   = ta.rsi(close, rsiLen)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rsiMa = ta.ema(rsi, smLen)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dar   = ta.ema(ta.rma(math.abs(rsiMa - nz(rsiMa[1], rsiMa)), wildLen), 2 * wildLen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band  = sf * dar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trailUp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trailDn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trailUp := nz(rsiMa[1], rsiMa) &gt; nz(trailUp[1], 0) and rsiMa &gt; nz(trailUp[1], 0)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math.max(nz(trailUp[1]), rsiMa - band) : rsiMa - band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trailDn := nz(rsiMa[1], rsiMa) &lt; nz(trailDn[1], 100) and rsiMa &lt; nz(trailDn[1], 100)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math.min(nz(trailDn[1]), rsiMa + band) : rsiMa + band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ta.crossover(rsiMa, trailDn)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ta.crossunder(rsiMa, trailUp)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plot(rsiMa, "RSI MA",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plot(trailUp, "Fast trail", color=color.new(color.red, 30))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plot(trailDn, "Slow trail", color=color.new(color.teal, 30))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hline(50)</w:t>
      </w:r>
    </w:p>
    <w:p>
      <w:pPr>
        <w:pStyle w:val="Heading3"/>
        <w:spacing w:after="80" w:before="280" w:line="320" w:lineRule="atLeast"/>
      </w:pPr>
      <w:bookmarkStart w:id="100024" w:name="_Toc100024"/>
      <w:r>
        <w:rPr>
          <w:rFonts w:ascii="Times New Roman" w:eastAsia="Microsoft YaHei"/>
          <w:b/>
          <w:bCs/>
          <w:color w:val="1A1A1A"/>
        </w:rPr>
        <w:t xml:space="preserve">MR-07 · WaveTrend Oscillator</w:t>
      </w:r>
      <w:bookmarkEnd w:id="100024"/>
    </w:p>
    <w:p>
      <w:pPr>
        <w:spacing w:after="80" w:line="312"/>
      </w:pPr>
      <w:r>
        <w:rPr>
          <w:rFonts w:ascii="Times New Roman" w:eastAsia="Microsoft YaHei"/>
          <w:i/>
          <w:iCs/>
          <w:color w:val="6E6E6E"/>
          <w:sz w:val="20"/>
          <w:szCs w:val="20"/>
        </w:rPr>
        <w:t xml:space="preserve">波形震荡器 · Волновой осциллятор WaveTrend</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Ported from TradeStation/MetaTrader origins by LazyBear (2014) — 'The Perfectionist' lineage; exact original author unknown.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WaveTrend measures the typical price's distance from its own EMA, normalized by 0.015 x an EMA of absolute deviation, then double-smoothed — producing a very smooth cycle oscillator with distinctive overbought/oversold plateaus. Trades fire on WT1/WT2 crosses at extremes. It is one of the top-installed community oscillators ever and the standard confirmation layer in crypto scalping dashboards.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WT1 crossing above WT2 below the oversold band; short on the cross under above overbought; exit near the zero line.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Channel length 10, average 21, bands +/-53; signal SMA 4.</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WaveTrend [WT] (LazyBear); SJ WaveTrend and dozens of forks; CN WT+VWAP scalping dashboards; RU WaveTrend forks on MQL5.</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strategy("WaveTrend Oscillator Cross",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chLen  = input.int(10, "Channel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avgLen = input.int(21, "Average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obLv   = input.float(53, "Overbought")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osLv   = input.float(-53, "Oversold")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ap  = hlc3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esa = ta.ema(ap, chLen)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   = ta.ema(math.abs(ap - esa), chLen)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ci  = (ap - esa) / (0.015 * math.max(d, syminfo.mintick))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wt1 = ta.ema(ci, avgLen)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wt2 = ta.sma(wt1, 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ta.crossover(wt1, wt2) and wt1 &lt; osLv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ta.crossunder(wt1, wt2) and wt1 &gt; obLv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plot(wt1, "WT1",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plot(wt2, "WT2", color=color.red)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hline(obLv)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hline(osLv)</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hline(0)</w:t>
      </w:r>
    </w:p>
    <w:p>
      <w:pPr>
        <w:pStyle w:val="Heading3"/>
        <w:spacing w:after="80" w:before="280" w:line="320" w:lineRule="atLeast"/>
      </w:pPr>
      <w:bookmarkStart w:id="100025" w:name="_Toc100025"/>
      <w:r>
        <w:rPr>
          <w:rFonts w:ascii="Times New Roman" w:eastAsia="Microsoft YaHei"/>
          <w:b/>
          <w:bCs/>
          <w:color w:val="1A1A1A"/>
        </w:rPr>
        <w:t xml:space="preserve">MR-08 · Fisher Transform Reversal</w:t>
      </w:r>
      <w:bookmarkEnd w:id="100025"/>
    </w:p>
    <w:p>
      <w:pPr>
        <w:spacing w:after="80" w:line="312"/>
      </w:pPr>
      <w:r>
        <w:rPr>
          <w:rFonts w:ascii="Times New Roman" w:eastAsia="Microsoft YaHei"/>
          <w:i/>
          <w:iCs/>
          <w:color w:val="6E6E6E"/>
          <w:sz w:val="20"/>
          <w:szCs w:val="20"/>
        </w:rPr>
        <w:t xml:space="preserve">费雪变换反转 · Преобразование Фишера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'Using the Fisher Transform', TASC November 2002.</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Fisher transform maps any bounded oscillator (here a normalized price position in its range) through a logit-like function that sharpens turning points: ordinary swings become nearly Gaussian-peaked, so crossings of the transformed line with its 1-bar lag mark reversals unusually cleanly. Ehlers designed it to make cycle turning points unambiguous for mechanical exits.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Fisher crossing above its previous value while negative; short on the cross under while positive; exit on opposite signal or zero-line pass.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9; clamps the normalized value to +/-0.999.</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Fisher in Ehlers' book suite (Cybernetic Analysis, 2002); MT4/MT5 Fisher; CN 费雪指标 scripts.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strategy("Ehlers Fisher Transform",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 = input.int(9,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hh  = ta.highest(high,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ll  = ta.lowest(low,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rng = math.max(hh - ll, syminfo.mintick)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val = 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fish = 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val  := 0.33 * 2.0 * ((close - ll) / rng - 0.5) + 0.67 * nz(val[1])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val  := math.max(math.min(val, 0.999), -0.999)</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fish := 0.5 * math.log((1 + val) / (1 - val)) + 0.5 * nz(fish[1])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ta.crossover(fish, nz(fish[1])) and fish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ta.crossunder(fish, nz(fish[1])) and fish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plot(fish, "Fisher",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plot(nz(fish[1]), "Trigger", color=color.red)</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hline(0)</w:t>
      </w:r>
    </w:p>
    <w:p>
      <w:pPr>
        <w:pStyle w:val="Heading3"/>
        <w:spacing w:after="80" w:before="280" w:line="320" w:lineRule="atLeast"/>
      </w:pPr>
      <w:bookmarkStart w:id="100026" w:name="_Toc100026"/>
      <w:r>
        <w:rPr>
          <w:rFonts w:ascii="Times New Roman" w:eastAsia="Microsoft YaHei"/>
          <w:b/>
          <w:bCs/>
          <w:color w:val="1A1A1A"/>
        </w:rPr>
        <w:t xml:space="preserve">MR-09 · RSI Regular Divergence System</w:t>
      </w:r>
      <w:bookmarkEnd w:id="100026"/>
    </w:p>
    <w:p>
      <w:pPr>
        <w:spacing w:after="80" w:line="312"/>
      </w:pPr>
      <w:r>
        <w:rPr>
          <w:rFonts w:ascii="Times New Roman" w:eastAsia="Microsoft YaHei"/>
          <w:i/>
          <w:iCs/>
          <w:color w:val="6E6E6E"/>
          <w:sz w:val="20"/>
          <w:szCs w:val="20"/>
        </w:rPr>
        <w:t xml:space="preserve">RSI背离系统 · Дивергенции по RSI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Classic manual TA (Wilder's RSI, 1978) mechanized via pivot detection in the Pine community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regular bullish divergence forms when price prints a lower low while RSI prints a higher low — selling exhaustion. Mechanical detection compares the last two RSI pivot lows and the price lows between them, then enters on confirmation. Divergence systems look brilliant on annotated screenshots and are much noisier in backtests, so implementations always add trend and volatility filters.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RSI pivot lows (5/5); long when a new lower price low pairs with a higher RSI low, above a 200-MA; exit on RSI failing above 70.</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Pivot left/right 5; RSI 14; divergence lookback ~60 bars.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Hidden divergence variants; CN MACD/RSI背离战法; RU 'дивергенция' robots on MQL5.</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strategy("RSI Regular Divergence",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rsiLen = input.int(14, "RSI")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lbL = input.int(5, "Pivot left")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lbR = input.int(5, "Pivot right")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 = ta.rsi(close, rsiLen)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  = ta.pivotlow(rsi, lbL, lbR)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lastPL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prevPL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lastPLPrice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prevPLPrice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na(pl)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prevPL      := lastPL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prevPLPrice := lastPLPrice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lastPL      := pl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lastPLPrice := low[lbR]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bullDiv = not na(prevPL) and lastPL &gt; prevPL and lastPLPrice &lt; prevPLPrice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bullDiv and close &gt; ta.sma(close, 200)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ta.crossunder(rsi, 70)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comment="RSI roll")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plot(rsi, "RSI",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hline(30)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hline(70)</w:t>
      </w:r>
    </w:p>
    <w:p>
      <w:pPr>
        <w:pStyle w:val="Heading3"/>
        <w:spacing w:after="80" w:before="280" w:line="320" w:lineRule="atLeast"/>
      </w:pPr>
      <w:bookmarkStart w:id="100027" w:name="_Toc100027"/>
      <w:r>
        <w:rPr>
          <w:rFonts w:ascii="Times New Roman" w:eastAsia="Microsoft YaHei"/>
          <w:b/>
          <w:bCs/>
          <w:color w:val="1A1A1A"/>
        </w:rPr>
        <w:t xml:space="preserve">MR-10 · Stochastic Oversold System</w:t>
      </w:r>
      <w:bookmarkEnd w:id="100027"/>
    </w:p>
    <w:p>
      <w:pPr>
        <w:spacing w:after="80" w:line="312"/>
      </w:pPr>
      <w:r>
        <w:rPr>
          <w:rFonts w:ascii="Times New Roman" w:eastAsia="Microsoft YaHei"/>
          <w:i/>
          <w:iCs/>
          <w:color w:val="6E6E6E"/>
          <w:sz w:val="20"/>
          <w:szCs w:val="20"/>
        </w:rPr>
        <w:t xml:space="preserve">随机指标超卖系统 · Система по стохастику</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George Lane, 1950s-1980s (stochastic oscillator).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Fade %K/%D extremes toward the middle of the range, classically demanding a cross out of the 20/80 zones as confirmation rather than entry at the extreme itself. Lane's original framing tied the indicator to cycle troughs; modern use adds trend filters because raw stochastic fades bleed in trends. It remains the default oscillator in Russian and Chinese retail platforms.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%K crosses above %D from below 20; exit at 50 or 80;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14/3/3 classic; CN 9/3/3 intraday variants.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«Стохастик + RSI» комбо-роботы; CN KDJ战法 (the CN KDJ is a stochastic variant); MT4 stochastic packs.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28" w:name="_Toc100028"/>
      <w:r>
        <w:rPr>
          <w:rFonts w:ascii="Times New Roman" w:eastAsia="Microsoft YaHei"/>
          <w:b/>
          <w:bCs/>
          <w:color w:val="1A1A1A"/>
        </w:rPr>
        <w:t xml:space="preserve">MR-11 · Pivot Point Reversion</w:t>
      </w:r>
      <w:bookmarkEnd w:id="100028"/>
    </w:p>
    <w:p>
      <w:pPr>
        <w:spacing w:after="80" w:line="312"/>
      </w:pPr>
      <w:r>
        <w:rPr>
          <w:rFonts w:ascii="Times New Roman" w:eastAsia="Microsoft YaHei"/>
          <w:i/>
          <w:iCs/>
          <w:color w:val="6E6E6E"/>
          <w:sz w:val="20"/>
          <w:szCs w:val="20"/>
        </w:rPr>
        <w:t xml:space="preserve">枢轴点回归 · Торговля от пивотов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Floor-trader pivots, pre-digital Chicago pits; codified in 1990s day-trading literature (Crabel, Pesavento).</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Compute R1/S1 pivots from the prior session's high/low/close and fade touches back toward the central pivot when the day is range-bound. The system is a session-anchored mean reversion with unusually clean institutional logic — everyone watches the same levels. It requires an intraday trend filter (e.g., yesterday's close vs today's open) to avoid fading real trend days.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at S1 if open &gt; prior close (gap-up bias); exit at PP or R1; short mirrored; skip on wide-gap trend days.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Classic pivot formulas; skip threshold for gaps &gt; 0.5 x ATR.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分时均线/枢轴 strategies; RU 'пивот-уровни' robots; every MT4 pivot indicator pack.</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29" w:name="_Toc100029"/>
      <w:r>
        <w:rPr>
          <w:rFonts w:ascii="Times New Roman" w:eastAsia="Microsoft YaHei"/>
          <w:b/>
          <w:bCs/>
          <w:color w:val="1A1A1A"/>
        </w:rPr>
        <w:t xml:space="preserve">MR-12 · Intraday VWAP Mean Reversion</w:t>
      </w:r>
      <w:bookmarkEnd w:id="100029"/>
    </w:p>
    <w:p>
      <w:pPr>
        <w:spacing w:after="80" w:line="312"/>
      </w:pPr>
      <w:r>
        <w:rPr>
          <w:rFonts w:ascii="Times New Roman" w:eastAsia="Microsoft YaHei"/>
          <w:i/>
          <w:iCs/>
          <w:color w:val="6E6E6E"/>
          <w:sz w:val="20"/>
          <w:szCs w:val="20"/>
        </w:rPr>
        <w:t xml:space="preserve">VWAP日内均值回归 · Возврат к VWAP</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Institutional execution benchmark turned retail signal (1990s-2000s); Pine ta.vwap session form.</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VWAP is the day's institutional cost basis; when price stretches multiple standard deviations away, mean-reversion traders fade back toward it, exploiting the same pull that execution algos exert. Implementations typically require the deviation to be volatility-normalized and avoid fading on breakout days (strong trend + news). The companion breakout use of VWAP belongs to VO-07/08.</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close &lt; VWAP - 2 x rolling stdev of (close - VWAP) with no gap-news regime; exit at VWAP;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Deviation window 20-50 bars; bands at 1-2 sigma; hard time-stop by session end.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分时VWAP回归; RU «откат к VWAP» скрипты; every VWAP-bands pack on TradingView.</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0" w:name="_Toc100030"/>
      <w:r>
        <w:rPr>
          <w:rFonts w:ascii="Times New Roman" w:eastAsia="Microsoft YaHei"/>
          <w:b/>
          <w:bCs/>
          <w:color w:val="1A1A1A"/>
        </w:rPr>
        <w:t xml:space="preserve">MR-13 · Z-Score Spread Reversion</w:t>
      </w:r>
      <w:bookmarkEnd w:id="100030"/>
    </w:p>
    <w:p>
      <w:pPr>
        <w:spacing w:after="80" w:line="312"/>
      </w:pPr>
      <w:r>
        <w:rPr>
          <w:rFonts w:ascii="Times New Roman" w:eastAsia="Microsoft YaHei"/>
          <w:i/>
          <w:iCs/>
          <w:color w:val="6E6E6E"/>
          <w:sz w:val="20"/>
          <w:szCs w:val="20"/>
        </w:rPr>
        <w:t xml:space="preserve">Z分数价差回归 · Z-score возврат спреда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Academic stat-arb (Gatev et al. 1999; Avellaneda &amp; Lee 2010) adapted to single-asset z-scores.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Standardize a price, spread, or indicator as a rolling z-score and trade crossings of +/-2 back toward zero, with sizing scaled by the z magnitude. On a pair spread it is pairs trading (ST-01); on a single asset's deviation from its own anchor (MA, VWAP, ratio to a lead) it is the general form of every band fade in this family. The z formulation is what makes threshold tuning transferable across assets.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Enter at z beyond +/-2 in the direction of reversion; exit at z = 0; hard stop at z = +/-3.5 (assumption break).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20-60 for the mean/sigma; half-life check via Ornstein-Uhlenbeck fit.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«Z-score роботы»; CN 标准化偏离策略; Pairs-trading single-leg approximations.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1" w:name="_Toc100031"/>
      <w:r>
        <w:rPr>
          <w:rFonts w:ascii="Times New Roman" w:eastAsia="Microsoft YaHei"/>
          <w:b/>
          <w:bCs/>
          <w:color w:val="1A1A1A"/>
        </w:rPr>
        <w:t xml:space="preserve">MR-14 · Williams %R Fade</w:t>
      </w:r>
      <w:bookmarkEnd w:id="100031"/>
    </w:p>
    <w:p>
      <w:pPr>
        <w:spacing w:after="80" w:line="312"/>
      </w:pPr>
      <w:r>
        <w:rPr>
          <w:rFonts w:ascii="Times New Roman" w:eastAsia="Microsoft YaHei"/>
          <w:i/>
          <w:iCs/>
          <w:color w:val="6E6E6E"/>
          <w:sz w:val="20"/>
          <w:szCs w:val="20"/>
        </w:rPr>
        <w:t xml:space="preserve">威廉指标回归 · Уильямс %R</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Larry Williams, 1966-1973 (the %R oscillator).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normalized stochastic that reads where close sits inside the recent high-low range; classic use fades readings beyond -80/-20 back toward the midrange. Williams himself is better known for volatility-breakout systems (C-Degree, OOPS), so the fade form is the community's usage rather than the author's own trading. It shares all the standard oscillator-fade caveats.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%R crosses up through -80; exit at -50 or -20;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14-period standard; session-filtered intraday variants.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%R-роботы; CN 威廉指标战法; bundled in every platform's default indicator set.</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2" w:name="_Toc100032"/>
      <w:r>
        <w:rPr>
          <w:rFonts w:ascii="Times New Roman" w:eastAsia="Microsoft YaHei"/>
          <w:b/>
          <w:bCs/>
          <w:color w:val="1A1A1A"/>
        </w:rPr>
        <w:t xml:space="preserve">MR-15 · Money-Flow Reversion (CMF/MFI)</w:t>
      </w:r>
      <w:bookmarkEnd w:id="100032"/>
    </w:p>
    <w:p>
      <w:pPr>
        <w:spacing w:after="80" w:line="312"/>
      </w:pPr>
      <w:r>
        <w:rPr>
          <w:rFonts w:ascii="Times New Roman" w:eastAsia="Microsoft YaHei"/>
          <w:i/>
          <w:iCs/>
          <w:color w:val="6E6E6E"/>
          <w:sz w:val="20"/>
          <w:szCs w:val="20"/>
        </w:rPr>
        <w:t xml:space="preserve">资金流回归 · Возврат по денежному потоку</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Chaikin Money Flow / Accumulation-Distribution (Marc Chaikin, 1966-1980s); Money Flow Index (Quong &amp; Soudack, 1989).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Volume-weighted oscillators score whether closing strength coincides with volume; readings at extremes with price not confirming signal absorption or climactic transfer. Mean-reversion implementations fade CMF/MFI extremes toward zero with a price-trend filter, treating the volume dimension as the edge over plain RSI fades.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MFI(14) &lt; 20 with price above its 200-MA; exit when MFI &gt; 50; CMF variant uses +/-0.25 bands.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MFI 14; CMF 20-21; regime filter 200-MA.</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资金流指标策略; RU «денежный поток» индикаторные системы; OBV-family hybrids (cross VO-02).</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9" w:id="9"/>
      <w:r>
        <w:rPr>
          <w:rFonts w:ascii="Times New Roman" w:eastAsia="Microsoft YaHei"/>
          <w:b/>
          <w:bCs/>
          <w:color w:val="1A1A1A"/>
        </w:rPr>
        <w:t xml:space="preserve">Family C — Breakout &amp; Volatility Expansion (BK)</w:t>
      </w:r>
      <w:bookmarkEnd w:id="9"/>
    </w:p>
    <w:p>
      <w:pPr>
        <w:spacing w:after="200" w:line="312"/>
        <w:jc w:val="both"/>
      </w:pPr>
      <w:r>
        <w:rPr>
          <w:rFonts w:ascii="Times New Roman" w:eastAsia="Microsoft YaHei"/>
          <w:color w:val="1A1A1A"/>
          <w:sz w:val="22"/>
          <w:szCs w:val="22"/>
        </w:rPr>
        <w:t xml:space="preserve">Breakout systems monetize the transition from compression to expansion: narrow ranges, contracted volatility, and session opens all precede directional expansion more often than chance. This family overlaps trend following at its edges — a Donchian break is both — so the entries here are the ones whose edge comes specifically from the range geometry: session ranges, narrow-range days, volatility contraction patterns, and indicator-defined squeezes. Chinese 放量突破 and Russian прrobой-флэта systems are local dialects of the same grammar.</w:t>
      </w:r>
    </w:p>
    <w:p>
      <w:pPr>
        <w:pStyle w:val="Heading3"/>
        <w:spacing w:after="80" w:before="280" w:line="320" w:lineRule="atLeast"/>
      </w:pPr>
      <w:bookmarkStart w:id="100033" w:name="_Toc100033"/>
      <w:r>
        <w:rPr>
          <w:rFonts w:ascii="Times New Roman" w:eastAsia="Microsoft YaHei"/>
          <w:b/>
          <w:bCs/>
          <w:color w:val="1A1A1A"/>
        </w:rPr>
        <w:t xml:space="preserve">BK-01 · Opening Range Breakout (ORB)</w:t>
      </w:r>
      <w:bookmarkEnd w:id="100033"/>
    </w:p>
    <w:p>
      <w:pPr>
        <w:spacing w:after="80" w:line="312"/>
      </w:pPr>
      <w:r>
        <w:rPr>
          <w:rFonts w:ascii="Times New Roman" w:eastAsia="Microsoft YaHei"/>
          <w:i/>
          <w:iCs/>
          <w:color w:val="6E6E6E"/>
          <w:sz w:val="20"/>
          <w:szCs w:val="20"/>
        </w:rPr>
        <w:t xml:space="preserve">开盘区间突破 · Пробой диапазона открытия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Toby Crabel, Day Trading with Short Term Price Patterns and Opening Range Breakout (1990).</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Define the high/low of the first 5-30 minutes and trade stops outside that range; the opening range encodes overnight information being repriced by the day's first liquidity wave. Crabel's statistical work on gap behavior underlies dozens of modern ORB variants, including the 2020s 'ORB-5' revival in US equities. Failure handling (re-entry, midpoint stops) matters more than the entry itself.</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After the range closes, long on close above OR-high (stop on OR-low), short mirrored; flatten by session end.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Range 5/15/30 minutes; stop at opposite edge or midpoint; skip inside days by volume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开盘区间突破 (股票/股指); RU «Пробой открытия» intraday robots; ICT opening-range variants (cross PA-09).</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strategy("Opening Range Breakout (ORB)",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sess  = input.session("0930-0945", "Opening range session")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tz    = input.string("America/New_York", "Timezone")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inOR  = not na(time(timeframe.period, sess, tz))</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orHi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orLo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newDay = ta.change(time("D"))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newDay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orHi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orLo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inOR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orHi := na(orHi) ? high : math.max(orHi, high)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orLo := na(orLo) ? low  : math.min(orLo, 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inOR and not na(orHi) and strategy.position_size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if close &gt; orHi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if close &lt; orLo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strategy.exit("LX", from_entry="L", stop=orLo)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strategy.exit("SX", from_entry="S", stop=orHi)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newDay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strategy.close_all(comment="Session reset")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plot(inOR ? orHi : na, "OR High", color=color.teal,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plot(inOR ? orLo : na, "OR Low", color=color.red, style=plot.style_linebr)</w:t>
      </w:r>
    </w:p>
    <w:p>
      <w:pPr>
        <w:pStyle w:val="Heading3"/>
        <w:spacing w:after="80" w:before="280" w:line="320" w:lineRule="atLeast"/>
      </w:pPr>
      <w:bookmarkStart w:id="100034" w:name="_Toc100034"/>
      <w:r>
        <w:rPr>
          <w:rFonts w:ascii="Times New Roman" w:eastAsia="Microsoft YaHei"/>
          <w:b/>
          <w:bCs/>
          <w:color w:val="1A1A1A"/>
        </w:rPr>
        <w:t xml:space="preserve">BK-02 · Narrow Range 7 / Inside Day Patterns</w:t>
      </w:r>
      <w:bookmarkEnd w:id="100034"/>
    </w:p>
    <w:p>
      <w:pPr>
        <w:spacing w:after="80" w:line="312"/>
      </w:pPr>
      <w:r>
        <w:rPr>
          <w:rFonts w:ascii="Times New Roman" w:eastAsia="Microsoft YaHei"/>
          <w:i/>
          <w:iCs/>
          <w:color w:val="6E6E6E"/>
          <w:sz w:val="20"/>
          <w:szCs w:val="20"/>
        </w:rPr>
        <w:t xml:space="preserve">窄幅整理形态 · Внутренний день / узкий диапазон</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Toby Crabel (1990), building on 1970s floor-trader NR7 lore.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day whose range is the narrowest of the last 7 (NR7), or an inside day fully engulfed by the prior bar, marks volatility contraction that statistically precedes expansion; trade the break of the contraction bar in either direction. Crabel's book remains the quantitative foundation of all 'compression day' trading. Modern VCP (BK-03) is the multi-stage generalization.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Next day, buy a stop above the NR7/inside-day high, sell a stop below its low; cancel the unfilled side after the first fill.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NR7 (or NR4); ORB-style stops; ATR-scaled targets.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窄幅整理突破; RU 'узкий диапазон' scripts; ID/NR4 variants.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5" w:name="_Toc100035"/>
      <w:r>
        <w:rPr>
          <w:rFonts w:ascii="Times New Roman" w:eastAsia="Microsoft YaHei"/>
          <w:b/>
          <w:bCs/>
          <w:color w:val="1A1A1A"/>
        </w:rPr>
        <w:t xml:space="preserve">BK-03 · Volatility Contraction Pattern (VCP)</w:t>
      </w:r>
      <w:bookmarkEnd w:id="100035"/>
    </w:p>
    <w:p>
      <w:pPr>
        <w:spacing w:after="80" w:line="312"/>
      </w:pPr>
      <w:r>
        <w:rPr>
          <w:rFonts w:ascii="Times New Roman" w:eastAsia="Microsoft YaHei"/>
          <w:i/>
          <w:iCs/>
          <w:color w:val="6E6E6E"/>
          <w:sz w:val="20"/>
          <w:szCs w:val="20"/>
        </w:rPr>
        <w:t xml:space="preserve">波动收缩形态 · Модель сжатия волатильности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Mark Minervini (2010s workshops/books); crowdsourced into Pine scanners.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Successive pullbacks within a base each get shallower (volume dries up in parallel) until a breakout with restored volume; the geometry is a volume-price handshake that supply is exhausted. The Pine form is a scan: decreasing range-depth stages plus a 10/50-bar volume dry-up, then a breakout trigger. It is the swing-trading descendant of Crabel's NR logic and O'Neil's base counts.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2-4 stages of contraction (depth_n &lt; depth_n-1); arm on volume dry-up; enter on close above contraction high with volume &gt; 1.5x 50-bar average.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Base 50-65 bars; 3 stages typical; volume surge 1.5-2x.</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Minervini scan packs; Qullamägi EP/gap momentum (cousin); CN 强势股缩量整理突破.</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indicator("VCP Contraction Scan",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lookback = input.int(60, "Base lookback")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stages   = input.int(3, "Contraction stages")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seg = int(lookback / stages)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depth(k) =&gt; (ta.highest(high, k) - ta.lowest(low, k)) / ta.lowest(low, k) *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d1 = depth(seg)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d2 = depth(seg *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d3 = depth(seg * 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contracting = d1 &lt; d2 and d2 &lt; d3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dryUp = ta.sma(volume, 10) &lt; 0.6 * ta.sma(volume,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breakout = close &gt; ta.highest(high, seg)[1] and volume &gt; 1.5 * ta.sma(volume,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plotshape(contracting and dryUp, "Contraction + dry-up", shape.circle,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location.belowbar, color=color.orange, size=size.tiny)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plotshape(breakout and contracting[1], "Breakout", shape.triangleup,</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location.belowbar, color=color.teal, size=size.small)</w:t>
      </w:r>
    </w:p>
    <w:p>
      <w:pPr>
        <w:pStyle w:val="Heading3"/>
        <w:spacing w:after="80" w:before="280" w:line="320" w:lineRule="atLeast"/>
      </w:pPr>
      <w:bookmarkStart w:id="100036" w:name="_Toc100036"/>
      <w:r>
        <w:rPr>
          <w:rFonts w:ascii="Times New Roman" w:eastAsia="Microsoft YaHei"/>
          <w:b/>
          <w:bCs/>
          <w:color w:val="1A1A1A"/>
        </w:rPr>
        <w:t xml:space="preserve">BK-04 · Darvas Box</w:t>
      </w:r>
      <w:bookmarkEnd w:id="100036"/>
    </w:p>
    <w:p>
      <w:pPr>
        <w:spacing w:after="80" w:line="312"/>
      </w:pPr>
      <w:r>
        <w:rPr>
          <w:rFonts w:ascii="Times New Roman" w:eastAsia="Microsoft YaHei"/>
          <w:i/>
          <w:iCs/>
          <w:color w:val="6E6E6E"/>
          <w:sz w:val="20"/>
          <w:szCs w:val="20"/>
        </w:rPr>
        <w:t xml:space="preserve">达瓦斯箱体 · Ящик Дарваса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Nicolas Darvas, 1959 Barron's articles; How I Made $2,000,000 in the Stock Market (1960).</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After three consecutive higher highs form a 'box top' and a failing pullback forms the box bottom, buy the breakout of the top and trail the stop under the most recent box bottom; each new consolidation draws a new box. It is trend following on a dancer's travel schedule — Darvas famously ran it by telegram from nightclubs. Mechanically it is a swing-anchored Donchian with human box-drawing rules.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Box from 3-day top / bottom definition; enter on close above box top; stop under box bottom; pyramid into new boxes.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3-day box (classic); volume confirmation optional; stop = last box bottom.</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箱体突破; RU «Метод Дарваса»; box-drawing scripts across all platforms.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7" w:name="_Toc100037"/>
      <w:r>
        <w:rPr>
          <w:rFonts w:ascii="Times New Roman" w:eastAsia="Microsoft YaHei"/>
          <w:b/>
          <w:bCs/>
          <w:color w:val="1A1A1A"/>
        </w:rPr>
        <w:t xml:space="preserve">BK-05 · Bill Williams Alligator + Fractals</w:t>
      </w:r>
      <w:bookmarkEnd w:id="100037"/>
    </w:p>
    <w:p>
      <w:pPr>
        <w:spacing w:after="80" w:line="312"/>
      </w:pPr>
      <w:r>
        <w:rPr>
          <w:rFonts w:ascii="Times New Roman" w:eastAsia="Microsoft YaHei"/>
          <w:i/>
          <w:iCs/>
          <w:color w:val="6E6E6E"/>
          <w:sz w:val="20"/>
          <w:szCs w:val="20"/>
        </w:rPr>
        <w:t xml:space="preserve">比尔·威廉姆斯鳄鱼线+分形 · Аллигатор и фракталы Вильямса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Bill Williams, Trading Chaos (1995) and New Trading Dimensions (1998).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Three smoothed MAs (13/8/5 of the median price, displaced forward) form the Alligator: when the lines fan out in order the 'alligator is eating' and fractal breakouts may be traded in that direction; when they interweave, sleep and stand aside. Up/down fractals (5-bar extremes) supply entry triggers. No system better symbolizes the 1990s-2000s retail era — and none has a larger Russian following.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the Alligator is aligned up and close breaks the most recent up-fractal; short mirrored; exit on Alligator interweave or opposite fractal.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SMMA 13/8/5 with 8/5/3 forward displacement; fractal 5-bar pivots.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«Аллигатор Вильямса» robots (enormous MQL4/5 corpus); CN 鳄鱼线战法; Awesome/AC oscillator combos (BK-06).</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strategy("Alligator + Fractal Breakout",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jaw   = ta.rma(hl2, 13)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teeth = ta.rma(hl2, 8)</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lip   = ta.rma(hl2, 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alignedUp = lip &gt; teeth and teeth &gt; jaw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alignedDn = lip &lt; teeth and teeth &lt; jaw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upFr = ta.pivothigh(high, 2,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dnFr = ta.pivotlow(low, 2,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lastUpFr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lastDnFr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na(upFr)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lastUpFr := upFr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na(dnFr)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lastDnFr := dnFr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alignedUp and not na(lastUpFr) and close &gt; lastUpFr and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alignedDn and not na(lastDnFr) and close &lt; lastDnFr and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plot(jaw, "Jaw", color=color.blue, offset=8)</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plot(teeth, "Teeth", color=color.red, offset=5)</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plot(lip, "Lip", color=color.green, offset=3)</w:t>
      </w:r>
    </w:p>
    <w:p>
      <w:pPr>
        <w:pStyle w:val="Heading3"/>
        <w:spacing w:after="80" w:before="280" w:line="320" w:lineRule="atLeast"/>
      </w:pPr>
      <w:bookmarkStart w:id="100038" w:name="_Toc100038"/>
      <w:r>
        <w:rPr>
          <w:rFonts w:ascii="Times New Roman" w:eastAsia="Microsoft YaHei"/>
          <w:b/>
          <w:bCs/>
          <w:color w:val="1A1A1A"/>
        </w:rPr>
        <w:t xml:space="preserve">BK-06 · Awesome Oscillator / Accelerator System</w:t>
      </w:r>
      <w:bookmarkEnd w:id="100038"/>
    </w:p>
    <w:p>
      <w:pPr>
        <w:spacing w:after="80" w:line="312"/>
      </w:pPr>
      <w:r>
        <w:rPr>
          <w:rFonts w:ascii="Times New Roman" w:eastAsia="Microsoft YaHei"/>
          <w:i/>
          <w:iCs/>
          <w:color w:val="6E6E6E"/>
          <w:sz w:val="20"/>
          <w:szCs w:val="20"/>
        </w:rPr>
        <w:t xml:space="preserve">神奇震荡指标系统 · Система по AO/AC</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Bill Williams, New Trading Dimensions (1998).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Awesome Oscillator (SMA(34) - SMA(5) of median price) signals via 'saucer' patterns, twin peaks, and zero-line crosses; the Accelerator adds momentum-of-momentum. Used with the Alligator it filters entries to trend direction. Mechanically it is a slow-fast MA spread oscillator — a MACD cousin — which is why standalone AO systems mostly duplicate MACD logic under new vocabulary.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AO saucer-above-zero or zero-line cross up, in Alligator-up regime;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AO 34/5; AC 5; Alligator filter optional.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«Система Билла Вильямса» full-suite robots; CN AO/AC战法; MACD-equivalent logic (cross TR-05).</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39" w:name="_Toc100039"/>
      <w:r>
        <w:rPr>
          <w:rFonts w:ascii="Times New Roman" w:eastAsia="Microsoft YaHei"/>
          <w:b/>
          <w:bCs/>
          <w:color w:val="1A1A1A"/>
        </w:rPr>
        <w:t xml:space="preserve">BK-07 · Aroon Breakout</w:t>
      </w:r>
      <w:bookmarkEnd w:id="100039"/>
    </w:p>
    <w:p>
      <w:pPr>
        <w:spacing w:after="80" w:line="312"/>
      </w:pPr>
      <w:r>
        <w:rPr>
          <w:rFonts w:ascii="Times New Roman" w:eastAsia="Microsoft YaHei"/>
          <w:i/>
          <w:iCs/>
          <w:color w:val="6E6E6E"/>
          <w:sz w:val="20"/>
          <w:szCs w:val="20"/>
        </w:rPr>
        <w:t xml:space="preserve">阿隆指标突破 · Система по Aroon</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Tushar Chande, 1995 (TASC September 1995).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Aroon Up/Down measure bars since the recent 25-bar high/low; crossovers near the top of their range flag fresh trend leadership. As a breakout proxy it is slower than Donchian but immune to close-versus-intrabar ambiguity. It sees periodic revivals in scan-oriented communities but rarely stands alone in production.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Aroon-Up crosses above Aroon-Down above 70; exit on reverse cross or drop below 50.</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Period 25 (14 in fast variants).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Aroon cross robots on MQL5; CN 阿隆指标 templates.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0" w:name="_Toc100040"/>
      <w:r>
        <w:rPr>
          <w:rFonts w:ascii="Times New Roman" w:eastAsia="Microsoft YaHei"/>
          <w:b/>
          <w:bCs/>
          <w:color w:val="1A1A1A"/>
        </w:rPr>
        <w:t xml:space="preserve">BK-08 · Range Breakout with Volume Surge (放量突破)</w:t>
      </w:r>
      <w:bookmarkEnd w:id="100040"/>
    </w:p>
    <w:p>
      <w:pPr>
        <w:spacing w:after="80" w:line="312"/>
      </w:pPr>
      <w:r>
        <w:rPr>
          <w:rFonts w:ascii="Times New Roman" w:eastAsia="Microsoft YaHei"/>
          <w:i/>
          <w:iCs/>
          <w:color w:val="6E6E6E"/>
          <w:sz w:val="20"/>
          <w:szCs w:val="20"/>
        </w:rPr>
        <w:t xml:space="preserve">放量突破平台 · Пробой флэта с объёмом</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Universal TA; formalized in CN platform templates (通达信/同花顺 放量突破 formulas) and JoinQuant volume-confirm strategies.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Breakouts validated by abnormal volume fail less: the entry demands both a new N-bar high and volume above k times its moving average, tying the break to real participation. Chinese retail materials treat this as the canonical platform-breakout (平台突破) filter, and it is the volume layer that most western breakout systems add informally.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close above N-bar high with volume &gt; k x SMA(volume,20); stop under the range low; trail after 1R.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20-60; k 1.5-2.5; range depth filter optional.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BK-09 consolidation breakout; RU «пробой с объёмом»; OBV/CMF breakout hybrids.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1" w:name="_Toc100041"/>
      <w:r>
        <w:rPr>
          <w:rFonts w:ascii="Times New Roman" w:eastAsia="Microsoft YaHei"/>
          <w:b/>
          <w:bCs/>
          <w:color w:val="1A1A1A"/>
        </w:rPr>
        <w:t xml:space="preserve">BK-09 · Consolidation Box Breakout</w:t>
      </w:r>
      <w:bookmarkEnd w:id="100041"/>
    </w:p>
    <w:p>
      <w:pPr>
        <w:spacing w:after="80" w:line="312"/>
      </w:pPr>
      <w:r>
        <w:rPr>
          <w:rFonts w:ascii="Times New Roman" w:eastAsia="Microsoft YaHei"/>
          <w:i/>
          <w:iCs/>
          <w:color w:val="6E6E6E"/>
          <w:sz w:val="20"/>
          <w:szCs w:val="20"/>
        </w:rPr>
        <w:t xml:space="preserve">平台整理突破 · Пробой боковика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Classic swing methodology; CN platform-era formalization (平台突破战法).</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Identify a sideways box of at least N bars with contracting range, then trade the close outside the box with volume confirmation. Unlike Darvas (BK-04) it does not require the prior uptrend geometry, so it is the generic form used on any instrument. The statistical justification is identical to NR7: compression precedes expansion.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Box = highest/lowest over N bars with range &lt; x% of price; long on close above box high + volume filter; stop at box midpoint.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15-40; max box height 5-10%; volume 1.5x.</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平台突破/整理突破; RU «пробой консолидации»; Darvas and NR7 (same mechanism).</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2" w:name="_Toc100042"/>
      <w:r>
        <w:rPr>
          <w:rFonts w:ascii="Times New Roman" w:eastAsia="Microsoft YaHei"/>
          <w:b/>
          <w:bCs/>
          <w:color w:val="1A1A1A"/>
        </w:rPr>
        <w:t xml:space="preserve">BK-10 · Gap Playbook (Fade / Continue)</w:t>
      </w:r>
      <w:bookmarkEnd w:id="100042"/>
    </w:p>
    <w:p>
      <w:pPr>
        <w:spacing w:after="80" w:line="312"/>
      </w:pPr>
      <w:r>
        <w:rPr>
          <w:rFonts w:ascii="Times New Roman" w:eastAsia="Microsoft YaHei"/>
          <w:i/>
          <w:iCs/>
          <w:color w:val="6E6E6E"/>
          <w:sz w:val="20"/>
          <w:szCs w:val="20"/>
        </w:rPr>
        <w:t xml:space="preserve">跳空缺口策略 · Стратегии гэпов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Crabel's gap statistics (1990); institutionalized in US equities; MOEX dividend-gap practice (RU-07) is a special case.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Classify opening gaps by size against ATR and by cause: small technical gaps in trend direction tend to continue, while large exhaustion gaps into resistance tend to fill. The systematic form trades the first 15-30 minutes' failure or confirmation of the gap. Full-measure and runaway gaps are excluded from fading.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Fade: short gap-ups &gt; 0.5 ATR into resistance after a weak first hour; continue: enter with the gap when the open drives further within 15 minutes.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Gap size 0.25-1.0 ATR buckets; confirmation window 15-30 min; stop beyond gap extreme.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缺口回补策略; RU гэп-роботы; ORB gap variants (cross BK-01).</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3" w:name="_Toc100043"/>
      <w:r>
        <w:rPr>
          <w:rFonts w:ascii="Times New Roman" w:eastAsia="Microsoft YaHei"/>
          <w:b/>
          <w:bCs/>
          <w:color w:val="1A1A1A"/>
        </w:rPr>
        <w:t xml:space="preserve">BK-11 · Squeeze Pro / Multi-Threshold Squeeze</w:t>
      </w:r>
      <w:bookmarkEnd w:id="100043"/>
    </w:p>
    <w:p>
      <w:pPr>
        <w:spacing w:after="80" w:line="312"/>
      </w:pPr>
      <w:r>
        <w:rPr>
          <w:rFonts w:ascii="Times New Roman" w:eastAsia="Microsoft YaHei"/>
          <w:i/>
          <w:iCs/>
          <w:color w:val="6E6E6E"/>
          <w:sz w:val="20"/>
          <w:szCs w:val="20"/>
        </w:rPr>
        <w:t xml:space="preserve">多档挤压指标 · Squeeze Pro</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LuxAlgo (2020-2023 open library), extending TTM Squeeze (MR-05).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Grades compression into low/mid/high squeeze levels by comparing Bollinger-to-Keltner distance against historical thresholds, giving a severity ladder rather than a binary flag. Traders arm alerts at high squeeze and trade the release. Functionally it is TTM Squeeze with a calibrated intensity scale — kept as a distinct entry because its release logic differs.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Alert on high-squeeze; enter on squeeze release in the direction of the momentum histogram; scale position by squeeze grade.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BB/KC as TTM; percentile thresholds 0.5/1.0/1.5 sigma of band separation.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TTM Squeeze (MR-05) as the parent; LazyBear Hi-Lo squeezes; CN 多档收口实验性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4" w:name="_Toc100044"/>
      <w:r>
        <w:rPr>
          <w:rFonts w:ascii="Times New Roman" w:eastAsia="Microsoft YaHei"/>
          <w:b/>
          <w:bCs/>
          <w:color w:val="1A1A1A"/>
        </w:rPr>
        <w:t xml:space="preserve">BK-12 · High-of-Day Break &amp; Retest</w:t>
      </w:r>
      <w:bookmarkEnd w:id="100044"/>
    </w:p>
    <w:p>
      <w:pPr>
        <w:spacing w:after="80" w:line="312"/>
      </w:pPr>
      <w:r>
        <w:rPr>
          <w:rFonts w:ascii="Times New Roman" w:eastAsia="Microsoft YaHei"/>
          <w:i/>
          <w:iCs/>
          <w:color w:val="6E6E6E"/>
          <w:sz w:val="20"/>
          <w:szCs w:val="20"/>
        </w:rPr>
        <w:t xml:space="preserve">日内新高突破回踩 · Пробой максимума дня с ретестом</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Intraday momentum practice (2000s prop desks); formalized in community scripts.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When price takes out the morning's high after consolidation, enter on the retest of that broken level rather than the break itself, cutting the false-break rate at the cost of missing runners. The retest requirement is the key differentiator from raw ORB-style momentum. Often combined with VWAP-relative position filters.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pullback touching the broken HOD with a bullish reversal bar; stop under retest low; target 1.5-2R or EOD.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HOD window from open; retest tolerance 0.1-0.2 ATR; VWAP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日内新高策略; RU intraday HOD scripts; IB opening-drive variants.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5" w:name="_Toc100045"/>
      <w:r>
        <w:rPr>
          <w:rFonts w:ascii="Times New Roman" w:eastAsia="Microsoft YaHei"/>
          <w:b/>
          <w:bCs/>
          <w:color w:val="1A1A1A"/>
        </w:rPr>
        <w:t xml:space="preserve">BK-13 · Volatility Expansion Breakout (Keltner/ATR form)</w:t>
      </w:r>
      <w:bookmarkEnd w:id="100045"/>
    </w:p>
    <w:p>
      <w:pPr>
        <w:spacing w:after="80" w:line="312"/>
      </w:pPr>
      <w:r>
        <w:rPr>
          <w:rFonts w:ascii="Times New Roman" w:eastAsia="Microsoft YaHei"/>
          <w:i/>
          <w:iCs/>
          <w:color w:val="6E6E6E"/>
          <w:sz w:val="20"/>
          <w:szCs w:val="20"/>
        </w:rPr>
        <w:t xml:space="preserve">波动扩张突破 · Пробой расширения волатильности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Chester Keltner's envelope re-cast as a breakout by Linda Raschke and vn.py's KingKeltner template.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Instead of fading the Keltner envelope (MR-04), trade stops outside it: close beyond EMA(20) + 2 x ATR(10) signals expansion worth following. This is the CTA workhorse form — the vn.py KingKeltnerStrategy is exactly this on Chinese futures. It pairs naturally with ADX gates to avoid trendless expansion noise.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close above upper band; exit on close back inside the channel or a trailing 3 x ATR stop;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EMA 20, ATR 10, multiple 2-2.5; optional ADX &gt; 20 gate.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vn.py KingKeltnerStrategy; CN 肯特纳突破 CTA templates; RU канальные пробойные роботы.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0" w:id="10"/>
      <w:r>
        <w:rPr>
          <w:rFonts w:ascii="Times New Roman" w:eastAsia="Microsoft YaHei"/>
          <w:b/>
          <w:bCs/>
          <w:color w:val="1A1A1A"/>
        </w:rPr>
        <w:t xml:space="preserve">Family D — Price Action, Patterns &amp; Smart Money (PA)</w:t>
      </w:r>
      <w:bookmarkEnd w:id="10"/>
    </w:p>
    <w:p>
      <w:pPr>
        <w:spacing w:after="200" w:line="312"/>
        <w:jc w:val="both"/>
      </w:pPr>
      <w:r>
        <w:rPr>
          <w:rFonts w:ascii="Times New Roman" w:eastAsia="Microsoft YaHei"/>
          <w:color w:val="1A1A1A"/>
          <w:sz w:val="22"/>
          <w:szCs w:val="22"/>
        </w:rPr>
        <w:t xml:space="preserve">This family trades market structure itself — swing points, failed breaks, absorption zones — rather than smoothed indicators. It spans a century: Wyckoff's 1930s course materials, Darvas-era pattern work, Brooks-style bar-by-bar trading, and the 2020s Smart Money Concepts wave that repackaged liquidity logic for social media. Chinese and Russian communities contribute their own pattern canons (缠论 structure, 打板 board logic, Снайпер levels), which appear in their own families where they are market-specific and here where the mechanism is universal.</w:t>
      </w:r>
    </w:p>
    <w:p>
      <w:pPr>
        <w:pStyle w:val="Heading3"/>
        <w:spacing w:after="80" w:before="280" w:line="320" w:lineRule="atLeast"/>
      </w:pPr>
      <w:bookmarkStart w:id="100046" w:name="_Toc100046"/>
      <w:r>
        <w:rPr>
          <w:rFonts w:ascii="Times New Roman" w:eastAsia="Microsoft YaHei"/>
          <w:b/>
          <w:bCs/>
          <w:color w:val="1A1A1A"/>
        </w:rPr>
        <w:t xml:space="preserve">PA-01 · Wyckoff Accumulation/Distribution &amp; Spring (V-Hook)</w:t>
      </w:r>
      <w:bookmarkEnd w:id="100046"/>
    </w:p>
    <w:p>
      <w:pPr>
        <w:spacing w:after="80" w:line="312"/>
      </w:pPr>
      <w:r>
        <w:rPr>
          <w:rFonts w:ascii="Times New Roman" w:eastAsia="Microsoft YaHei"/>
          <w:i/>
          <w:iCs/>
          <w:color w:val="6E6E6E"/>
          <w:sz w:val="20"/>
          <w:szCs w:val="20"/>
        </w:rPr>
        <w:t xml:space="preserve">威科夫吸筹与弹簧效应 · Метод Вайкоффа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Richard D. Wyckoff, Stock Market Institute course materials (1931-1934); schematics formalized later by Bob Evans.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Markets accumulate in ranges where the composite operator absorbs supply; the spring is the deliberate shakeout below the range that sweeps resting stops before markup — the upthrust mirrors it in distribution. The mechanical form trades a defined range: sweep beyond the low by up to ~1 ATR on a volume spike, then reclaim of the range low, with stops outside the sweep. Every liquidity-sweep method in this glossary is downstream of this idea.</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Define a 20-40 bar range; long on a low piercing range-low by &lt;= 1 ATR that closes back inside with volume &gt; 1.5x average; stop below sweep low; targets at range high then measured move.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Range lookback 20-40; depth cap 1.0-1.2 ATR; volume multiple 1.5-2.5; phase filters optional.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Wyckoff [theUltimator5] schematic indicator; CN 威科夫吸筹 materials; RU Вайкофф course translations; Linda Raschke's Turtle Soup (PA-10) is the fade-cousin; this workspace's V-Hook agent is a direct implementation.</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strategy("Wyckoff Spring / Upthrust (V-Hook)",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rangeLen = input.int(30, "Range lookback")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depthMax = input.float(1.0, "Max sweep depth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volMult  = input.float(1.5, "Volume multiple")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rngHi = ta.highest(high, rangeLen)[1]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rngLo = ta.lowest(low, rangeLen)[1]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flat    = (rngHi - rngLo) / rngLo &lt; 0.15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swept   = low &lt; rngLo and rngLo - low &lt;= depthMax * atr and close &gt; rngLo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upthrust = flat and high &gt; rngHi and high - rngHi &lt;= depthMax * atr and close &lt; rngHi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volSpike = volume &gt; volMult * ta.sma(volume,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spring = flat and swept and volSpike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spring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upthrust and volSpike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rngLo - 2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comment="Failed spring")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 and close &gt; rngHi + 2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strategy.close("S", comment="Failed upthrust")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plot(rngHi, "Range high", color=color.new(color.teal, 40))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plot(rngLo, "Range low", color=color.new(color.red, 40))</w:t>
      </w:r>
    </w:p>
    <w:p>
      <w:pPr>
        <w:pStyle w:val="Heading3"/>
        <w:spacing w:after="80" w:before="280" w:line="320" w:lineRule="atLeast"/>
      </w:pPr>
      <w:bookmarkStart w:id="100047" w:name="_Toc100047"/>
      <w:r>
        <w:rPr>
          <w:rFonts w:ascii="Times New Roman" w:eastAsia="Microsoft YaHei"/>
          <w:b/>
          <w:bCs/>
          <w:color w:val="1A1A1A"/>
        </w:rPr>
        <w:t xml:space="preserve">PA-02 · Effort vs Result / Composite Operator Reading</w:t>
      </w:r>
      <w:bookmarkEnd w:id="100047"/>
    </w:p>
    <w:p>
      <w:pPr>
        <w:spacing w:after="80" w:line="312"/>
      </w:pPr>
      <w:r>
        <w:rPr>
          <w:rFonts w:ascii="Times New Roman" w:eastAsia="Microsoft YaHei"/>
          <w:i/>
          <w:iCs/>
          <w:color w:val="6E6E6E"/>
          <w:sz w:val="20"/>
          <w:szCs w:val="20"/>
        </w:rPr>
        <w:t xml:space="preserve">量价背离的威科夫读法 · Соотнесение усилия и результата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Wyckoff course lineage; teaching tradition via Bob Evans' 'effort vs result' papers.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Compare the effort (spread and volume of a bar or swing) with the result (price progress): big effort with no progress signals absorption by the other side, small effort with large progress signals a vacuum of opposing orders. These are the diagnostic sentences of Wyckoff analysis; mechanically they appear as volume-spread anomalies that gate other entries rather than standalone signals.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Flag bars in the top decile of volume with bottom-quartile progress; use as entry/exit confluence for PA-01 or VO-01 systems.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Volume percentile 90; progress normalized by ATR.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VSA (VO-01) is the formalized descendant; CN 量价背离 reading; RU «усилие-результат» school.</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8" w:name="_Toc100048"/>
      <w:r>
        <w:rPr>
          <w:rFonts w:ascii="Times New Roman" w:eastAsia="Microsoft YaHei"/>
          <w:b/>
          <w:bCs/>
          <w:color w:val="1A1A1A"/>
        </w:rPr>
        <w:t xml:space="preserve">PA-03 · Pin Bar / Hammer Rejection</w:t>
      </w:r>
      <w:bookmarkEnd w:id="100048"/>
    </w:p>
    <w:p>
      <w:pPr>
        <w:spacing w:after="80" w:line="312"/>
      </w:pPr>
      <w:r>
        <w:rPr>
          <w:rFonts w:ascii="Times New Roman" w:eastAsia="Microsoft YaHei"/>
          <w:i/>
          <w:iCs/>
          <w:color w:val="6E6E6E"/>
          <w:sz w:val="20"/>
          <w:szCs w:val="20"/>
        </w:rPr>
        <w:t xml:space="preserve">长影线反转 · Пинбар</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Candlestick lineage (Homma, 18th c.; Nison's 1991 westernization); 'pin bar' term popularized by Martin Cole and Nial Fuller (2000s).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long-tailed bar whose close sits near the opposite extreme shows a one-sided auction that was rejected; trading the close beyond the bar's nose in the rejection direction captures the failure of the sweep. The pattern is a single-bar Wyckoff spring and is the most-taught retail setup in Russian and English-language price-action schools alike.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a lower-wick &gt;= 2x body bar closes in the upper third after a downswing; enter above its high; stop below the wick.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Tail/body ratio 2:1; trend context filter (EMA 50/200); 1-2R targets.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«пинбар» schools (every RU PA course); CN 长下影/锤子线战法; hammer/shooting-star mechanical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49" w:name="_Toc100049"/>
      <w:r>
        <w:rPr>
          <w:rFonts w:ascii="Times New Roman" w:eastAsia="Microsoft YaHei"/>
          <w:b/>
          <w:bCs/>
          <w:color w:val="1A1A1A"/>
        </w:rPr>
        <w:t xml:space="preserve">PA-04 · Engulfing &amp; Inside-Bar Momentum Patterns</w:t>
      </w:r>
      <w:bookmarkEnd w:id="100049"/>
    </w:p>
    <w:p>
      <w:pPr>
        <w:spacing w:after="80" w:line="312"/>
      </w:pPr>
      <w:r>
        <w:rPr>
          <w:rFonts w:ascii="Times New Roman" w:eastAsia="Microsoft YaHei"/>
          <w:i/>
          <w:iCs/>
          <w:color w:val="6E6E6E"/>
          <w:sz w:val="20"/>
          <w:szCs w:val="20"/>
        </w:rPr>
        <w:t xml:space="preserve">吞没与内包形态 · Паттерны поглощения и внутреннего бара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Japanese candlestick canon; Steve Nison, Japanese Candlestick Charting Techniques (1991).</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engulfing bar completesly absorbs the prior bar's body, marking a decisive swing of control; the inside bar marks compression that resolves in the direction of the break. Both are the atomic units from which larger setups (fakey, ORB, Wyckoff) are assembled, and they backtest best with a trend filter and volume confirmation rather than standalone.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bullish engulfing above EMA(50); stop 1.5 ATR; optional inside-bar break continuation entry.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Body-based definition (wicks excluded); trend filter EMA 50/200.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MT4 engulfing EAs; CN 阳包阴战法; RU «поглощение» robots.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strategy("Engulfing with Trend Filter",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bodyUp = close &gt; open and close[1] &lt; open[1] and close &gt;= open[1] and open &lt;= close[1]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bodyDn = close &lt; open and close[1] &gt; open[1] and close &lt;= open[1] and open &gt;= close[1]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upTrend = close &gt; ta.ema(close,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dnTrend = close &lt; ta.ema(close,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bodyUp and upTrend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bodyDn and dnTrend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strategy.position_avg_price - 1.5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comment="Stop")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 and close &gt; strategy.position_avg_price + 1.5 * atr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strategy.close("S", comment="Stop")</w:t>
      </w:r>
    </w:p>
    <w:p>
      <w:pPr>
        <w:pStyle w:val="Heading3"/>
        <w:spacing w:after="80" w:before="280" w:line="320" w:lineRule="atLeast"/>
      </w:pPr>
      <w:bookmarkStart w:id="100050" w:name="_Toc100050"/>
      <w:r>
        <w:rPr>
          <w:rFonts w:ascii="Times New Roman" w:eastAsia="Microsoft YaHei"/>
          <w:b/>
          <w:bCs/>
          <w:color w:val="1A1A1A"/>
        </w:rPr>
        <w:t xml:space="preserve">PA-05 · Al Brooks Bar-by-Bar Price Action</w:t>
      </w:r>
      <w:bookmarkEnd w:id="100050"/>
    </w:p>
    <w:p>
      <w:pPr>
        <w:spacing w:after="80" w:line="312"/>
      </w:pPr>
      <w:r>
        <w:rPr>
          <w:rFonts w:ascii="Times New Roman" w:eastAsia="Microsoft YaHei"/>
          <w:i/>
          <w:iCs/>
          <w:color w:val="6E6E6E"/>
          <w:sz w:val="20"/>
          <w:szCs w:val="20"/>
        </w:rPr>
        <w:t xml:space="preserve">布鲁克斯逐K线价格行为 · Прайс-экшн по Бруксу</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Al Brooks, Reading Price Charts Bar by Bar (2009) and the Brooks Trading Course (2011+).</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complete grammar of 5-minute charts: every bar is a setup candidate, with high-1/low-1 to high-4/low-4 counted entries in pullbacks, second-entry doctrine, measured-move targets, and always-in direction. It is the most internally consistent retail price-action system ever published, though its full context-dependence resists complete mechanization; partial Pine ports implement the counted entries and always-in flip.</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In a bull trend, buy the first pullback to the EMA-20 that forms a bull bar (H1); re-enter on H2/H3 after failed attempts; always-in flips on strong reversal bars.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EMA 20 anchor; 5-minute or daily charts; scalper's entry/exit or swing variant.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Brooks-method scan scripts; RU «бар-за баром» translations; second-entry fan implementations.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1" w:name="_Toc100051"/>
      <w:r>
        <w:rPr>
          <w:rFonts w:ascii="Times New Roman" w:eastAsia="Microsoft YaHei"/>
          <w:b/>
          <w:bCs/>
          <w:color w:val="1A1A1A"/>
        </w:rPr>
        <w:t xml:space="preserve">PA-06 · Fakey / False-Breakout Inside-Bar</w:t>
      </w:r>
      <w:bookmarkEnd w:id="100051"/>
    </w:p>
    <w:p>
      <w:pPr>
        <w:spacing w:after="80" w:line="312"/>
      </w:pPr>
      <w:r>
        <w:rPr>
          <w:rFonts w:ascii="Times New Roman" w:eastAsia="Microsoft YaHei"/>
          <w:i/>
          <w:iCs/>
          <w:color w:val="6E6E6E"/>
          <w:sz w:val="20"/>
          <w:szCs w:val="20"/>
        </w:rPr>
        <w:t xml:space="preserve">假突破内包形态 · Фейки (ложный пробой)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Popularized by Nial Fuller's price-action courses (2000s); mechanism identical to Wyckoff's upthrust-after-pullback.</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inside bar followed by a false break of the mother bar that closes back inside creates a two-sided liquidity trap: breakout traders are trapped and their stops fuel the reversal. Trading the close back through the mother-bar edge turns the trap into an entry with a naturally tight stop behind the false extreme.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inside bar; on a false break beyond the mother bar that closes back inside, enter the reversal; stop beyond the false extreme.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Mother bar 1-3 bars; breakout tolerance 1-2 ticks; trend filter recommended.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Turtle Soup (PA-10); stop-run/'spoofy' scripts; RU «ложный пробой»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2" w:name="_Toc100052"/>
      <w:r>
        <w:rPr>
          <w:rFonts w:ascii="Times New Roman" w:eastAsia="Microsoft YaHei"/>
          <w:b/>
          <w:bCs/>
          <w:color w:val="1A1A1A"/>
        </w:rPr>
        <w:t xml:space="preserve">PA-07 · Supply &amp; Demand Zones (Set-and-Forget)</w:t>
      </w:r>
      <w:bookmarkEnd w:id="100052"/>
    </w:p>
    <w:p>
      <w:pPr>
        <w:spacing w:after="80" w:line="312"/>
      </w:pPr>
      <w:r>
        <w:rPr>
          <w:rFonts w:ascii="Times New Roman" w:eastAsia="Microsoft YaHei"/>
          <w:i/>
          <w:iCs/>
          <w:color w:val="6E6E6E"/>
          <w:sz w:val="20"/>
          <w:szCs w:val="20"/>
        </w:rPr>
        <w:t xml:space="preserve">供需区域策略 · Зоны спроса и предложения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Sam Seiden (2000s webinars, 'supply and demand' rebranding of S/R); hundreds of open Pine implementations.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strong one-way move leaving a small consolidation ('base') defines a zone where institutional orders rested; price's first return to the zone is traded for a continuation, on the theory that unfilled institutional interest remains. The mechanical core is a rally-base-rally or drop-base-drop detector plus a retest trigger. It is the retail-popular cousin of order-block logic (PA-08).</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base (low-range bars) followed by impulse &gt; 1.5 ATR; mark zone as base high/low; enter on first retest; stop beyond zone.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Base 1-5 bars; impulse 1.5-2 ATR; zone validity 1-3 touches.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Order block overlaps (PA-08); CN 供需区域 scripts; RU «зоны спроса/предложения» packs.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strategy("Supply-Demand Zone Retest",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impulse  = input.float(1.5, "Impulse ATR multiple")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baseBars = input.int(3, "Base bars")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baseFlat = math.abs(ta.highest(high, baseBars) - ta.lowest(low, baseBars)) &lt;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bullBase = baseFlat[1] and close - close[baseBars] &gt; impulse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bearBase = baseFlat[1] and close[baseBars] - close &gt; impulse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dzTop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dzBot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szTop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szBot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bullBase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dzTop := ta.highest(high, baseBars)[1]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dzBot := ta.lowest(low, baseBars)[1]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bearBase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szTop := ta.highest(high, baseBars)[1]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szBot := ta.lowest(low, baseBars)[1]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demandRetest = not na(dzBot) and low &lt;= dzTop and close &gt; dzBot and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supplyRetest = not na(szTop) and high &gt;= szBot and close &lt; szTop and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demandRetest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supplyRetest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plot(dzTop, "Demand top", color=color.teal, style=plot.style_linebr)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plot(dzBot, "Demand bottom", color=color.teal, style=plot.style_linebr)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plot(szTop, "Supply top", color=color.red,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plot(szBot, "Supply bottom", color=color.red, style=plot.style_linebr)</w:t>
      </w:r>
    </w:p>
    <w:p>
      <w:pPr>
        <w:pStyle w:val="Heading3"/>
        <w:spacing w:after="80" w:before="280" w:line="320" w:lineRule="atLeast"/>
      </w:pPr>
      <w:bookmarkStart w:id="100053" w:name="_Toc100053"/>
      <w:r>
        <w:rPr>
          <w:rFonts w:ascii="Times New Roman" w:eastAsia="Microsoft YaHei"/>
          <w:b/>
          <w:bCs/>
          <w:color w:val="1A1A1A"/>
        </w:rPr>
        <w:t xml:space="preserve">PA-08 · Smart Money Concepts (BOS / CHoCH / Order Blocks / FVG)</w:t>
      </w:r>
      <w:bookmarkEnd w:id="100053"/>
    </w:p>
    <w:p>
      <w:pPr>
        <w:spacing w:after="80" w:line="312"/>
      </w:pPr>
      <w:r>
        <w:rPr>
          <w:rFonts w:ascii="Times New Roman" w:eastAsia="Microsoft YaHei"/>
          <w:i/>
          <w:iCs/>
          <w:color w:val="6E6E6E"/>
          <w:sz w:val="20"/>
          <w:szCs w:val="20"/>
        </w:rPr>
        <w:t xml:space="preserve">聪明钱结构交易 · Умные деньги (SMC)</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LuxAlgo 'Smart Money Concepts' open script (2021+, most-starred of its genre), systematizing ICT vocabulary (see PA-09).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SMC formalizes structure trading: a Break of Structure confirms trend continuation, a Change of Character flags reversal, order blocks mark the last opposing candle before an impulsive displacement (institutional footprint), and Fair Value Gaps are 3-bar imbalances expected to refill. The mechanical trade is: structure break defines bias, then a retrace into the order block or FVG is the entry. Its popularity makes it the defining retail framework of the 2020s.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Swing pivots define structure; on a bullish BOS mark the last bearish candle before displacement as the OB; long on first retrace into the OB while bias holds; CHoCH invalidates.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Swing length 5-15; displacement filter 1-1.5 ATR; OB expiry on full mitigation.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LuxAlgo SMC [ML] and dozens of forks; ICT order-block scripts; CN 主力结构 (SMART概念) scripts; RU SMC переводы — the framework is one concept despite hundreds of branded scripts.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strategy("SMC: BOS + Order Block Retrace",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swingLen = input.int(10, "Swing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ph = ta.pivothigh(high, swingLen, swingLen)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 = ta.pivotlow(low, swingLen, swingLen)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lastHigh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lastLow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int bias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obTop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obBot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na(ph)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lastHigh := ph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na(pl)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lastLow := pl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na(lastHigh) and close &gt; lastHigh and nz(bias[1])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bias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obTop := lastHigh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obBot := ta.lowest(low, swingLen)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not na(lastLow) and close &lt; lastLow and nz(bias[1])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bias :=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obTop := ta.highest(high, swingLen)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obBot := lastLow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retraceLong  = bias == 1 and not na(obBot) and low &lt;= obTop and close &gt; obBot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retraceShort = bias == -1 and not na(obTop) and high &gt;= obBot and close &lt; obTop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retraceLong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retraceShort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plot(bias == 1 ? obTop : na, "Bull OB top", color=color.teal, style=plot.style_linebr)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plot(bias == 1 ? obBot : na, "Bull OB bottom", color=color.teal, style=plot.style_linebr)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plot(bias == -1 ? obTop : na, "Bear OB top", color=color.red,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plot(bias == -1 ? obBot : na, "Bear OB bottom", color=color.red, style=plot.style_linebr)</w:t>
      </w:r>
    </w:p>
    <w:p>
      <w:pPr>
        <w:pStyle w:val="Heading3"/>
        <w:spacing w:after="80" w:before="280" w:line="320" w:lineRule="atLeast"/>
      </w:pPr>
      <w:bookmarkStart w:id="100054" w:name="_Toc100054"/>
      <w:r>
        <w:rPr>
          <w:rFonts w:ascii="Times New Roman" w:eastAsia="Microsoft YaHei"/>
          <w:b/>
          <w:bCs/>
          <w:color w:val="1A1A1A"/>
        </w:rPr>
        <w:t xml:space="preserve">PA-09 · ICT Kill Zones, Silver Bullet &amp; Time-Based Liquidity</w:t>
      </w:r>
      <w:bookmarkEnd w:id="100054"/>
    </w:p>
    <w:p>
      <w:pPr>
        <w:spacing w:after="80" w:line="312"/>
      </w:pPr>
      <w:r>
        <w:rPr>
          <w:rFonts w:ascii="Times New Roman" w:eastAsia="Microsoft YaHei"/>
          <w:i/>
          <w:iCs/>
          <w:color w:val="6E6E6E"/>
          <w:sz w:val="20"/>
          <w:szCs w:val="20"/>
        </w:rPr>
        <w:t xml:space="preserve">ICT时区流动性策略 · ICT Килл-зоны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Michael J. Huddleston, 'The Inner Circle Trader' (2010s free/core courses; massive 2020s revival).</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ICT maps institutional session rhythms: London and New York 'kill zones' carry the day's real liquidity events; the Silver Bullet is a 10:00-11:00 ET window where a specific FVG continuation setup repeats; Judas swings are early session fake moves that set up the true move. The edge claimed is time-conditional liquidity, making it a session family (SE) wearing price-action clothes.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During the defined window, enter on FVG/OB retrace in the direction of the session's initial sweep reversal; fixed R targets.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Kill zones 02:00-05:00 and 08:30-11:00 ET; Silver Bullet 10:00-11:00 ET; 2-6R targets.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ICT concepts scripts (dozens); PA-08 SMC (shared vocabulary); SE-01 Asia-range sweep (shared mechanism).</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5" w:name="_Toc100055"/>
      <w:r>
        <w:rPr>
          <w:rFonts w:ascii="Times New Roman" w:eastAsia="Microsoft YaHei"/>
          <w:b/>
          <w:bCs/>
          <w:color w:val="1A1A1A"/>
        </w:rPr>
        <w:t xml:space="preserve">PA-10 · Turtle Soup / Fake Breakout Fade</w:t>
      </w:r>
      <w:bookmarkEnd w:id="100055"/>
    </w:p>
    <w:p>
      <w:pPr>
        <w:spacing w:after="80" w:line="312"/>
      </w:pPr>
      <w:r>
        <w:rPr>
          <w:rFonts w:ascii="Times New Roman" w:eastAsia="Microsoft YaHei"/>
          <w:i/>
          <w:iCs/>
          <w:color w:val="6E6E6E"/>
          <w:sz w:val="20"/>
          <w:szCs w:val="20"/>
        </w:rPr>
        <w:t xml:space="preserve">海龟汤反向策略 · Контрпробой 'Turtle Soup'</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Linda Bradford Raschke &amp; Larry Connors, Street Smarts (1995).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deliberate anti-Donchian: when price breaks a 20-day high/low but fails to hold for one bar, fade the failure back into the range. Raschke's joke was that buying Donchian breakouts had become so popular that fading them fed on the crowd. It works best when the failure bar also sweeps an obvious stop cluster — the same auction logic as the Wyckoff spring in reverse time order.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Short when price takes out the 20-day high intraday but closes back below it; enter on the next bar, stop above the failure extreme, target the range mid.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20-day extremes (or 55); one-bar failure rule; 50% range target.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Fakey (PA-06); 'stop hunt fade' scripts; CN 假突破反打.</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6" w:name="_Toc100056"/>
      <w:r>
        <w:rPr>
          <w:rFonts w:ascii="Times New Roman" w:eastAsia="Microsoft YaHei"/>
          <w:b/>
          <w:bCs/>
          <w:color w:val="1A1A1A"/>
        </w:rPr>
        <w:t xml:space="preserve">PA-11 · Harmonic Patterns (Gartley / Bat / Butterfly / AB=CD)</w:t>
      </w:r>
      <w:bookmarkEnd w:id="100056"/>
    </w:p>
    <w:p>
      <w:pPr>
        <w:spacing w:after="80" w:line="312"/>
      </w:pPr>
      <w:r>
        <w:rPr>
          <w:rFonts w:ascii="Times New Roman" w:eastAsia="Microsoft YaHei"/>
          <w:i/>
          <w:iCs/>
          <w:color w:val="6E6E6E"/>
          <w:sz w:val="20"/>
          <w:szCs w:val="20"/>
        </w:rPr>
        <w:t xml:space="preserve">谐波形态 · Гармонические паттерны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H.M. Gartley, Profits in the Stock Market (1935); Fibonacci ratios and XABCD formalization by Larry Pesavento (1990s) and Scott Carney, The Harmonic Trader (1998).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Specific Fibonacci retracement/extension relationships between five swing points (X-A-B-C-D) define reversal geometries: the Gartley's B-point at 0.618 XA with D at 0.786, the Bat, the Butterfly's 1.27 XA extension, and the simpler AB=CD. Trades enter at the D completion with stops beyond the pattern's invalidation ratio. Mechanization requires robust pivot detection and ratio tolerance, which is why most implementations are indicators, not strategies.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XABCD pivots; verify ratio windows (e.g., Gartley: B 0.618 +/- 0.05 XA, D 0.786 XA); enter at D, stop beyond X.</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Ratio tolerance 0.03-0.06; pattern length 20-100 bars.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Pesavento vs Carney naming disputes (same patterns); RU «Гартли/летучая мышь» packs; CN 谐波形态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7" w:name="_Toc100057"/>
      <w:r>
        <w:rPr>
          <w:rFonts w:ascii="Times New Roman" w:eastAsia="Microsoft YaHei"/>
          <w:b/>
          <w:bCs/>
          <w:color w:val="1A1A1A"/>
        </w:rPr>
        <w:t xml:space="preserve">PA-12 · Elliott Wave (Mechanized Approaches)</w:t>
      </w:r>
      <w:bookmarkEnd w:id="100057"/>
    </w:p>
    <w:p>
      <w:pPr>
        <w:spacing w:after="80" w:line="312"/>
      </w:pPr>
      <w:r>
        <w:rPr>
          <w:rFonts w:ascii="Times New Roman" w:eastAsia="Microsoft YaHei"/>
          <w:i/>
          <w:iCs/>
          <w:color w:val="6E6E6E"/>
          <w:sz w:val="20"/>
          <w:szCs w:val="20"/>
        </w:rPr>
        <w:t xml:space="preserve">艾略特波浪（机械化） · Волны Эллиотта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Ralph Nelson Elliott, The Wave Principle (1938); mechanization attempts since the 1980s software era.</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Five-wave impulse and three-wave correction fractals, with wave 3 never the shortest and wave 4 not overlapping wave 1's territory. Fully automatic wave counting is famously ambiguous, so practical implementations use zigzag pivots with degree nesting to propose counts and trade the wave-4-to-5 continuation or the C-wave terminal. It endures as an analytical overlay more than a standalone strategy.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Zigzag pivots propose counts; long the pivot after a qualifying wave-4 low targeting wave-5 projection; invalidation on overlap.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Zigzag deviation 3-10%; Fibonacci projections 0.618/1.0/1.618 of wave 1.</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Эллиотт-школы (large following); CN 波浪理论 automated drafts; every 'EW auto-count' indicator.</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8" w:name="_Toc100058"/>
      <w:r>
        <w:rPr>
          <w:rFonts w:ascii="Times New Roman" w:eastAsia="Microsoft YaHei"/>
          <w:b/>
          <w:bCs/>
          <w:color w:val="1A1A1A"/>
        </w:rPr>
        <w:t xml:space="preserve">PA-13 · Wolfe Waves</w:t>
      </w:r>
      <w:bookmarkEnd w:id="100058"/>
    </w:p>
    <w:p>
      <w:pPr>
        <w:spacing w:after="80" w:line="312"/>
      </w:pPr>
      <w:r>
        <w:rPr>
          <w:rFonts w:ascii="Times New Roman" w:eastAsia="Microsoft YaHei"/>
          <w:i/>
          <w:iCs/>
          <w:color w:val="6E6E6E"/>
          <w:sz w:val="20"/>
          <w:szCs w:val="20"/>
        </w:rPr>
        <w:t xml:space="preserve">沃尔夫波浪 · Волны Вольфа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Brian and Bill Wolfe, early 1990s (published as a paid course; later widely redistributed).</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5-point pattern where waves 1-4 bound an equilibrating channel and wave 5 overshoots a projected 'line' extension, targeting a natural-path reversal toward point 1-4 convergence. It is essentially a corrective wedge with a projected termination line, traded at the wave-5 extreme with a tight stop. Popularity concentrated in forex forums and RU/EN script libraries.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5 alternating pivots with 1-4 channel geometry; enter at wave-5 line touch; target the 1-4 ray.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Pivot detection zigzag 3-8%; target = 1-4 line projection.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Wolfe Wave scripts on MQL5/TradingView; RU «волны Вольфа» robots.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59" w:name="_Toc100059"/>
      <w:r>
        <w:rPr>
          <w:rFonts w:ascii="Times New Roman" w:eastAsia="Microsoft YaHei"/>
          <w:b/>
          <w:bCs/>
          <w:color w:val="1A1A1A"/>
        </w:rPr>
        <w:t xml:space="preserve">PA-14 · Classical Reversal Patterns Automated (Double Top, H&amp;S)</w:t>
      </w:r>
      <w:bookmarkEnd w:id="100059"/>
    </w:p>
    <w:p>
      <w:pPr>
        <w:spacing w:after="80" w:line="312"/>
      </w:pPr>
      <w:r>
        <w:rPr>
          <w:rFonts w:ascii="Times New Roman" w:eastAsia="Microsoft YaHei"/>
          <w:i/>
          <w:iCs/>
          <w:color w:val="6E6E6E"/>
          <w:sz w:val="20"/>
          <w:szCs w:val="20"/>
        </w:rPr>
        <w:t xml:space="preserve">经典反转形态自动化 · Автоматизация классических паттернов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Schabacker (1932), Edwards &amp; Magee (1948) — the archive canon; automation via pivot libraries.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Double tops/bottoms and head-and-shoulders are detected from swing pivots: two comparable extremes separated by a trough, or three extremes with a middle head, completed on a neckline break. Automated detection mainly serves as a scanner for discretionary traders; as mechanical entries they suffer from pattern-boundary ambiguity, so implementations tune pivot sensitivity heavily.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pivots; H&amp;S short on neckline break with stop above right shoulder; target = pattern height projected from the break.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Pivot strength 5-10; peak similarity tolerance 2-5%; neckline slope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双头双底/头肩顶 scripts; RU «голова-плечи» роботы; every platform's built-in pattern detection.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0" w:name="_Toc100060"/>
      <w:r>
        <w:rPr>
          <w:rFonts w:ascii="Times New Roman" w:eastAsia="Microsoft YaHei"/>
          <w:b/>
          <w:bCs/>
          <w:color w:val="1A1A1A"/>
        </w:rPr>
        <w:t xml:space="preserve">PA-15 · Trendline &amp; Channel Break Automation</w:t>
      </w:r>
      <w:bookmarkEnd w:id="100060"/>
    </w:p>
    <w:p>
      <w:pPr>
        <w:spacing w:after="80" w:line="312"/>
      </w:pPr>
      <w:r>
        <w:rPr>
          <w:rFonts w:ascii="Times New Roman" w:eastAsia="Microsoft YaHei"/>
          <w:i/>
          <w:iCs/>
          <w:color w:val="6E6E6E"/>
          <w:sz w:val="20"/>
          <w:szCs w:val="20"/>
        </w:rPr>
        <w:t xml:space="preserve">趋势线突破自动化 · Автопробой трендовых линий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Manual TA since Dow; automated by linreg channels (Ehlers-era) and pivot-line fitting scripts.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Fit a line through at least two (ideally three) pivot highs/lows and trade closes beyond it, or trade the linear-regression channel's outer bands as dynamic trendlines. Automation exposes the subjectivity problem: touch tolerance and fit window dominate results. The linreg-channel form is the most reproducible and pairs with R-squared as a fit-quality gate.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close above a downsloping line drawn through 2+ pivot lows, with rising R-squared; stop beyond the last pivot.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Fit window 50-150 bars; touch tolerance 0.2 ATR; R-squared &gt; 0.6 gate.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«пробой трендовой» роботы; CN 趋势线突破 scripts; linreg channel packs.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1" w:name="_Toc100061"/>
      <w:r>
        <w:rPr>
          <w:rFonts w:ascii="Times New Roman" w:eastAsia="Microsoft YaHei"/>
          <w:b/>
          <w:bCs/>
          <w:color w:val="1A1A1A"/>
        </w:rPr>
        <w:t xml:space="preserve">PA-16 · Round Numbers / Psychological Levels</w:t>
      </w:r>
      <w:bookmarkEnd w:id="100061"/>
    </w:p>
    <w:p>
      <w:pPr>
        <w:spacing w:after="80" w:line="312"/>
      </w:pPr>
      <w:r>
        <w:rPr>
          <w:rFonts w:ascii="Times New Roman" w:eastAsia="Microsoft YaHei"/>
          <w:i/>
          <w:iCs/>
          <w:color w:val="6E6E6E"/>
          <w:sz w:val="20"/>
          <w:szCs w:val="20"/>
        </w:rPr>
        <w:t xml:space="preserve">整数关口 · Круглые уровни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Institutional limit-order clustering observations (1990s microstructure research); retail codification in forex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Prices ending in zeros (and in CN/JPY contexts, fives) attract limit orders and stops, producing magnet-then-reject behavior; systematic approaches fade first touches of fresh round levels in ranges or use them as profit targets for momentum trades. Microstructure studies confirm clustering in FX and equities, making this one of the few patterns with clean academic support at the order-book level.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Define level = round(close, step); fade first touch when range regime; or place targets at the next level in trend regime.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Step = 1/2/10/100 by asset; first-touch-only rule; ATR distance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整数关口战法; RU «круглые цифры» robots; FX 'big figure' trading.</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1" w:id="11"/>
      <w:r>
        <w:rPr>
          <w:rFonts w:ascii="Times New Roman" w:eastAsia="Microsoft YaHei"/>
          <w:b/>
          <w:bCs/>
          <w:color w:val="1A1A1A"/>
        </w:rPr>
        <w:t xml:space="preserve">Family E — Indicator Hybrids &amp; Cycle Tools (IH)</w:t>
      </w:r>
      <w:bookmarkEnd w:id="11"/>
    </w:p>
    <w:p>
      <w:pPr>
        <w:spacing w:after="200" w:line="312"/>
        <w:jc w:val="both"/>
      </w:pPr>
      <w:r>
        <w:rPr>
          <w:rFonts w:ascii="Times New Roman" w:eastAsia="Microsoft YaHei"/>
          <w:color w:val="1A1A1A"/>
          <w:sz w:val="22"/>
          <w:szCs w:val="22"/>
        </w:rPr>
        <w:t xml:space="preserve">This family collects indicator systems whose value lies in the indicator's construction rather than a plain cross: adaptive filters from John Ehlers' signal-processing school, composite oscillators, and normalization schemes. Many were born in TASC (Stocks &amp; Commodities) magazine's Traders' Tips column — an archive of mechanized ideas spanning four decades — and migrate from TradeStation/MetaStock to MT4 and finally to Pine. They are frequent ingredients in hybrid robots across CN and RU platforms.</w:t>
      </w:r>
    </w:p>
    <w:p>
      <w:pPr>
        <w:pStyle w:val="Heading3"/>
        <w:spacing w:after="80" w:before="280" w:line="320" w:lineRule="atLeast"/>
      </w:pPr>
      <w:bookmarkStart w:id="100062" w:name="_Toc100062"/>
      <w:r>
        <w:rPr>
          <w:rFonts w:ascii="Times New Roman" w:eastAsia="Microsoft YaHei"/>
          <w:b/>
          <w:bCs/>
          <w:color w:val="1A1A1A"/>
        </w:rPr>
        <w:t xml:space="preserve">IH-01 · MESA Adaptive MA (MAMA / FAMA)</w:t>
      </w:r>
      <w:bookmarkEnd w:id="100062"/>
    </w:p>
    <w:p>
      <w:pPr>
        <w:spacing w:after="80" w:line="312"/>
      </w:pPr>
      <w:r>
        <w:rPr>
          <w:rFonts w:ascii="Times New Roman" w:eastAsia="Microsoft YaHei"/>
          <w:i/>
          <w:iCs/>
          <w:color w:val="6E6E6E"/>
          <w:sz w:val="20"/>
          <w:szCs w:val="20"/>
        </w:rPr>
        <w:t xml:space="preserve">MESA自适应均线 · Адаптивная MESA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Rocket Science for Traders (2001); MESA trademark line.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Hilbert-transform cycle measurement continuously retunes an EMA: when cycles are strong the MAMA tracks price closely, and the FAMA (MAMA of MAMA) trails as the signal line. Crosses of MAMA and FAMA generate signals that self-adjust to the dominant cycle length. It is the flagship of Ehlers' adaptive-filter program, though the full implementation is intricate enough that many ports approximate the phase calculation.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MAMA crossing above FAMA; short mirrored; cycle period gate optional.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Fast limit 0.5, slow limit 0.05.</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MAMA/FAMA ports (TradeStation-&gt;MT4-&gt;Pine); CN 自适应均线 experiments.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3" w:name="_Toc100063"/>
      <w:r>
        <w:rPr>
          <w:rFonts w:ascii="Times New Roman" w:eastAsia="Microsoft YaHei"/>
          <w:b/>
          <w:bCs/>
          <w:color w:val="1A1A1A"/>
        </w:rPr>
        <w:t xml:space="preserve">IH-02 · Instantaneous Trendline &amp; Sine Wave</w:t>
      </w:r>
      <w:bookmarkEnd w:id="100063"/>
    </w:p>
    <w:p>
      <w:pPr>
        <w:spacing w:after="80" w:line="312"/>
      </w:pPr>
      <w:r>
        <w:rPr>
          <w:rFonts w:ascii="Times New Roman" w:eastAsia="Microsoft YaHei"/>
          <w:i/>
          <w:iCs/>
          <w:color w:val="6E6E6E"/>
          <w:sz w:val="20"/>
          <w:szCs w:val="20"/>
        </w:rPr>
        <w:t xml:space="preserve">瞬时趋势线与正弦波 · Мгновенная линия тренда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Rocket Science for Traders (2001).</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Hilbert transform's dominant-cycle phase drives a sine wave that leads price into turns; when the phase line is clean, sine-vs-leadline crosses time reversals, and when the market is trending the tool itself says 'do not use me'. That self-aware regime flag is the sophisticated part: Ehlers explicitly gates the oscillator by trend detection. The instantaneous trendline (a phaser-corrected smoothing) is the companion trend measure.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Trade sine/leadline crosses only when the trend-mode flag is off; stand aside otherwise.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Standard Hilbert constants; smoothing length ~7 for the trendline.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Ehlers book-code ports; MT4/MT5 Hilbert suites.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4" w:name="_Toc100064"/>
      <w:r>
        <w:rPr>
          <w:rFonts w:ascii="Times New Roman" w:eastAsia="Microsoft YaHei"/>
          <w:b/>
          <w:bCs/>
          <w:color w:val="1A1A1A"/>
        </w:rPr>
        <w:t xml:space="preserve">IH-03 · Cyber Cycle</w:t>
      </w:r>
      <w:bookmarkEnd w:id="100064"/>
    </w:p>
    <w:p>
      <w:pPr>
        <w:spacing w:after="80" w:line="312"/>
      </w:pPr>
      <w:r>
        <w:rPr>
          <w:rFonts w:ascii="Times New Roman" w:eastAsia="Microsoft YaHei"/>
          <w:i/>
          <w:iCs/>
          <w:color w:val="6E6E6E"/>
          <w:sz w:val="20"/>
          <w:szCs w:val="20"/>
        </w:rPr>
        <w:t xml:space="preserve">赛博周期 · Кибер-цикл</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Cybernetic Analysis for Stocks and Futures (2004).</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two-pole high-pass filter that isolates the cycle component of price with minimal lag, then smooths it; crossovers with a trigger mark cycle turns. Ehlers positioned it as the clean cycle-extraction baseline against which more complex MESA work is judged. Its simplicity makes it one of the most-ported Ehlers tools.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cycle crossing above trigger from a trough; short mirrored; skip signals when the trend component dominates.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Alpha ~0.07 smoothing; trigger 3-bar EMA.</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Ports in the Ehlers TASC archive; CN 循环指标 experiments.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5" w:name="_Toc100065"/>
      <w:r>
        <w:rPr>
          <w:rFonts w:ascii="Times New Roman" w:eastAsia="Microsoft YaHei"/>
          <w:b/>
          <w:bCs/>
          <w:color w:val="1A1A1A"/>
        </w:rPr>
        <w:t xml:space="preserve">IH-04 · Ehlers SuperSmoother / Roofing Filter</w:t>
      </w:r>
      <w:bookmarkEnd w:id="100065"/>
    </w:p>
    <w:p>
      <w:pPr>
        <w:spacing w:after="80" w:line="312"/>
      </w:pPr>
      <w:r>
        <w:rPr>
          <w:rFonts w:ascii="Times New Roman" w:eastAsia="Microsoft YaHei"/>
          <w:i/>
          <w:iCs/>
          <w:color w:val="6E6E6E"/>
          <w:sz w:val="20"/>
          <w:szCs w:val="20"/>
        </w:rPr>
        <w:t xml:space="preserve">超级平滑器 · Супер-сглаживатель</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Ehlers, 'Predictive and Dedicated Indicators' (TASC 2013); roofing filter introduced with it.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SuperSmoother is a two-pole Butterworth-style filter that removes aliasing noise far better than an EMA of equal length — Ehlers recommends it as the default replacement for every EMA in older systems. The roofing filter cascades a high-pass and SuperSmoother to feed clean data into cycle indicators. As a system it is a component, but its adoption fixed a generation of indicator quality.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Substitute SuperSmoother for EMA/SMA in any trend system; use roofing-filter output for cycle indicators.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10 canonical; roofing bandpass 30-100 cycles.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SuperSmoother ports everywhere; CN 超平滑滤波 scripts.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indicator("Ehlers SuperSmoother",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 = input.int(10,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price = hl2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a1 = math.exp(-1.414 * 3.14159 /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b1 = 2.0 * a1 * math.cos(1.414 * 3.14159 /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c2 = b1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c3 = -a1 * a1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c1 = 1.0 - c2 - c3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ss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ss := c1 * (price + nz(price[1])) / 2.0 + c2 * nz(ss[1]) + c3 * nz(ss[2])</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plot(ss, "SuperSmoother", color=color.teal)</w:t>
      </w:r>
    </w:p>
    <w:p>
      <w:pPr>
        <w:pStyle w:val="Heading3"/>
        <w:spacing w:after="80" w:before="280" w:line="320" w:lineRule="atLeast"/>
      </w:pPr>
      <w:bookmarkStart w:id="100066" w:name="_Toc100066"/>
      <w:r>
        <w:rPr>
          <w:rFonts w:ascii="Times New Roman" w:eastAsia="Microsoft YaHei"/>
          <w:b/>
          <w:bCs/>
          <w:color w:val="1A1A1A"/>
        </w:rPr>
        <w:t xml:space="preserve">IH-05 · Vortex Indicator</w:t>
      </w:r>
      <w:bookmarkEnd w:id="100066"/>
    </w:p>
    <w:p>
      <w:pPr>
        <w:spacing w:after="80" w:line="312"/>
      </w:pPr>
      <w:r>
        <w:rPr>
          <w:rFonts w:ascii="Times New Roman" w:eastAsia="Microsoft YaHei"/>
          <w:i/>
          <w:iCs/>
          <w:color w:val="6E6E6E"/>
          <w:sz w:val="20"/>
          <w:szCs w:val="20"/>
        </w:rPr>
        <w:t xml:space="preserve">涡流指标 · Индикатор Вортекс</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Etienne Botes &amp; Douglas Siepman, TASC January 2010, inspired by Hans Hannula's vortex concept and water vortex dynamics.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VI+ sums upward true-motion (high to prior low) and VI- the downward mirror, each normalized by true range; VI+ crossing above VI- marks trend initiation, sustained separation marks trend health. It was explicitly designed to catch the start of trends faster than DMI while sharing its normalization philosophy. A compact, well-specified system that ports perfectly.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VI+ crossing above VI-; exit on reverse cross or VI+ falling below 1.0 from a high.</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14 (21 on higher TFs).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Vortex packs on all platforms; CN 涡流指标; RU Вортекс robots.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indicator("Vortex Indicator",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 = input.int(14,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vmPlus  = math.abs(high - nz(low[1]))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vmMinus = math.abs(low - nz(high[1]))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trSum = ta.sum(ta.tr(true), 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vip = ta.sum(vmPlus, len) / trSum</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vim = ta.sum(vmMinus, len) / trSum</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plot(vip, "VI+",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plot(vim, "VI-", color=color.red)</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hline(1)</w:t>
      </w:r>
    </w:p>
    <w:p>
      <w:pPr>
        <w:pStyle w:val="Heading3"/>
        <w:spacing w:after="80" w:before="280" w:line="320" w:lineRule="atLeast"/>
      </w:pPr>
      <w:bookmarkStart w:id="100067" w:name="_Toc100067"/>
      <w:r>
        <w:rPr>
          <w:rFonts w:ascii="Times New Roman" w:eastAsia="Microsoft YaHei"/>
          <w:b/>
          <w:bCs/>
          <w:color w:val="1A1A1A"/>
        </w:rPr>
        <w:t xml:space="preserve">IH-06 · True Strength Index (TSI)</w:t>
      </w:r>
      <w:bookmarkEnd w:id="100067"/>
    </w:p>
    <w:p>
      <w:pPr>
        <w:spacing w:after="80" w:line="312"/>
      </w:pPr>
      <w:r>
        <w:rPr>
          <w:rFonts w:ascii="Times New Roman" w:eastAsia="Microsoft YaHei"/>
          <w:i/>
          <w:iCs/>
          <w:color w:val="6E6E6E"/>
          <w:sz w:val="20"/>
          <w:szCs w:val="20"/>
        </w:rPr>
        <w:t xml:space="preserve">真实强度指数 · Индекс истинной силы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William Blau, TASC 1991; Momentum, Direction and Divergence (1995).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TSI double-smooths momentum (25/13 classic) and normalizes by double-smoothed absolute momentum, yielding an oscillator bounded near +/-100 that tracks trend quality with unusually low noise. Blau's design philosophy — smooth first, then normalize — makes TSI excellent for divergence work and as a momentum-of-trend confirmation.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TSI crossing its signal line below zero in an uptrend regime; exit at signal re-cross or overbought roll.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25/13/7 classic; 13/7/5 faster variant.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TSI packs everywhere; CN TSI策略; RU TSI форекс-роботы.</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indicator("True Strength Index",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lenL = input.int(25, "Long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lenS = input.int(13, "Short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sigLen = input.int(13, "Signal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 = ta.mom(close,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tsiVal = 100 * ta.ema(ta.ema(m, lenL), lenS) / ta.ema(ta.ema(math.abs(m), lenL), lenS)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sig = ta.ema(tsiVal, sigLen)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plot(tsiVal, "TSI",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plot(sig, "Signal", color=color.red)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hline(25)</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hline(-25)</w:t>
      </w:r>
    </w:p>
    <w:p>
      <w:pPr>
        <w:pStyle w:val="Heading3"/>
        <w:spacing w:after="80" w:before="280" w:line="320" w:lineRule="atLeast"/>
      </w:pPr>
      <w:bookmarkStart w:id="100068" w:name="_Toc100068"/>
      <w:r>
        <w:rPr>
          <w:rFonts w:ascii="Times New Roman" w:eastAsia="Microsoft YaHei"/>
          <w:b/>
          <w:bCs/>
          <w:color w:val="1A1A1A"/>
        </w:rPr>
        <w:t xml:space="preserve">IH-07 · Schaff Trend Cycle</w:t>
      </w:r>
      <w:bookmarkEnd w:id="100068"/>
    </w:p>
    <w:p>
      <w:pPr>
        <w:spacing w:after="80" w:line="312"/>
      </w:pPr>
      <w:r>
        <w:rPr>
          <w:rFonts w:ascii="Times New Roman" w:eastAsia="Microsoft YaHei"/>
          <w:i/>
          <w:iCs/>
          <w:color w:val="6E6E6E"/>
          <w:sz w:val="20"/>
          <w:szCs w:val="20"/>
        </w:rPr>
        <w:t xml:space="preserve">沙夫趋势循环 · Трендовый цикл Шаффа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Doug Schaff, 1999 (presented 2008; licensed to FXCM-era platforms).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MACD output re-normalized through a stochastic of itself, cycling between 0-100 faster than MACD reacts: it behaves like a trend-aware oscillator whose 25/75 extremes mark pullback entries inside trends. Popular in forex and gold trading, especially in RU-language signal groups, as a MACD replacement with earlier turns.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cycle crossing up from below 25 in a MACD-positive regime;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MACD 23/50/9, cycle 10; thresholds 25/75.</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STC ports across MT4/MT5/Pine; CN STC experiments.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69" w:name="_Toc100069"/>
      <w:r>
        <w:rPr>
          <w:rFonts w:ascii="Times New Roman" w:eastAsia="Microsoft YaHei"/>
          <w:b/>
          <w:bCs/>
          <w:color w:val="1A1A1A"/>
        </w:rPr>
        <w:t xml:space="preserve">IH-08 · Connors RSI (Composite)</w:t>
      </w:r>
      <w:bookmarkEnd w:id="100069"/>
    </w:p>
    <w:p>
      <w:pPr>
        <w:spacing w:after="80" w:line="312"/>
      </w:pPr>
      <w:r>
        <w:rPr>
          <w:rFonts w:ascii="Times New Roman" w:eastAsia="Microsoft YaHei"/>
          <w:i/>
          <w:iCs/>
          <w:color w:val="6E6E6E"/>
          <w:sz w:val="20"/>
          <w:szCs w:val="20"/>
        </w:rPr>
        <w:t xml:space="preserve">康纳斯复合RSI · Композитный RSI Коннорса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Connors Research, 2012 (Larry Connors, Cesar Alvarez, Austin Lee).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three-component composite: RSI(3) of price, streak-RSI (duration of consecutive up/down closes), and PercentRank of 1-day returns, averaged. It quantifies both stretch and abnormal one-day moves, producing sharper oversold readings than plain RSI for mean-reversion entries in the Connors program.</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composite &lt; 15 with trend filter; exit on composite &gt; 50-70;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RSI 3; streak RSI 2; PercentRank window 100.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CRSI packs; CN 复合RSI; RU CRSI-роботы.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0" w:name="_Toc100070"/>
      <w:r>
        <w:rPr>
          <w:rFonts w:ascii="Times New Roman" w:eastAsia="Microsoft YaHei"/>
          <w:b/>
          <w:bCs/>
          <w:color w:val="1A1A1A"/>
        </w:rPr>
        <w:t xml:space="preserve">IH-09 · Stochastic RSI</w:t>
      </w:r>
      <w:bookmarkEnd w:id="100070"/>
    </w:p>
    <w:p>
      <w:pPr>
        <w:spacing w:after="80" w:line="312"/>
      </w:pPr>
      <w:r>
        <w:rPr>
          <w:rFonts w:ascii="Times New Roman" w:eastAsia="Microsoft YaHei"/>
          <w:i/>
          <w:iCs/>
          <w:color w:val="6E6E6E"/>
          <w:sz w:val="20"/>
          <w:szCs w:val="20"/>
        </w:rPr>
        <w:t xml:space="preserve">随机RSI · Stochastic RSI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Tushar Chande &amp; Stanley Kroll, The New Technical Trader (1994).</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stochastic applied to RSI rather than price, making the oscillator reach extremes far more often and earlier — useful for timing pullback entries inside established trends where raw RSI lags. It is the timing layer inside many trend-pullback hybrids and a default indicator on CN/RU platforms.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stochRSI crosses up from &lt; 20 while price is above the 200-MA; exit at 80+ cross down.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RSI 14; stochastic 14/3/3.</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Everywhere; CN KDJ-of-RSI variants; RU stochRSI скальпинг packs.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1" w:name="_Toc100071"/>
      <w:r>
        <w:rPr>
          <w:rFonts w:ascii="Times New Roman" w:eastAsia="Microsoft YaHei"/>
          <w:b/>
          <w:bCs/>
          <w:color w:val="1A1A1A"/>
        </w:rPr>
        <w:t xml:space="preserve">IH-10 · Commodity Channel Index Systems</w:t>
      </w:r>
      <w:bookmarkEnd w:id="100071"/>
    </w:p>
    <w:p>
      <w:pPr>
        <w:spacing w:after="80" w:line="312"/>
      </w:pPr>
      <w:r>
        <w:rPr>
          <w:rFonts w:ascii="Times New Roman" w:eastAsia="Microsoft YaHei"/>
          <w:i/>
          <w:iCs/>
          <w:color w:val="6E6E6E"/>
          <w:sz w:val="20"/>
          <w:szCs w:val="20"/>
        </w:rPr>
        <w:t xml:space="preserve">CCI顺势/回归系统 · Системы по CCI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Donald Lambert, TASC October 1980.</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CCI measures deviation of typical price from its SMA scaled by mean absolute deviation; Lambert's own framing was cyclical, but practice split it into a +/-100 breakout-trend system and a fade-at-extremes reversion system. The dual-personality is the reason it appears in both trend and reversion robots on CN and RU platforms.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Trend form: long on CCI &gt; +100 (exit &lt; -100); reversion form: fade CCI beyond +/-200 toward zero.</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20 (14 intraday); thresholds 100/200 by form.</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CCI战法; RU CCI-советники; Woodie CCI variant (distinct calc, same idea).</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2" w:name="_Toc100072"/>
      <w:r>
        <w:rPr>
          <w:rFonts w:ascii="Times New Roman" w:eastAsia="Microsoft YaHei"/>
          <w:b/>
          <w:bCs/>
          <w:color w:val="1A1A1A"/>
        </w:rPr>
        <w:t xml:space="preserve">IH-11 · Chande Momentum Oscillator</w:t>
      </w:r>
      <w:bookmarkEnd w:id="100072"/>
    </w:p>
    <w:p>
      <w:pPr>
        <w:spacing w:after="80" w:line="312"/>
      </w:pPr>
      <w:r>
        <w:rPr>
          <w:rFonts w:ascii="Times New Roman" w:eastAsia="Microsoft YaHei"/>
          <w:i/>
          <w:iCs/>
          <w:color w:val="6E6E6E"/>
          <w:sz w:val="20"/>
          <w:szCs w:val="20"/>
        </w:rPr>
        <w:t xml:space="preserve">钱德动量摆动指标 · Осциллятор Чанде</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Tushar Chande, TASC March 1994 (also the VIDYA author).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CMO sums up-moves and down-moves over N bars into a -100/+100 momentum read with a fixed scale — a cleaner RSI alternative intended for overbought/oversold and trend-momentum readings. It powers Chande's own VIDYA adaptive average and appears as a momentum gate in hybrid systems.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Trend-momentum: long when CMO &gt; 50 (with trend filter); fade form: CMO extremes beyond +/-50 toward the mid.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9-14.</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CMO in MetaStock-era libraries; CN CMO模板.</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3" w:name="_Toc100073"/>
      <w:r>
        <w:rPr>
          <w:rFonts w:ascii="Times New Roman" w:eastAsia="Microsoft YaHei"/>
          <w:b/>
          <w:bCs/>
          <w:color w:val="1A1A1A"/>
        </w:rPr>
        <w:t xml:space="preserve">IH-12 · Ultimate Oscillator</w:t>
      </w:r>
      <w:bookmarkEnd w:id="100073"/>
    </w:p>
    <w:p>
      <w:pPr>
        <w:spacing w:after="80" w:line="312"/>
      </w:pPr>
      <w:r>
        <w:rPr>
          <w:rFonts w:ascii="Times New Roman" w:eastAsia="Microsoft YaHei"/>
          <w:i/>
          <w:iCs/>
          <w:color w:val="6E6E6E"/>
          <w:sz w:val="20"/>
          <w:szCs w:val="20"/>
        </w:rPr>
        <w:t xml:space="preserve">终极摆动指标 · Ультимативный осциллятор</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Larry Williams, TASC 1985.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Blends buying-pressure averages over three weighted timeframes (7/14/28) to avoid the single-length trap; divergence between price and the composite is the primary signal. Williams designed it to catch accumulation/distribution phases that single-period oscillators miss, tying it loosely to his Wyckoff-influenced reading of markets.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bullish divergence while UO &lt; 30; exit at 50-70; short mirrored above 70.</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7/14/28 with 4/2/1 weights; bands 30/70.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UO packs; CN 终极指标; RU UO-роботы.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4" w:name="_Toc100074"/>
      <w:r>
        <w:rPr>
          <w:rFonts w:ascii="Times New Roman" w:eastAsia="Microsoft YaHei"/>
          <w:b/>
          <w:bCs/>
          <w:color w:val="1A1A1A"/>
        </w:rPr>
        <w:t xml:space="preserve">IH-13 · Long-Cycle Momentum Composites (KST / Coppock)</w:t>
      </w:r>
      <w:bookmarkEnd w:id="100074"/>
    </w:p>
    <w:p>
      <w:pPr>
        <w:spacing w:after="80" w:line="312"/>
      </w:pPr>
      <w:r>
        <w:rPr>
          <w:rFonts w:ascii="Times New Roman" w:eastAsia="Microsoft YaHei"/>
          <w:i/>
          <w:iCs/>
          <w:color w:val="6E6E6E"/>
          <w:sz w:val="20"/>
          <w:szCs w:val="20"/>
        </w:rPr>
        <w:t xml:space="preserve">长周期动量合成指标 · Долгосрочные осцилляторы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Coppock Curve: Edwin Coppock, Barron's 1962; KST: Martin Pring, 1990s.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Both aggregate multiple ROC lengths (Coppock: 14/11-month ROC smoothed by 10-month WMA; KST: four rate-of-change terms weighted) into slow momentum composites for monthly charts, designed around church-founding arithmetic in Coppock's case and cycle layering in Pring's. Signals are rare, zero-cross or turn-based, and act as regime context for shorter systems rather than standalone trades.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curve turning up from below zero; exit on roll from above; use as regime gate.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Coppock 14/11/10 monthly; KST (10,15,20,30 ROC / 10,10,10,15 SMA).</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Coppock screeners; RU «кривая Коппока» long-term followers.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5" w:name="_Toc100075"/>
      <w:r>
        <w:rPr>
          <w:rFonts w:ascii="Times New Roman" w:eastAsia="Microsoft YaHei"/>
          <w:b/>
          <w:bCs/>
          <w:color w:val="1A1A1A"/>
        </w:rPr>
        <w:t xml:space="preserve">IH-14 · Detrended Price Oscillator &amp; Cycle Projection</w:t>
      </w:r>
      <w:bookmarkEnd w:id="100075"/>
    </w:p>
    <w:p>
      <w:pPr>
        <w:spacing w:after="80" w:line="312"/>
      </w:pPr>
      <w:r>
        <w:rPr>
          <w:rFonts w:ascii="Times New Roman" w:eastAsia="Microsoft YaHei"/>
          <w:i/>
          <w:iCs/>
          <w:color w:val="6E6E6E"/>
          <w:sz w:val="20"/>
          <w:szCs w:val="20"/>
        </w:rPr>
        <w:t xml:space="preserve">去趋势价格振荡器 · DPO и проекция циклов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1980s cycle-analysis literature (Walter Bressert's work popularized the concept).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DPO shifts a displaced SMA to isolate the cycle component around a moving average, letting the analyst measure dominant cycle length and project the next trough/crest. Mechanically it feeds cycle-timed entries for oscillators (enter fades at projected troughs) rather than being traded on its own crossings. It is the practical bridge between Ehlers' DSP school and classic cycle-chart analysis.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Measure trough spacing on DPO; time mean-reversion entries near projected troughs; gate by cycle length stability.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DPO length 20-22 (period/2 + 1 displacement).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Bressert cycle tools; CN DPO周期模板; RU цикловый анализ.</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2" w:id="12"/>
      <w:r>
        <w:rPr>
          <w:rFonts w:ascii="Times New Roman" w:eastAsia="Microsoft YaHei"/>
          <w:b/>
          <w:bCs/>
          <w:color w:val="1A1A1A"/>
        </w:rPr>
        <w:t xml:space="preserve">Family F — Volume, Order Flow &amp; Market Profile (VO)</w:t>
      </w:r>
      <w:bookmarkEnd w:id="12"/>
    </w:p>
    <w:p>
      <w:pPr>
        <w:spacing w:after="200" w:line="312"/>
        <w:jc w:val="both"/>
      </w:pPr>
      <w:r>
        <w:rPr>
          <w:rFonts w:ascii="Times New Roman" w:eastAsia="Microsoft YaHei"/>
          <w:color w:val="1A1A1A"/>
          <w:sz w:val="22"/>
          <w:szCs w:val="22"/>
        </w:rPr>
        <w:t xml:space="preserve">Volume systems read participation: who is absorbing, who is vacuum, where the day's business was transacted. The lineage runs from Granville's OBV through Wyckoff-descended VSA to CBOT's Market Profile and modern footprint/delta tools. Pine cannot see the true order book, so Pine implementations rely on bar-volume proxies (CVD approximations, volume profile estimates), while native order-book scalping thrives on MOEX (RU-05, RU-13) and Chinese futures desks.</w:t>
      </w:r>
    </w:p>
    <w:p>
      <w:pPr>
        <w:pStyle w:val="Heading3"/>
        <w:spacing w:after="80" w:before="280" w:line="320" w:lineRule="atLeast"/>
      </w:pPr>
      <w:bookmarkStart w:id="100076" w:name="_Toc100076"/>
      <w:r>
        <w:rPr>
          <w:rFonts w:ascii="Times New Roman" w:eastAsia="Microsoft YaHei"/>
          <w:b/>
          <w:bCs/>
          <w:color w:val="1A1A1A"/>
        </w:rPr>
        <w:t xml:space="preserve">VO-01 · Volume Spread Analysis (VSA)</w:t>
      </w:r>
      <w:bookmarkEnd w:id="100076"/>
    </w:p>
    <w:p>
      <w:pPr>
        <w:spacing w:after="80" w:line="312"/>
      </w:pPr>
      <w:r>
        <w:rPr>
          <w:rFonts w:ascii="Times New Roman" w:eastAsia="Microsoft YaHei"/>
          <w:i/>
          <w:iCs/>
          <w:color w:val="6E6E6E"/>
          <w:sz w:val="20"/>
          <w:szCs w:val="20"/>
        </w:rPr>
        <w:t xml:space="preserve">量价分析法 · Объёмно-спредовый анализ (VSA)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Tom Williams (ex-Wyckoff syndicate trader), Master the Markets (2003); software lineage TradeGuider; direct descent from PA-01/02.</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VSA codifies Wyckoff reading into named bar patterns: 'no supply' (down bar, narrow spread, low volume at range lows — selling dried up), 'no demand' (up bar, narrow spread, low volume at highs), 'stopping volume' (climactic down bar absorbed), and 'effort vs result' anomalies. Systems trade the named setups with trend context. It is the single most-exported volume methodology to Russian and Chinese retail communities.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'no supply' after a downtrend with subsequent strength confirmation; short on 'no demand' after an up-leg; confirm with next-bar follow-through.</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Spread percentile and volume relative to 20-50 bar averages; trend context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VSA scripts (dozens of packs); CN 量价分析 school; RU VSA-сообщество (Smart-Lab's volume tradition); Wyckoff bar-reading (PA-02).</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7" w:name="_Toc100077"/>
      <w:r>
        <w:rPr>
          <w:rFonts w:ascii="Times New Roman" w:eastAsia="Microsoft YaHei"/>
          <w:b/>
          <w:bCs/>
          <w:color w:val="1A1A1A"/>
        </w:rPr>
        <w:t xml:space="preserve">VO-02 · On-Balance Volume Divergence</w:t>
      </w:r>
      <w:bookmarkEnd w:id="100077"/>
    </w:p>
    <w:p>
      <w:pPr>
        <w:spacing w:after="80" w:line="312"/>
      </w:pPr>
      <w:r>
        <w:rPr>
          <w:rFonts w:ascii="Times New Roman" w:eastAsia="Microsoft YaHei"/>
          <w:i/>
          <w:iCs/>
          <w:color w:val="6E6E6E"/>
          <w:sz w:val="20"/>
          <w:szCs w:val="20"/>
        </w:rPr>
        <w:t xml:space="preserve">能量潮背离 · Дивергенция OBV</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Joe Granville, 1963 (New Key to Stock Market Profits).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OBV accumulates signed volume; when price makes new highs/lows without OBV confirming, the move lacks participation and is prone to reversal — Granville's original 'OBV vs price' divergence. As a system it is a confirmation layer: trend entries require OBV agreement, and OBV non-confirmation flags exits. Granville's later salesmanship outran his statistics, but the mechanism survives in modern flow measures.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Compare 20-bar linreg slopes of price and OBV; divergence flags reversal candidates; confluence confirms trend entries.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Slope window 20; divergence persistence 3 bars.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OBV in every platform; CN 能量潮战法; RU OBV-роботы; CMF/ADL cousins (MR-15).</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indicator("OBV Divergence Helper",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obv = ta.obv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obvSlope = ta.linreg(obv, 20, 0) - ta.linreg(obv, 20,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priceSlope = ta.linreg(close, 20, 0) - ta.linreg(close, 20, 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bullDiv = priceSlope &lt; 0 and obvSlope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bearDiv = priceSlope &gt; 0 and obvSlope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plot(obv, "OBV", color=color.teal)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plotshape(bullDiv, "Bull div", shape.circle, location.bottom, color=color.teal, size=size.tiny)</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plotshape(bearDiv, "Bear div", shape.circle, location.top, color=color.red, size=size.tiny)</w:t>
      </w:r>
    </w:p>
    <w:p>
      <w:pPr>
        <w:pStyle w:val="Heading3"/>
        <w:spacing w:after="80" w:before="280" w:line="320" w:lineRule="atLeast"/>
      </w:pPr>
      <w:bookmarkStart w:id="100078" w:name="_Toc100078"/>
      <w:r>
        <w:rPr>
          <w:rFonts w:ascii="Times New Roman" w:eastAsia="Microsoft YaHei"/>
          <w:b/>
          <w:bCs/>
          <w:color w:val="1A1A1A"/>
        </w:rPr>
        <w:t xml:space="preserve">VO-03 · Chaikin Money Flow / Accumulation-Distribution Line</w:t>
      </w:r>
      <w:bookmarkEnd w:id="100078"/>
    </w:p>
    <w:p>
      <w:pPr>
        <w:spacing w:after="80" w:line="312"/>
      </w:pPr>
      <w:r>
        <w:rPr>
          <w:rFonts w:ascii="Times New Roman" w:eastAsia="Microsoft YaHei"/>
          <w:i/>
          <w:iCs/>
          <w:color w:val="6E6E6E"/>
          <w:sz w:val="20"/>
          <w:szCs w:val="20"/>
        </w:rPr>
        <w:t xml:space="preserve">蔡金资金流 · Линия A/D и CMF</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Marc Chaikin, 1966-1980s (building on Granville OBV and Joe Joseph's work).</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A/D line weights each bar's volume by where close sits in its range (close-line location = buying pressure), and CMF normalizes it over 20 bars into a +/- oscillator. Sustained positive CMF during flat price flags accumulation — the classic 'smart money is buying the dip' read. It is a location-weighted OBV and inherits the same confirmation role.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CMF &gt; +0.25 with price basing; exit when CMF crosses down through zero after a run; divergence use as VO-02.</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CMF 20-21; thresholds 0.25 / -0.25.</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ADL/CMF packs; CN CMF资金流策略; RU CMF-роботы.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79" w:name="_Toc100079"/>
      <w:r>
        <w:rPr>
          <w:rFonts w:ascii="Times New Roman" w:eastAsia="Microsoft YaHei"/>
          <w:b/>
          <w:bCs/>
          <w:color w:val="1A1A1A"/>
        </w:rPr>
        <w:t xml:space="preserve">VO-04 · Money Flow Index</w:t>
      </w:r>
      <w:bookmarkEnd w:id="100079"/>
    </w:p>
    <w:p>
      <w:pPr>
        <w:spacing w:after="80" w:line="312"/>
      </w:pPr>
      <w:r>
        <w:rPr>
          <w:rFonts w:ascii="Times New Roman" w:eastAsia="Microsoft YaHei"/>
          <w:i/>
          <w:iCs/>
          <w:color w:val="6E6E6E"/>
          <w:sz w:val="20"/>
          <w:szCs w:val="20"/>
        </w:rPr>
        <w:t xml:space="preserve">资金流量指数 · Индекс денежного потока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Avinash 'Avi' Quong &amp; Mehran Soudack, TASC August 1989 (a volume-weighted RSI).</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MFI multiplies typical price by volume into 'money flow', then applies RSI math to positive vs negative flow days — producing an RSI-shaped oscillator that requires participation for extremes to register. MFI extremes with price non-confirmation are the volume-flavored divergence signal. As a fade system it mirrors MR-15's usage.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MFI &lt; 20 in uptrend regime; exit MFI &gt; 50; divergence reading as primary use.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14; bands 20/80.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MFI everywhere; CN MFI资金策略; RU MFI-скрипты.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0" w:name="_Toc100080"/>
      <w:r>
        <w:rPr>
          <w:rFonts w:ascii="Times New Roman" w:eastAsia="Microsoft YaHei"/>
          <w:b/>
          <w:bCs/>
          <w:color w:val="1A1A1A"/>
        </w:rPr>
        <w:t xml:space="preserve">VO-05 · Volume Profile Nodes (HVN/LVN/POC)</w:t>
      </w:r>
      <w:bookmarkEnd w:id="100080"/>
    </w:p>
    <w:p>
      <w:pPr>
        <w:spacing w:after="80" w:line="312"/>
      </w:pPr>
      <w:r>
        <w:rPr>
          <w:rFonts w:ascii="Times New Roman" w:eastAsia="Microsoft YaHei"/>
          <w:i/>
          <w:iCs/>
          <w:color w:val="6E6E6E"/>
          <w:sz w:val="20"/>
          <w:szCs w:val="20"/>
        </w:rPr>
        <w:t xml:space="preserve">成交量分布节点 · Объёмный профиль (POC/HVN/LVN)</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Market Profile descendant; volume-profile software (2000s: MarketDelta, Sierra) then Pine ports.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Histogram traded volume by price level; the Point of Control (heaviest node) acts as magnet and fair value, High-Volume Nodes as support/resistance shelf, and Low-Volume Nodes as vacuum zones price traverses quickly. Systems trade POC bounces in balance and LVN traversals toward the next node. Pine implementations estimate profiles from bar ranges — an approximation noted in code comments.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at HVN support under POC in balance; target the next HVN; break of POC with acceptance flips the balance area.</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Profile window 50-200 bars; bin count 24-100; acceptance = 2+ closes beyond.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Volume profile packs (LuxAlgo, multiple); CN 成交量分布策略; RU объёмный профиль community.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1" w:name="_Toc100081"/>
      <w:r>
        <w:rPr>
          <w:rFonts w:ascii="Times New Roman" w:eastAsia="Microsoft YaHei"/>
          <w:b/>
          <w:bCs/>
          <w:color w:val="1A1A1A"/>
        </w:rPr>
        <w:t xml:space="preserve">VO-06 · Market Profile TPO (Steidlmayer)</w:t>
      </w:r>
      <w:bookmarkEnd w:id="100081"/>
    </w:p>
    <w:p>
      <w:pPr>
        <w:spacing w:after="80" w:line="312"/>
      </w:pPr>
      <w:r>
        <w:rPr>
          <w:rFonts w:ascii="Times New Roman" w:eastAsia="Microsoft YaHei"/>
          <w:i/>
          <w:iCs/>
          <w:color w:val="6E6E6E"/>
          <w:sz w:val="20"/>
          <w:szCs w:val="20"/>
        </w:rPr>
        <w:t xml:space="preserve">市场轮廓TPO · Маркет-профиль (TPO)</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 Peter Steidlmayer, CBOT, 1984 (with the CBOT's Market Profile concept letter).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TPO counts time-at-price in 30-minute brackets, defining value areas, one-timeelling rotations, and open types (open-drive, open-rejection, open-test). Steidlmayer's insight — the market's auction finds fair value where time accumulates — created a complete auction-theory framework. The systematic edges (value-area fades, initiative vs responsive opens) require session-TPO construction that Pine approximates poorly, so it remains mostly logic-only here.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Fade edges of the prior day's value area on responsive opens; join initiative moves that accept outside value.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TPO period 30 min; value area 70% of TPO; open-type classification.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TPO chart packs; RU аукционная теория followers; CN 市场轮廓 study groups.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2" w:name="_Toc100082"/>
      <w:r>
        <w:rPr>
          <w:rFonts w:ascii="Times New Roman" w:eastAsia="Microsoft YaHei"/>
          <w:b/>
          <w:bCs/>
          <w:color w:val="1A1A1A"/>
        </w:rPr>
        <w:t xml:space="preserve">VO-07 · VWAP Deviation Bands (Execution-Grade)</w:t>
      </w:r>
      <w:bookmarkEnd w:id="100082"/>
    </w:p>
    <w:p>
      <w:pPr>
        <w:spacing w:after="80" w:line="312"/>
      </w:pPr>
      <w:r>
        <w:rPr>
          <w:rFonts w:ascii="Times New Roman" w:eastAsia="Microsoft YaHei"/>
          <w:i/>
          <w:iCs/>
          <w:color w:val="6E6E6E"/>
          <w:sz w:val="20"/>
          <w:szCs w:val="20"/>
        </w:rPr>
        <w:t xml:space="preserve">VWAP偏差通道 · Полосы VWAP</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Institutional execution analytics; popularized by VWAP-band scripts and Brian Shannon's teaching.</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Session VWAP with standard-deviation bands turns the execution benchmark into a regime map: price above VWAP is a buy-the-dip day, below is sell-the-rip, band-3 extremes in balance are reversion candidates. Unlike MR-12 (pure fade), the band system's core rule is trade WITH the VWAP side and use bands for entry timing. It is the most-used institutional overlay on intraday desks.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dips to VWAP or -1 sigma while price holds above VWAP; fade -2/-3 sigma only in balance regimes; exit at VWAP cross against.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Session VWAP; bands 1/2/3 sigma of (close - VWAP); regime by first-hour VWAP side.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VWAP band packs; CN VWAP通道; RU VWAP-стратегии; anchored-VWAP variants (VO-08).</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indicator("Session VWAP + Deviation Bands",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b1 = input.float(1.0, "Band 1 (stdev)")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b2 = input.float(2.0, "Band 2 (stdev)")</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 = ta.vwap(hlc3)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dev = ta.stdev(close - v,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 "VWAP", color=color.orange)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 + b1 * dev, "+1", color=color.new(color.teal, 40))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 - b1 * dev, "-1", color=color.new(color.teal, 40))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plot(v + b2 * dev, "+2", color=color.new(color.red, 40))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plot(v - b2 * dev, "-2", color=color.new(color.red, 40))</w:t>
      </w:r>
    </w:p>
    <w:p>
      <w:pPr>
        <w:pStyle w:val="Heading3"/>
        <w:spacing w:after="80" w:before="280" w:line="320" w:lineRule="atLeast"/>
      </w:pPr>
      <w:bookmarkStart w:id="100083" w:name="_Toc100083"/>
      <w:r>
        <w:rPr>
          <w:rFonts w:ascii="Times New Roman" w:eastAsia="Microsoft YaHei"/>
          <w:b/>
          <w:bCs/>
          <w:color w:val="1A1A1A"/>
        </w:rPr>
        <w:t xml:space="preserve">VO-08 · Anchored VWAP (AVWAP)</w:t>
      </w:r>
      <w:bookmarkEnd w:id="100083"/>
    </w:p>
    <w:p>
      <w:pPr>
        <w:spacing w:after="80" w:line="312"/>
      </w:pPr>
      <w:r>
        <w:rPr>
          <w:rFonts w:ascii="Times New Roman" w:eastAsia="Microsoft YaHei"/>
          <w:i/>
          <w:iCs/>
          <w:color w:val="6E6E6E"/>
          <w:sz w:val="20"/>
          <w:szCs w:val="20"/>
        </w:rPr>
        <w:t xml:space="preserve">锚定VWAP · Якорный VWAP</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Brian Shannon, Maximum Trading Gains with Anchored VWAP (2020) — the formalization of a desk-era tool.</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VWAP anchored not to the session but to a meaningful event (earnings gap, swing high/low, news) traces the average participation price since that event;AVWAPs from major pivots act as institutional memory levels that price respects or breaks meaningfully. Systems trade AVWAP bounces in trends and acceptance-through-AVWAP as regime shifts.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Anchor at event bars (user-defined or automated pivots); long retests of rising AVWAP in trend; exit on 2-bar acceptance through AVWAP against the trade.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Anchor events; confluence of 2+ AVWAPs strengthens the level.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AVWAP packs (Shannon-affiliated and clones); CN 锚定VWAP; RU якорный VWAP.</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4" w:name="_Toc100084"/>
      <w:r>
        <w:rPr>
          <w:rFonts w:ascii="Times New Roman" w:eastAsia="Microsoft YaHei"/>
          <w:b/>
          <w:bCs/>
          <w:color w:val="1A1A1A"/>
        </w:rPr>
        <w:t xml:space="preserve">VO-09 · Cumulative Delta Divergence (CVD)</w:t>
      </w:r>
      <w:bookmarkEnd w:id="100084"/>
    </w:p>
    <w:p>
      <w:pPr>
        <w:spacing w:after="80" w:line="312"/>
      </w:pPr>
      <w:r>
        <w:rPr>
          <w:rFonts w:ascii="Times New Roman" w:eastAsia="Microsoft YaHei"/>
          <w:i/>
          <w:iCs/>
          <w:color w:val="6E6E6E"/>
          <w:sz w:val="20"/>
          <w:szCs w:val="20"/>
        </w:rPr>
        <w:t xml:space="preserve">累计成交量差背离 · Кумулятивная дельта (CVD)</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Footprint/order-flow software (2000s: MarketDelta, NinjaTrader Order Flow) — Pine approximates from bar microstructure.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Delta = aggressive buys minus aggressive sells (proxied in Pine by close-position-in-range heuristics); cumulative delta tracks net aggression. Divergences — price new high without delta confirmation — flag absorption by passive sellers, the modern footprint version of Wyckoff effort-vs-result. True tick-level CVD is unavailable in Pine, so implementations document the approximation honestly.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bullish CVD divergence at support (price low, delta higher low); confirm with structure; exit on delta flip.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Delta proxy: (close - low - (high - close)) / range x volume; divergence window 20-50 bars.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CVD packs; CN 订单流/德尔塔 scripts; RU дельта-анализ (footprint communities).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5" w:name="_Toc100085"/>
      <w:r>
        <w:rPr>
          <w:rFonts w:ascii="Times New Roman" w:eastAsia="Microsoft YaHei"/>
          <w:b/>
          <w:bCs/>
          <w:color w:val="1A1A1A"/>
        </w:rPr>
        <w:t xml:space="preserve">VO-10 · Klinger Volume Oscillator</w:t>
      </w:r>
      <w:bookmarkEnd w:id="100085"/>
    </w:p>
    <w:p>
      <w:pPr>
        <w:spacing w:after="80" w:line="312"/>
      </w:pPr>
      <w:r>
        <w:rPr>
          <w:rFonts w:ascii="Times New Roman" w:eastAsia="Microsoft YaHei"/>
          <w:i/>
          <w:iCs/>
          <w:color w:val="6E6E6E"/>
          <w:sz w:val="20"/>
          <w:szCs w:val="20"/>
        </w:rPr>
        <w:t xml:space="preserve">克林格成交量振荡器 · Осциллятор Клингера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Stephen Klinger, 1977 (publication in 1980s TASC-era materials).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KVO compares two EMAs of a 'volume force' (trend direction x volume x range position) to detect long-term accumulation/distribution turning points; signal-line crosses with divergence flag major reversals. It aims to catch the force behind trends before price confirms. Mostly used as confirmation context in hybrid systems.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KVO crossing signal from below while price makes marginal lows (accumulation divergence); exit on signal re-cross.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34/55 EMAs of volume force; signal 13.</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KVO packs; CN KVO指标; RU Klinger robots.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6" w:name="_Toc100086"/>
      <w:r>
        <w:rPr>
          <w:rFonts w:ascii="Times New Roman" w:eastAsia="Microsoft YaHei"/>
          <w:b/>
          <w:bCs/>
          <w:color w:val="1A1A1A"/>
        </w:rPr>
        <w:t xml:space="preserve">VO-11 · Ease of Movement</w:t>
      </w:r>
      <w:bookmarkEnd w:id="100086"/>
    </w:p>
    <w:p>
      <w:pPr>
        <w:spacing w:after="80" w:line="312"/>
      </w:pPr>
      <w:r>
        <w:rPr>
          <w:rFonts w:ascii="Times New Roman" w:eastAsia="Microsoft YaHei"/>
          <w:i/>
          <w:iCs/>
          <w:color w:val="6E6E6E"/>
          <w:sz w:val="20"/>
          <w:szCs w:val="20"/>
        </w:rPr>
        <w:t xml:space="preserve">简易波动指标 · Индекс лёгкости движения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Richard Arms, 1970s (Arms also of TRIN fame).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EMV scales the mid-price change per bar by the inverse of volume per range unit — price traveling far on light volume scores high 'ease', implying an uncontested move. Arms' auction logic reads ease as sustainability. It is a niche confirmation oscillator today, surviving in scan stacks rather than as a standalone system.</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Trend confirmation: EMV &gt; 0 sustains longs in trend systems; negative cross flags fading drive.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Length 14; smoothed variant common.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EMV in classic libraries; CN EMV模板.</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7" w:name="_Toc100087"/>
      <w:r>
        <w:rPr>
          <w:rFonts w:ascii="Times New Roman" w:eastAsia="Microsoft YaHei"/>
          <w:b/>
          <w:bCs/>
          <w:color w:val="1A1A1A"/>
        </w:rPr>
        <w:t xml:space="preserve">VO-12 · Volume-Weighted Momentum Breakout</w:t>
      </w:r>
      <w:bookmarkEnd w:id="100087"/>
    </w:p>
    <w:p>
      <w:pPr>
        <w:spacing w:after="80" w:line="312"/>
      </w:pPr>
      <w:r>
        <w:rPr>
          <w:rFonts w:ascii="Times New Roman" w:eastAsia="Microsoft YaHei"/>
          <w:i/>
          <w:iCs/>
          <w:color w:val="6E6E6E"/>
          <w:sz w:val="20"/>
          <w:szCs w:val="20"/>
        </w:rPr>
        <w:t xml:space="preserve">量价动量突破 · Объёмно-взвешенный пробой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Formalization of 放量突破 across CN platforms and OBV-breakout research in western scan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consolidated form of BK-08: enter breakouts only when a composite of volume surge, OBV slope, and CMF agrees — requiring the flow triad to confirm the price break. This reduces false breaks materially at the cost of later entries, and is the typical 'volume-confirmed breakout' template in Chinese factor workbooks.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N-bar high with volume &gt; k x avg, OBV slope &gt; 0, CMF &gt; 0; stop under breakout bar low.</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20-60; k 1.5-2; flow gates as above.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BK-08; VO-02/03 combos; RU «пробой с потоком» scripts.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3" w:id="13"/>
      <w:r>
        <w:rPr>
          <w:rFonts w:ascii="Times New Roman" w:eastAsia="Microsoft YaHei"/>
          <w:b/>
          <w:bCs/>
          <w:color w:val="1A1A1A"/>
        </w:rPr>
        <w:t xml:space="preserve">Family G — Session, Time &amp; Calendar Edges (SE)</w:t>
      </w:r>
      <w:bookmarkEnd w:id="13"/>
    </w:p>
    <w:p>
      <w:pPr>
        <w:spacing w:after="200" w:line="312"/>
        <w:jc w:val="both"/>
      </w:pPr>
      <w:r>
        <w:rPr>
          <w:rFonts w:ascii="Times New Roman" w:eastAsia="Microsoft YaHei"/>
          <w:color w:val="1A1A1A"/>
          <w:sz w:val="22"/>
          <w:szCs w:val="22"/>
        </w:rPr>
        <w:t xml:space="preserve">Time-of-day and calendar effects are among the best-documented anomalies in finance — the pre-FOMC drift, turn-of-month strength, and overnight-vs-intraday return split all have peer-reviewed provenance, while session-structure systems (Asia range, London breakout) are practitioner canon in every timezone. For Chinese and Russian traders the calendar is different: A-share limit-up sentiment cycles and MOEX dividend-gap windows replace the US patterns, and those live in CN/RU families.</w:t>
      </w:r>
    </w:p>
    <w:p>
      <w:pPr>
        <w:pStyle w:val="Heading3"/>
        <w:spacing w:after="80" w:before="280" w:line="320" w:lineRule="atLeast"/>
      </w:pPr>
      <w:bookmarkStart w:id="100088" w:name="_Toc100088"/>
      <w:r>
        <w:rPr>
          <w:rFonts w:ascii="Times New Roman" w:eastAsia="Microsoft YaHei"/>
          <w:b/>
          <w:bCs/>
          <w:color w:val="1A1A1A"/>
        </w:rPr>
        <w:t xml:space="preserve">SE-01 · Asia Range Sweep &amp; London Reversal</w:t>
      </w:r>
      <w:bookmarkEnd w:id="100088"/>
    </w:p>
    <w:p>
      <w:pPr>
        <w:spacing w:after="80" w:line="312"/>
      </w:pPr>
      <w:r>
        <w:rPr>
          <w:rFonts w:ascii="Times New Roman" w:eastAsia="Microsoft YaHei"/>
          <w:i/>
          <w:iCs/>
          <w:color w:val="6E6E6E"/>
          <w:sz w:val="20"/>
          <w:szCs w:val="20"/>
        </w:rPr>
        <w:t xml:space="preserve">亚洲区间扫荡 · Съём азиатского диапазона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Forex session-structure practice (1990s-2000s desks); formalized in ICT materials (PA-09).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Asian session builds a tight range of resting liquidity; London's first hours typically sweep one side of it before the real move — the sweep is entry fuel, not trend. Systems fade the sweep back through the range or trade the post-sweep continuation with the range midpoint as the discriminator. The mechanism is pure stop-cluster engineering on session boundaries.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Mark Asia range (00:00-07:00 UTC); on London open, fade a sweep of the range edge that fails within 2 bars; target range mid/other edge.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Asia window 00:00-07:00 UTC; failure window 15-30 min; midpoint discriminator.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ICT Judas swing (PA-09); RU «съём лоув/хай Азии» scripts; CN 亚盘区间策略.</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89" w:name="_Toc100089"/>
      <w:r>
        <w:rPr>
          <w:rFonts w:ascii="Times New Roman" w:eastAsia="Microsoft YaHei"/>
          <w:b/>
          <w:bCs/>
          <w:color w:val="1A1A1A"/>
        </w:rPr>
        <w:t xml:space="preserve">SE-02 · London Breakout («Лондонский взрыв»)</w:t>
      </w:r>
      <w:bookmarkEnd w:id="100089"/>
    </w:p>
    <w:p>
      <w:pPr>
        <w:spacing w:after="80" w:line="312"/>
      </w:pPr>
      <w:r>
        <w:rPr>
          <w:rFonts w:ascii="Times New Roman" w:eastAsia="Microsoft YaHei"/>
          <w:i/>
          <w:iCs/>
          <w:color w:val="6E6E6E"/>
          <w:sz w:val="20"/>
          <w:szCs w:val="20"/>
        </w:rPr>
        <w:t xml:space="preserve">伦敦突破 · Лондонский взрыв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Classic forex strategy codified in Russian forums (2000s) and British prop-desk practice; one of the most-robotized session systems.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Asia range defines the day's expected expansion; trade the break of its edges during the London window with stop at the opposite edge and target of one range height. Its Russian nickname 'London explosion' reflects its 2000s-era popularity on RU forex portals, and it remains the reference session-breakout template. Higher failure rates on quiet Mondays and news Fridays are standard caveats.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Range = Asia session high/low; enter on first close outside during 07:00-10:00 UTC; stop at range midpoint, target 1x range.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Asia 00:00-07:00; trade 07:00-10:00 UTC; TP/SL = 1x/0.5x range.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«Пробой утреннего флэта» (RU-09, same mechanism on MOEX hours); CN 伦敦突破; every MT4 London-bot.</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strategy("London Breakout (Asia Range)",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asiaSess = input.session("0000-0700", "Asia range")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tz       = input.string("UTC", "Timezone")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inAsia  = not na(time(timeframe.period, asiaSess, tz))</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aHi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aLo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inAsia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aHi := na(aHi) ? high : math.max(aHi, high)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aLo := na(aLo) ? low  : math.min(aLo, low)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bool tradedToday = 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newDay = ta.change(time("D"))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newDay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tradedToday := 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canTrade = not inAsia and not tradedToday and not na(aHi)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canTrade and close &gt; aHi</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tradedToday := 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canTrade and close &lt; aLo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tradedToday := 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rng = aHi - aLo</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strategy.exit("LX", from_entry="L", stop=aLo, limit=aHi + rng)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strategy.exit("SX", from_entry="S", stop=aHi, limit=aLo - rng)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plot(inAsia ? aHi : na, "Asia High", color=color.teal, style=plot.style_linebr)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plot(inAsia ? aLo : na, "Asia Low", color=color.red, style=plot.style_linebr)</w:t>
      </w:r>
    </w:p>
    <w:p>
      <w:pPr>
        <w:pStyle w:val="Heading3"/>
        <w:spacing w:after="80" w:before="280" w:line="320" w:lineRule="atLeast"/>
      </w:pPr>
      <w:bookmarkStart w:id="100090" w:name="_Toc100090"/>
      <w:r>
        <w:rPr>
          <w:rFonts w:ascii="Times New Roman" w:eastAsia="Microsoft YaHei"/>
          <w:b/>
          <w:bCs/>
          <w:color w:val="1A1A1A"/>
        </w:rPr>
        <w:t xml:space="preserve">SE-03 · NY Open Momentum (10:00 Rule)</w:t>
      </w:r>
      <w:bookmarkEnd w:id="100090"/>
    </w:p>
    <w:p>
      <w:pPr>
        <w:spacing w:after="80" w:line="312"/>
      </w:pPr>
      <w:r>
        <w:rPr>
          <w:rFonts w:ascii="Times New Roman" w:eastAsia="Microsoft YaHei"/>
          <w:i/>
          <w:iCs/>
          <w:color w:val="6E6E6E"/>
          <w:sz w:val="20"/>
          <w:szCs w:val="20"/>
        </w:rPr>
        <w:t xml:space="preserve">纽约开盘动量 · Моментум открытия Нью-Йорка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US equity intraday desk lore (1990s-2000s); quantified in the overnight/intraday literature (Lou-Polk-Skouras, 2019).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first 90 minutes of NY hours carry disproportionate volume and price discovery; the direction established by 10:00 with confirmation holds disproportionately often to the close. The systematic form enters with the 10:00 direction when the open range and VWAP side agree. On reversal days the failure itself is informative — hence the strict invalidation rules.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At 10:00 ET, take the direction of the open range side if price and VWAP agree; stop at open range mid; exit 15:45 ET.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Open range 09:30-10:00; VWAP confluence; time-stop EOD.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IB/ORB variants (BK-01); CN 美股开盘策略; RU «Нью-Йорк открытие» bots.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1" w:name="_Toc100091"/>
      <w:r>
        <w:rPr>
          <w:rFonts w:ascii="Times New Roman" w:eastAsia="Microsoft YaHei"/>
          <w:b/>
          <w:bCs/>
          <w:color w:val="1A1A1A"/>
        </w:rPr>
        <w:t xml:space="preserve">SE-04 · Overnight vs Intraday Edge (Tug of War)</w:t>
      </w:r>
      <w:bookmarkEnd w:id="100091"/>
    </w:p>
    <w:p>
      <w:pPr>
        <w:spacing w:after="80" w:line="312"/>
      </w:pPr>
      <w:r>
        <w:rPr>
          <w:rFonts w:ascii="Times New Roman" w:eastAsia="Microsoft YaHei"/>
          <w:i/>
          <w:iCs/>
          <w:color w:val="6E6E6E"/>
          <w:sz w:val="20"/>
          <w:szCs w:val="20"/>
        </w:rPr>
        <w:t xml:space="preserve">隔夜与日内收益差 · Овернайт-эффект</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Lou, Polk &amp; Skouras, 'A Tug of War: Overnight Versus Intraday Expected Returns', JFE 2019.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US equity returns have accrued almost entirely overnight for decades while intraday returns favor momentum names — a structural split linked to who trades when (retail vs institutional windows). The systematic form holds positions only overnight in night-favoring names and only intraday in day-favoring ones. Pine can express the timing shell, though multi-asset ranking needs a screener.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Classify asset by historical overnight vs intraday mean dominance; hold overnight-only for night-winners (buy close, sell open), intraday-only for day-winners.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Estimation window 1-3 years; rebalance monthly; borrow/fee awareness essential.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Buy-the-close-sell-the-open papers; CN 隔夜效应研究; RU овернайт-стратегии on SPB panel.</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2" w:name="_Toc100092"/>
      <w:r>
        <w:rPr>
          <w:rFonts w:ascii="Times New Roman" w:eastAsia="Microsoft YaHei"/>
          <w:b/>
          <w:bCs/>
          <w:color w:val="1A1A1A"/>
        </w:rPr>
        <w:t xml:space="preserve">SE-05 · Turn-of-Month / Turn-of-Quarter Effect</w:t>
      </w:r>
      <w:bookmarkEnd w:id="100092"/>
    </w:p>
    <w:p>
      <w:pPr>
        <w:spacing w:after="80" w:line="312"/>
      </w:pPr>
      <w:r>
        <w:rPr>
          <w:rFonts w:ascii="Times New Roman" w:eastAsia="Microsoft YaHei"/>
          <w:i/>
          <w:iCs/>
          <w:color w:val="6E6E6E"/>
          <w:sz w:val="20"/>
          <w:szCs w:val="20"/>
        </w:rPr>
        <w:t xml:space="preserve">月末效应 · Эффект конца месяца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Ariel (1987), Lakonishok &amp; Smidt (1988) documentation; institutional cash-flow timing as the driver.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Equity returns concentrate in the last trading day(s) and first 3-4 days of the month, attributed to institutional funding cycles, 401k/pension inflows, and index rebalancing. The systematic form is long-only across the turn-of-month window and flat or hedged otherwise. It is among the most persistent calendar anomalies documented across markets.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Enter long at T-1 of month end; exit at T+3; optionally hedge (index short) outside the window.</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Window T-1..T+3; skip months with major scheduled shocks (per user risk policy).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TOQ/TOY variants; CN 月末效应研究; RU месячные окна стратегии.</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3" w:name="_Toc100093"/>
      <w:r>
        <w:rPr>
          <w:rFonts w:ascii="Times New Roman" w:eastAsia="Microsoft YaHei"/>
          <w:b/>
          <w:bCs/>
          <w:color w:val="1A1A1A"/>
        </w:rPr>
        <w:t xml:space="preserve">SE-06 · Sell in May / Halloween Indicator</w:t>
      </w:r>
      <w:bookmarkEnd w:id="100093"/>
    </w:p>
    <w:p>
      <w:pPr>
        <w:spacing w:after="80" w:line="312"/>
      </w:pPr>
      <w:r>
        <w:rPr>
          <w:rFonts w:ascii="Times New Roman" w:eastAsia="Microsoft YaHei"/>
          <w:i/>
          <w:iCs/>
          <w:color w:val="6E6E6E"/>
          <w:sz w:val="20"/>
          <w:szCs w:val="20"/>
        </w:rPr>
        <w:t xml:space="preserve">五月卖出效应 · Эффект 'Продавай в мае'</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Bouman &amp; Jacobsen, 'The Halloween Indicator, Sell in May and Go Away', American Economic Review 2002.</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November-April historically outperforms May-October across many markets for decades; Bouman-Jacobsen verified the effect in 37 countries and tied it loosely to vacation-liquidity seasons. As a system it is a binary annual regime gate — hold risk assets November-April, rotate to defensives or cash otherwise. Best treated as a tilt, not a standalone edge.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risk assets Nov 1 - Apr 30; rotate to cash/bonds/defensive sectors May-Oct.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Hemisphere-adjusted variant; combine with momentum for robustness.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Seasonal rotation ETF strategies; CN 五穷六绝七翻身 folklore systematized; RU сезонность studies.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4" w:name="_Toc100094"/>
      <w:r>
        <w:rPr>
          <w:rFonts w:ascii="Times New Roman" w:eastAsia="Microsoft YaHei"/>
          <w:b/>
          <w:bCs/>
          <w:color w:val="1A1A1A"/>
        </w:rPr>
        <w:t xml:space="preserve">SE-07 · Pre-FOMC Announcement Drift</w:t>
      </w:r>
      <w:bookmarkEnd w:id="100094"/>
    </w:p>
    <w:p>
      <w:pPr>
        <w:spacing w:after="80" w:line="312"/>
      </w:pPr>
      <w:r>
        <w:rPr>
          <w:rFonts w:ascii="Times New Roman" w:eastAsia="Microsoft YaHei"/>
          <w:i/>
          <w:iCs/>
          <w:color w:val="6E6E6E"/>
          <w:sz w:val="20"/>
          <w:szCs w:val="20"/>
        </w:rPr>
        <w:t xml:space="preserve">美联储议息前漂移 · Пре-FOMC дрифт</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Lucca &amp; Moench, NY Fed Staff Report 2011 / Journal of Finance 2015.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US equities exhibit a large, statistically robust drift upward in the hours before scheduled FOMC announcements — documented since 1980 across 100+ meetings — interpreted as pre-announcement risk-premium compensation. The systematic form is long the index from the morning of announcement day (or 2 hours pre-release) and flat after the release. One of the cleanest central-bank calendar effects ever documented.</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SPX/ES from 10:00-14:00 ET window before the 14:00 statement; exit at release or shortly after; skip unscheduled/emergency meetings.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FOMC calendar; entry window per the paper; skip days with concurrent major data.</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ECB/pre-announcement drift follow-up studies; CN 美联储会议策略; RU пред-FOMC стратегии.</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5" w:name="_Toc100095"/>
      <w:r>
        <w:rPr>
          <w:rFonts w:ascii="Times New Roman" w:eastAsia="Microsoft YaHei"/>
          <w:b/>
          <w:bCs/>
          <w:color w:val="1A1A1A"/>
        </w:rPr>
        <w:t xml:space="preserve">SE-08 · Hour-of-Day Volatility Breakout</w:t>
      </w:r>
      <w:bookmarkEnd w:id="100095"/>
    </w:p>
    <w:p>
      <w:pPr>
        <w:spacing w:after="80" w:line="312"/>
      </w:pPr>
      <w:r>
        <w:rPr>
          <w:rFonts w:ascii="Times New Roman" w:eastAsia="Microsoft YaHei"/>
          <w:i/>
          <w:iCs/>
          <w:color w:val="6E6E6E"/>
          <w:sz w:val="20"/>
          <w:szCs w:val="20"/>
        </w:rPr>
        <w:t xml:space="preserve">时段波动突破 · Внутричасовой пробой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Intraday seasonality of volume/volatility (Admati-Pfleiderer 1988; Wood-McInish-Ord 1985).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Volatility clusters at session open/close and lunch lulls elsewhere; systems trade breakouts only during high-energy windows (first/last 90 minutes) and trade range-fades during the midday lull. The insight is that the same breakout signal has different expectancy by clock hour, so the calendar acts as a signal multiplier.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Enable breakout logic in 09:30-11:00 and 14:30-16:00 windows; switch to band-fade logic 11:30-14:00.</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Hour buckets per market; window tuning by ATR percentile.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Session-filter modules in CN/RU robots; ICT kill zones (PA-09) overlap.</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096" w:name="_Toc100096"/>
      <w:r>
        <w:rPr>
          <w:rFonts w:ascii="Times New Roman" w:eastAsia="Microsoft YaHei"/>
          <w:b/>
          <w:bCs/>
          <w:color w:val="1A1A1A"/>
        </w:rPr>
        <w:t xml:space="preserve">SE-09 · Crypto Weekend &amp; Funding Window Effects</w:t>
      </w:r>
      <w:bookmarkEnd w:id="100096"/>
    </w:p>
    <w:p>
      <w:pPr>
        <w:spacing w:after="80" w:line="312"/>
      </w:pPr>
      <w:r>
        <w:rPr>
          <w:rFonts w:ascii="Times New Roman" w:eastAsia="Microsoft YaHei"/>
          <w:i/>
          <w:iCs/>
          <w:color w:val="6E6E6E"/>
          <w:sz w:val="20"/>
          <w:szCs w:val="20"/>
        </w:rPr>
        <w:t xml:space="preserve">加密周末与资金费率窗口 · Крипто-сезонность</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Crypto market-structure research (2019+ exchange papers; funding-settlement timing on perpetuals).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Crypto exhibits weekend liquidity holes, Sunday-gap behavior, and volatility bursts around perpetual funding settlements every 8 hours; systems harvest the predictable windows: fade weekend illiquidity extremes before Monday re-liquidity, or trade funding-settlement micro-drift. The effects decay as market structure matures — a documented feature of young markets.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Fade weekend range extremes toward the weekend VWAP with tight targets; avoid holding majors through Monday open gaps; optional funding-window scalps.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Weekend window Sat 00:00 - Mon 00:00 UTC; funding times 00/08/16 UTC; slippage-aware sizing.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Funding-window bots; CN 周末行情策略; RU крипто-сезонность notes.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4" w:id="14"/>
      <w:r>
        <w:rPr>
          <w:rFonts w:ascii="Times New Roman" w:eastAsia="Microsoft YaHei"/>
          <w:b/>
          <w:bCs/>
          <w:color w:val="1A1A1A"/>
        </w:rPr>
        <w:t xml:space="preserve">Family H — Grid, Martingale &amp; Averaging Systems (GR)</w:t>
      </w:r>
      <w:bookmarkEnd w:id="14"/>
    </w:p>
    <w:p>
      <w:pPr>
        <w:spacing w:after="200" w:line="312"/>
        <w:jc w:val="both"/>
      </w:pPr>
      <w:r>
        <w:rPr>
          <w:rFonts w:ascii="Times New Roman" w:eastAsia="Microsoft YaHei"/>
          <w:color w:val="1A1A1A"/>
          <w:sz w:val="22"/>
          <w:szCs w:val="22"/>
        </w:rPr>
        <w:t xml:space="preserve">Grid and averaging systems profit from oscillation around a ladder of price levels and are, by far, the most commercially successful retail automation on earth — every major exchange's bot marketplace, Chinese quant platforms (网格交易), and Russian MT4-era advisors share this DNA. Their mathematical property is asymmetric: long win-rate with rare catastrophic drawdowns. The entries document the mechanism honestly, including the risk geometry, because no serious glossary can omit them while pretending to completeness.</w:t>
      </w:r>
    </w:p>
    <w:p>
      <w:pPr>
        <w:pStyle w:val="Heading3"/>
        <w:spacing w:after="80" w:before="280" w:line="320" w:lineRule="atLeast"/>
      </w:pPr>
      <w:bookmarkStart w:id="100097" w:name="_Toc100097"/>
      <w:r>
        <w:rPr>
          <w:rFonts w:ascii="Times New Roman" w:eastAsia="Microsoft YaHei"/>
          <w:b/>
          <w:bCs/>
          <w:color w:val="1A1A1A"/>
        </w:rPr>
        <w:t xml:space="preserve">GR-01 · Classic Spot Grid Bot</w:t>
      </w:r>
      <w:bookmarkEnd w:id="100097"/>
    </w:p>
    <w:p>
      <w:pPr>
        <w:spacing w:after="80" w:line="312"/>
      </w:pPr>
      <w:r>
        <w:rPr>
          <w:rFonts w:ascii="Times New Roman" w:eastAsia="Microsoft YaHei"/>
          <w:i/>
          <w:iCs/>
          <w:color w:val="6E6E6E"/>
          <w:sz w:val="20"/>
          <w:szCs w:val="20"/>
        </w:rPr>
        <w:t xml:space="preserve">网格交易机器人 · Сеточный робот</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Manual grid trading since the 1970s US commodity floors; industrialized by crypto exchange bot marketplaces (2019+), JoinQuant/myquant templates, and 3Commas/Pionex products.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Lay N limit buys below and sells above a base price at fixed percentage steps; every filled buy is paired with a sell one step higher, harvesting oscillation regardless of direction. Profit per cycle = step x quantity, risk = full inventory in a sustained trend against the ladder. Variants differ in step definition (fixed %, ATR, Fib levels) and range-reset logic.</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Base position at start; buy each grid down, re-sell each filled rung one grid up; reset the grid when price exits the configured range.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Grid count 10-100; step 0.5-2% (crypto), 0.2-0.5% (majors); order size = capital / grid count.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网格交易 (myquant/JoinQuant templates, E大网格体系); RU «сеточные роботы» (Binance/Bybit RU marketplaces); every Pionex/3Commas preset.</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strategy("Spot Grid Bot (Ladder)", overlay=true, pyramiding=30)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gridCount = input.int(10, "Grid levels")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stepPct   = input.float(1.0, "Grid step,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qtyPct    = input.float(10.0, "Order size, % of equity")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lastBuy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qty() =&gt; (strategy.equity * qtyPct / 100) / close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strategy.entry("G0", strategy.long, qty=qty())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strategy.exit("TP0", from_entry="G0", limit=close * (1 + stepPct /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lastBuy := close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not na(lastBuy) and close &lt;= lastBuy * (1 - stepPct / 100) and strategy.opentrades &lt; gridCount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id = "G" + str.tostring(strategy.opentrades)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strategy.entry(id, strategy.long, qty=qty())</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strategy.exit("TP" + str.tostring(strategy.opentrades), from_entry=id, limit=close * (1 + stepPct / 100))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lastBuy := close</w:t>
      </w:r>
    </w:p>
    <w:p>
      <w:pPr>
        <w:pStyle w:val="Heading3"/>
        <w:spacing w:after="80" w:before="280" w:line="320" w:lineRule="atLeast"/>
      </w:pPr>
      <w:bookmarkStart w:id="100098" w:name="_Toc100098"/>
      <w:r>
        <w:rPr>
          <w:rFonts w:ascii="Times New Roman" w:eastAsia="Microsoft YaHei"/>
          <w:b/>
          <w:bCs/>
          <w:color w:val="1A1A1A"/>
        </w:rPr>
        <w:t xml:space="preserve">GR-02 · Martingale / Averaging-Down Systems</w:t>
      </w:r>
      <w:bookmarkEnd w:id="100098"/>
    </w:p>
    <w:p>
      <w:pPr>
        <w:spacing w:after="80" w:line="312"/>
      </w:pPr>
      <w:r>
        <w:rPr>
          <w:rFonts w:ascii="Times New Roman" w:eastAsia="Microsoft YaHei"/>
          <w:i/>
          <w:iCs/>
          <w:color w:val="6E6E6E"/>
          <w:sz w:val="20"/>
          <w:szCs w:val="20"/>
        </w:rPr>
        <w:t xml:space="preserve">马丁格尔加仓 · Мартингейл / усреднение</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18th-century French casino theory; industrialized by MT4-era advisors — most famously the Ilan family (RU-02) — and every forex 'recovery' EA.</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Double (or multiply) size at fixed adverse intervals so the basket's breakeven converges toward current price; the win rate is very high until a sustained trend vaporizes the account. The modern trade-off versions (Ilan's RSI+CCI gating, ATR spacing, equity stop) merely delay the tail. Documented here because it remains one of the most-sold strategy families in RU and CN retail markets — with the explicit warning that its risk-adjusted profile is negative without a hard equity stop.</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Initial position; add size^k at each N-ATR adverse step; exit the basket at breakeven + spread; HARD equity stop at max drawdown.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Multiplier 1.5-2.5; step 0.5-1.5 ATR; max steps 6-10; equity stop mandatory.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Ilan 1.6/2.0 &amp; Apocalypse (RU-02); CN 马丁/扛单 systems; every 'recovery zone' EA on MQL5 market.</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strategy("ATR Martingale Averager (RISK DEMO)", overlay=true, pyramiding=10)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mult    = input.float(2.0, "Size multiplier")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stepAtr = input.float(1.0, "Add every N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strategy.entry("M1", strategy.long, qty=1)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strategy.position_avg_price - stepAtr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strategy.entry("M" + str.tostring(strategy.opentrades + 1),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qty=math.pow(mult, strategy.opentrades))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&gt;= strategy.position_avg_price + 0.25 * atr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strategy.close_all(comment="Basket recovery")</w:t>
      </w:r>
    </w:p>
    <w:p>
      <w:pPr>
        <w:pStyle w:val="Heading3"/>
        <w:spacing w:after="80" w:before="280" w:line="320" w:lineRule="atLeast"/>
      </w:pPr>
      <w:bookmarkStart w:id="100099" w:name="_Toc100099"/>
      <w:r>
        <w:rPr>
          <w:rFonts w:ascii="Times New Roman" w:eastAsia="Microsoft YaHei"/>
          <w:b/>
          <w:bCs/>
          <w:color w:val="1A1A1A"/>
        </w:rPr>
        <w:t xml:space="preserve">GR-03 · Anti-Martingale Pyramiding</w:t>
      </w:r>
      <w:bookmarkEnd w:id="100099"/>
    </w:p>
    <w:p>
      <w:pPr>
        <w:spacing w:after="80" w:line="312"/>
      </w:pPr>
      <w:r>
        <w:rPr>
          <w:rFonts w:ascii="Times New Roman" w:eastAsia="Microsoft YaHei"/>
          <w:i/>
          <w:iCs/>
          <w:color w:val="6E6E6E"/>
          <w:sz w:val="20"/>
          <w:szCs w:val="20"/>
        </w:rPr>
        <w:t xml:space="preserve">反马丁加仓 · Анти-мартингейл</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Turtle doctrine (TR-02); formal risk literature favoring pyramiding into winners.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mirror of GR-02: add to winners at fixed favorable intervals with unit sizing constant or declining, so risk concentrates behind the trend rather than behind hope. Drawdown geometry is bounded while upside compounds — the mathematically sound side of the averaging debate. Turtles added 0.5N units; equity-curve variants gate adds on system performance.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Add a unit each +0.5N-1R advance up to a cap; trail stops on the whole stack at 2N from the last fill.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Add interval 0.5N-1R; unit cap 3-4; stack trailing stop.</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Turtle pyramiding (TR-02); trend-add modules in CN CTA kits; RU «доливка по тренду» practice.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0" w:name="_Toc100100"/>
      <w:r>
        <w:rPr>
          <w:rFonts w:ascii="Times New Roman" w:eastAsia="Microsoft YaHei"/>
          <w:b/>
          <w:bCs/>
          <w:color w:val="1A1A1A"/>
        </w:rPr>
        <w:t xml:space="preserve">GR-04 · DCA &amp; Smart DCA Bots</w:t>
      </w:r>
      <w:bookmarkEnd w:id="100100"/>
    </w:p>
    <w:p>
      <w:pPr>
        <w:spacing w:after="80" w:line="312"/>
      </w:pPr>
      <w:r>
        <w:rPr>
          <w:rFonts w:ascii="Times New Roman" w:eastAsia="Microsoft YaHei"/>
          <w:i/>
          <w:iCs/>
          <w:color w:val="6E6E6E"/>
          <w:sz w:val="20"/>
          <w:szCs w:val="20"/>
        </w:rPr>
        <w:t xml:space="preserve">定投与智能定投机器人 · DCA-боты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Dollar-cost averaging canon (Graham-era); bot-marketplace industrialization (2019+); CN 定投 practice (E大长赢体系) and RU T-Bank auto-invest.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Scheduled buys regardless of price, optionally with valuation gates ('smart' variants buy more when price is below a moving anchor or index percentile). The edge is behavioral discipline plus volatility harvesting on the cost basis, not timing. Smart variants (valuation-triggered, dip-multiplied) blur into GR-01 grid logic at the margins.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Buy fixed amounts on schedule; smart variants scale the tranche by (anchor / price) or z-score below fair value; rebalance or take-profit rules vary.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Frequency weekly/monthly; valuation multiplier 1-3x; take-profit band 20-50% (CN 定投止盈 convention).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 基金定投+止盈体系; RU T-Bank auto-invest strategies; 3Commas DCA presets.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1" w:name="_Toc100101"/>
      <w:r>
        <w:rPr>
          <w:rFonts w:ascii="Times New Roman" w:eastAsia="Microsoft YaHei"/>
          <w:b/>
          <w:bCs/>
          <w:color w:val="1A1A1A"/>
        </w:rPr>
        <w:t xml:space="preserve">GR-05 · Fibonacci Grid</w:t>
      </w:r>
      <w:bookmarkEnd w:id="100101"/>
    </w:p>
    <w:p>
      <w:pPr>
        <w:spacing w:after="80" w:line="312"/>
      </w:pPr>
      <w:r>
        <w:rPr>
          <w:rFonts w:ascii="Times New Roman" w:eastAsia="Microsoft YaHei"/>
          <w:i/>
          <w:iCs/>
          <w:color w:val="6E6E6E"/>
          <w:sz w:val="20"/>
          <w:szCs w:val="20"/>
        </w:rPr>
        <w:t xml:space="preserve">斐波那契网格 · Фибо-сетка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Fibonacci retracement practice merged with grid automation (MT4 era); popular in RU forex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Anchor a Fibonacci retracement on the last impulse and place grid orders at the classic ratios (38.2/50/61.8/78.6), trading reversals at each level toward the impulse origin or breakouts beyond 100%. It converts a discretionary drawing tool into an automatic ladder. The edge is crowd-level self-fulfillment at famous ratios, which decays in fast markets.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Anchor pivots define the retracement; buy limits at 38.2/50/61.8 with stops beyond 78.6; targets at 0% then extensions.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Impulse pivot selection (zigzag 3-8%); ratio set; per-level sizing.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 «сетка по Фибо» robots; CN 斐波那契网格 experiments; MT4 Fibo-grid EAs.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2" w:name="_Toc100102"/>
      <w:r>
        <w:rPr>
          <w:rFonts w:ascii="Times New Roman" w:eastAsia="Microsoft YaHei"/>
          <w:b/>
          <w:bCs/>
          <w:color w:val="1A1A1A"/>
        </w:rPr>
        <w:t xml:space="preserve">GR-06 · ATR-Adaptive Grid</w:t>
      </w:r>
      <w:bookmarkEnd w:id="100102"/>
    </w:p>
    <w:p>
      <w:pPr>
        <w:spacing w:after="80" w:line="312"/>
      </w:pPr>
      <w:r>
        <w:rPr>
          <w:rFonts w:ascii="Times New Roman" w:eastAsia="Microsoft YaHei"/>
          <w:i/>
          <w:iCs/>
          <w:color w:val="6E6E6E"/>
          <w:sz w:val="20"/>
          <w:szCs w:val="20"/>
        </w:rPr>
        <w:t xml:space="preserve">ATR自适应网格 · Адаптивная сетка по ATR</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Grid-bot engineering iteration (2020s crypto bot marketplaces; CN grid research notes).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Replace the fixed percentage step with k x ATR so grid density self-adjusts to volatility: wide grids in storms (fewer, cheaper fills), tight grids in calm. Range bounds can follow Bollinger/Keltner envelopes, making the grid a volatility-adaptive oscillator harvester. This is the most robust of the grid family because it prices risk in the same units as the market's own motion.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Step = k x ATR(14) recomputed at reset; range = EMA +/- m x ATR; reset grid when price exits the envelope.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k 0.5-1.5; m 2-3; reset on envelope break.</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Volatility-grid presets in bot marketplaces; CN 自适应网格研究; RU адаптивные сетки.</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3" w:name="_Toc100103"/>
      <w:r>
        <w:rPr>
          <w:rFonts w:ascii="Times New Roman" w:eastAsia="Microsoft YaHei"/>
          <w:b/>
          <w:bCs/>
          <w:color w:val="1A1A1A"/>
        </w:rPr>
        <w:t xml:space="preserve">GR-07 · Portfolio Rebalancing Bot</w:t>
      </w:r>
      <w:bookmarkEnd w:id="100103"/>
    </w:p>
    <w:p>
      <w:pPr>
        <w:spacing w:after="80" w:line="312"/>
      </w:pPr>
      <w:r>
        <w:rPr>
          <w:rFonts w:ascii="Times New Roman" w:eastAsia="Microsoft YaHei"/>
          <w:i/>
          <w:iCs/>
          <w:color w:val="6E6E6E"/>
          <w:sz w:val="20"/>
          <w:szCs w:val="20"/>
        </w:rPr>
        <w:t xml:space="preserve">组合再平衡机器人 · Ребаланс-боты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Shannon's Demon (Claude Shannon &amp; Thomas Cover, 1970s lectures) as the theory; BitUniverse 'Grid Trading Battle' era (2019) as the retail phenomenon.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Hold fixed value weights across assets; periodic or threshold rebalancing systematically sells winners and buys losers, harvesting the volatility of the pair (Shannon's demon: an unlevered volatile pair grows wealth under rebalance alone). The 2019-2021 BitUniverse rebalance battles made it a retail staple in CN and RU crypto circles. Its edge equals pair volatility minus rebalance costs.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Rebalance to target weights when any weight drifts beyond a threshold or on a schedule; cash leg optional as the stable asset.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Threshold 5-20% absolute drift; rebalance fee-awareness; asset pair volatility screen.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Shannon's demon writeups; BitUniverse battles; CN 定投再平衡 hybrids; RU ребалансировка боты.</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5" w:id="15"/>
      <w:r>
        <w:rPr>
          <w:rFonts w:ascii="Times New Roman" w:eastAsia="Microsoft YaHei"/>
          <w:b/>
          <w:bCs/>
          <w:color w:val="1A1A1A"/>
        </w:rPr>
        <w:t xml:space="preserve">Family I — China-Specific Systems (A-Share &amp; CN Futures) (CN)</w:t>
      </w:r>
      <w:bookmarkEnd w:id="15"/>
    </w:p>
    <w:p>
      <w:pPr>
        <w:spacing w:after="200" w:line="312"/>
        <w:jc w:val="both"/>
      </w:pPr>
      <w:r>
        <w:rPr>
          <w:rFonts w:ascii="Times New Roman" w:eastAsia="Microsoft YaHei"/>
          <w:color w:val="1A1A1A"/>
          <w:sz w:val="22"/>
          <w:szCs w:val="22"/>
        </w:rPr>
        <w:t xml:space="preserve">China's market microstructure produced strategy species that do not exist elsewhere: a daily price-limit regime (10%/20%) and T+1 settlement create the 打板 limit-up ecosystem; retail-dominated flow created 龙虎榜 and 北向资金 flow-reading; the convertible-bond market created the 双低 canon; and 缠论 (Chan theory) built an entire structural language with no western equivalent. These systems come from JoinQuant/BigQuant strategy libraries, the czsc and chanlun-pro open-source projects, 集思录, 淘股吧, and WeChat-era 战法 literature. Several (grid, rotation, multi-factor) mirror global families and are cross-referenced rather than duplicated.</w:t>
      </w:r>
    </w:p>
    <w:p>
      <w:pPr>
        <w:pStyle w:val="Heading3"/>
        <w:spacing w:after="80" w:before="280" w:line="320" w:lineRule="atLeast"/>
      </w:pPr>
      <w:bookmarkStart w:id="100104" w:name="_Toc100104"/>
      <w:r>
        <w:rPr>
          <w:rFonts w:ascii="Times New Roman" w:eastAsia="Microsoft YaHei"/>
          <w:b/>
          <w:bCs/>
          <w:color w:val="1A1A1A"/>
        </w:rPr>
        <w:t xml:space="preserve">CN-01 · Chan Theory (缠论): Fractals, Pens, Pivots &amp; Three Buy/Sell Points</w:t>
      </w:r>
      <w:bookmarkEnd w:id="100104"/>
    </w:p>
    <w:p>
      <w:pPr>
        <w:spacing w:after="80" w:line="312"/>
      </w:pPr>
      <w:r>
        <w:rPr>
          <w:rFonts w:ascii="Times New Roman" w:eastAsia="Microsoft YaHei"/>
          <w:i/>
          <w:iCs/>
          <w:color w:val="6E6E6E"/>
          <w:sz w:val="20"/>
          <w:szCs w:val="20"/>
        </w:rPr>
        <w:t xml:space="preserve">缠论：分型、笔、中枢与三类买卖点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The blogger 缠中说禅 (Chan Zhongshuo Chan), serial essays 2006-2008 (教你炒股票 series).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Chan theory builds a strictly nested structure: K-lines merge (处理包含), top/bottom fractals (分型) chain into pens (笔), pens into segments (线段), and the overlap of three consecutive sub-moves defines a pivot zone (中枢). Trades are the three buy points: first buy at the pivot's trend-exhaustion divergence, second on the failed retest low, third on the pullback that holds above the pivot after breakout. Its rigor and completeness made it China's dominant native TA framework, now industrialized in open source.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Build fractal/pen/segment structure; locate 中枢 [ZG, ZD]; buy-3 when price breaks above ZG then pulls back holding above ZG; mirror for sell-3; MACD divergence confirms buy-1/sell-1.</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Pen thresholds (5+ bars); pivot overlap rule; level nesting 1m/5m/30m/daily (多级别联立).</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czsc (waditu/czsc — 200+ signal functions, Rust core); chanlun-pro (gaoxiaojun) with JoinQuant/Broker adapters; 缠论 indicator packs on 通达信; no western equivalent (pivot-breakout SMC is a loose cousin).</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strategy("Chanlun-style Pivot (Zhongshu) Breakout",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segLen = input.int(10, "Segment window")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Overlap of three consecutive segment ranges approximates the zhongshu</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hi1 = ta.highest(high, 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lo1 = ta.lowest(low, 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hi2 = ta.highest(high, segLen)[segLen]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lo2 = ta.lowest(low, segLen)[segLen]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hi3 = ta.highest(high, segLen)[2 * 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lo3 = ta.lowest(low, segLen)[2 * segLen]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zg = math.min(hi1, math.min(hi2, hi3))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zd = math.max(lo1, math.max(lo2, lo3))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hasPivot = zg &gt; zd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bool broke = 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hasPivot and close &gt; zg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broke := 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thirdBuy  = broke and low &gt; zg and close &gt; open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thirdSell = not hasPivot or close &lt; zd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thirdBuy and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thirdSell and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comment="Pivot invalidated")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plot(zg, "ZG (pivot top)", color=color.teal)</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plot(zd, "ZD (pivot bottom)", color=color.red)</w:t>
      </w:r>
    </w:p>
    <w:p>
      <w:pPr>
        <w:pStyle w:val="Heading3"/>
        <w:spacing w:after="80" w:before="280" w:line="320" w:lineRule="atLeast"/>
      </w:pPr>
      <w:bookmarkStart w:id="100105" w:name="_Toc100105"/>
      <w:r>
        <w:rPr>
          <w:rFonts w:ascii="Times New Roman" w:eastAsia="Microsoft YaHei"/>
          <w:b/>
          <w:bCs/>
          <w:color w:val="1A1A1A"/>
        </w:rPr>
        <w:t xml:space="preserve">CN-02 · Limit-Up Board Tactics (打板：首板/连板/接力)</w:t>
      </w:r>
      <w:bookmarkEnd w:id="100105"/>
    </w:p>
    <w:p>
      <w:pPr>
        <w:spacing w:after="80" w:line="312"/>
      </w:pPr>
      <w:r>
        <w:rPr>
          <w:rFonts w:ascii="Times New Roman" w:eastAsia="Microsoft YaHei"/>
          <w:i/>
          <w:iCs/>
          <w:color w:val="6E6E6E"/>
          <w:sz w:val="20"/>
          <w:szCs w:val="20"/>
        </w:rPr>
        <w:t xml:space="preserve">涨停板战法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宁波涨停板敢死队 (Ningbo 'death squad') era, early 2000s; codified in 淘股吧/游资 literature.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10% daily limit creates a queue-auction: a stock sealing the limit signals one-sided demand that cannot clear until the next day, and 连板 (consecutive limit streaks) mark the momentum lifecycle of speculative cycles. 打板 buys the seal itself or the next day's open on strength; 首板/连板 classifications and 情绪周期 (CN-05) govern which day of the cycle is tradeable. This is the purest momentum strategy extant anywhere — and the most dependent on exchange microstructure.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limit-close (close == limit price); enter next open if sentiment regime supports continuation; exit on a non-limit close, failure to seal intraday, or time stop.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Limit 10% (main board) / 20% (ChiNext/STAR); sentiment gates (前日连板高度, 跌停家数); no short side (A-share constraint).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Every A-share 打板 screener (同花顺/通达信 formulas); BigQuant limit-up factors; not replicable on unlimited markets (the limit IS the edge).</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strategy("Limit-Up Board Continuation (打板, generalized)",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limitPct = input.float(10.0, "Daily limit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tol = input.float(0.002, "Price tolerance")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 = close[1] * (1 + limitPct /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limitUp = close &gt;= lim * (1 - tol) and close == high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firstBoard = limitUp and not limitUp[1]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firstBoard</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 comment="Next-open continuation")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not limitUp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comment="No follow-through")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nz(ta.barssince(firstBoard)) &gt; 3</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strategy.close("L", comment="Time stop")</w:t>
      </w:r>
    </w:p>
    <w:p>
      <w:pPr>
        <w:pStyle w:val="Heading3"/>
        <w:spacing w:after="80" w:before="280" w:line="320" w:lineRule="atLeast"/>
      </w:pPr>
      <w:bookmarkStart w:id="100106" w:name="_Toc100106"/>
      <w:r>
        <w:rPr>
          <w:rFonts w:ascii="Times New Roman" w:eastAsia="Microsoft YaHei"/>
          <w:b/>
          <w:bCs/>
          <w:color w:val="1A1A1A"/>
        </w:rPr>
        <w:t xml:space="preserve">CN-03 · Limit-Up Pullback Re-entry (涨停回马枪)</w:t>
      </w:r>
      <w:bookmarkEnd w:id="100106"/>
    </w:p>
    <w:p>
      <w:pPr>
        <w:spacing w:after="80" w:line="312"/>
      </w:pPr>
      <w:r>
        <w:rPr>
          <w:rFonts w:ascii="Times New Roman" w:eastAsia="Microsoft YaHei"/>
          <w:i/>
          <w:iCs/>
          <w:color w:val="6E6E6E"/>
          <w:sz w:val="20"/>
          <w:szCs w:val="20"/>
        </w:rPr>
        <w:t xml:space="preserve">涨停回马枪</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A-share swing community (2010s WeChat 战法 literature); also a standard TDX formula.</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After a limit-up marks institutional arrival, the stock typically digests for days; the trade buys the controlled pullback to the 10/20-day MA while the limit-up's volume signature stays constructive, targeting the retest of the spike high. It converts the emotional limit-up event into a measured swing entry, and is among the most-shared CN formulas.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 limit-up within the last 5-8 bars; pullback touches MA(10/20) with shrinking volume; long on a bullish reclaim bar; stop under pullback low.</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5-8; MA 10/20; volume contraction &lt; 0.7 x spike-day volume.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回踩战法 variants; 强势股回调买入 templates; TDX 回马枪 formulas (same pattern).</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strategy("Limit-Up Pullback Re-entry (回马枪)",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limitPct = input.float(10.0, "Daily limit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lookback = input.int(6, "Recent limit-up within N bars")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maLen = input.int(20, "Pullback MA")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 = close[1] * (1 + limitPct /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limitUp = close &gt;= lim * 0.998 and close == high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recentBoard = nz(ta.barssince(limitUp)) &lt;= lookback</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 = ta.sma(close, maLen)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pullback = recentBoard and low &lt;= ma and close &gt; ma and volume &lt; ta.sma(volume, 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pullback and strategy.position_size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strategy.position_avg_price - 2 * atr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strategy.close("L", comment="Stop")</w:t>
      </w:r>
    </w:p>
    <w:p>
      <w:pPr>
        <w:pStyle w:val="Heading3"/>
        <w:spacing w:after="80" w:before="280" w:line="320" w:lineRule="atLeast"/>
      </w:pPr>
      <w:bookmarkStart w:id="100107" w:name="_Toc100107"/>
      <w:r>
        <w:rPr>
          <w:rFonts w:ascii="Times New Roman" w:eastAsia="Microsoft YaHei"/>
          <w:b/>
          <w:bCs/>
          <w:color w:val="1A1A1A"/>
        </w:rPr>
        <w:t xml:space="preserve">CN-04 · Dragon-Head Leading-Stock Tactics (龙头战法)</w:t>
      </w:r>
      <w:bookmarkEnd w:id="100107"/>
    </w:p>
    <w:p>
      <w:pPr>
        <w:spacing w:after="80" w:line="312"/>
      </w:pPr>
      <w:r>
        <w:rPr>
          <w:rFonts w:ascii="Times New Roman" w:eastAsia="Microsoft YaHei"/>
          <w:i/>
          <w:iCs/>
          <w:color w:val="6E6E6E"/>
          <w:sz w:val="20"/>
          <w:szCs w:val="20"/>
        </w:rPr>
        <w:t xml:space="preserve">龙头战法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游资 (hot-money) tradition, 淘股吧 era; popularized by traders like 炒股养家 (public posts,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Within a speculative theme, the dragon head (leading stock) absorbs the majority of capital attention and keeps rising while followers die first; the strategy identifies the theme's first limit-up stock with sector resonance, buys its continuation or its first strong pullback, and rides until 龙头首阴 (the leader's first big bearish candle) or sentiment top. It is CANSLIM's leadership principle (TR-18) weaponized on limit-up mechanics with an explicit sentiment lifecycle.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Identify theme + first/strongest limit-up with sector breadth; enter continuation boards or first MA pullback; exit on leader's first bearish engulfing or sentiment peak signals (CN-05).</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Sector resonance &gt;= 3 limit-ups; leader relative strength top 1%; exit discipline on 首阴.</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CANSLIM (TR-18) structural cousin; CN 主升浪战法; 打板 (CN-02) entry mechanics.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8" w:name="_Toc100108"/>
      <w:r>
        <w:rPr>
          <w:rFonts w:ascii="Times New Roman" w:eastAsia="Microsoft YaHei"/>
          <w:b/>
          <w:bCs/>
          <w:color w:val="1A1A1A"/>
        </w:rPr>
        <w:t xml:space="preserve">CN-05 · Sentiment Cycle Model (情绪周期)</w:t>
      </w:r>
      <w:bookmarkEnd w:id="100108"/>
    </w:p>
    <w:p>
      <w:pPr>
        <w:spacing w:after="80" w:line="312"/>
      </w:pPr>
      <w:r>
        <w:rPr>
          <w:rFonts w:ascii="Times New Roman" w:eastAsia="Microsoft YaHei"/>
          <w:i/>
          <w:iCs/>
          <w:color w:val="6E6E6E"/>
          <w:sz w:val="20"/>
          <w:szCs w:val="20"/>
        </w:rPr>
        <w:t xml:space="preserve">情绪周期：冰点→发酵→高潮→退潮</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游资 community synthesis (2010s; 炒股养家, 淘县 school).</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A-share speculation moves through observable phases — 冰点 (freeze: limit-up count collapses), 发酵 (fermentation: leaders emerge), 高潮 (climax: broad limit-up waves, high 连板 heights), 退潮 (ebb: leaders fail, 跌停 clusters) — measured by daily limit-up/limit-down counts, board heights, and 炸板率 (failed seals). The model is a market-regime gate: 打板/接力 strategies trade only in fermentation-climax phases and stand down in ebb. It is sentiment quantification with a uniquely CN data basis.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daily limit-up count, max board height, failed-seal rate; classify phase; enable aggressive tactics only in fermentation/climax; flip to defensive in ebb/freeze.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Thresholds on counts/heights (e.g., climax: 100+ limit-ups, height &gt;= 5); phase persistence filters.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连板高度 monitoring dashboards; BigQuant sentiment factors; no direct western analog (closest: breadth-thrust regime models).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09" w:name="_Toc100109"/>
      <w:r>
        <w:rPr>
          <w:rFonts w:ascii="Times New Roman" w:eastAsia="Microsoft YaHei"/>
          <w:b/>
          <w:bCs/>
          <w:color w:val="1A1A1A"/>
        </w:rPr>
        <w:t xml:space="preserve">CN-06 · Chip Distribution (筹码分布 / CYQ)</w:t>
      </w:r>
      <w:bookmarkEnd w:id="100109"/>
    </w:p>
    <w:p>
      <w:pPr>
        <w:spacing w:after="80" w:line="312"/>
      </w:pPr>
      <w:r>
        <w:rPr>
          <w:rFonts w:ascii="Times New Roman" w:eastAsia="Microsoft YaHei"/>
          <w:i/>
          <w:iCs/>
          <w:color w:val="6E6E6E"/>
          <w:sz w:val="20"/>
          <w:szCs w:val="20"/>
        </w:rPr>
        <w:t xml:space="preserve">筹码分布与SCR指标</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陈浩 (Chen Hao) &amp; 天狼50 school, 2000s; implemented in 指南针/通达信 indicators.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cost-basis distribution estimated from historical volume assuming round-trip decay: each price level holds the shares believed to be held there, forming peaks at congestion and valleys at fast moves. Reads: 筹码单峰密集 (single-peak concentration) precedes breakouts, 主力低位吸筹 shows mass migrating to lows, and 获利盘比例 (profit-holder ratio) drives resistance. It is a uniquely CN institutional-psychology lens on volume.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the chip distribution (triangular decay over ~60-120 bars); trade breakouts from single-peak zones or profit-ratio thresholds (e.g., sell when 90%+ in profit into resistance).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Decay factor ~0.5-0.8 per turnover; estimation window 60-250 bars.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CYQ/SCR indicator clones; 筹码峰 formulas in TDX; volume-profile (VO-05) is the western statistical cousin.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0" w:name="_Toc100110"/>
      <w:r>
        <w:rPr>
          <w:rFonts w:ascii="Times New Roman" w:eastAsia="Microsoft YaHei"/>
          <w:b/>
          <w:bCs/>
          <w:color w:val="1A1A1A"/>
        </w:rPr>
        <w:t xml:space="preserve">CN-07 · Dragon-Tiger List Following (龙虎榜跟随)</w:t>
      </w:r>
      <w:bookmarkEnd w:id="100110"/>
    </w:p>
    <w:p>
      <w:pPr>
        <w:spacing w:after="80" w:line="312"/>
      </w:pPr>
      <w:r>
        <w:rPr>
          <w:rFonts w:ascii="Times New Roman" w:eastAsia="Microsoft YaHei"/>
          <w:i/>
          <w:iCs/>
          <w:color w:val="6E6E6E"/>
          <w:sz w:val="20"/>
          <w:szCs w:val="20"/>
        </w:rPr>
        <w:t xml:space="preserve">龙虎榜策略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SSE/SZSE disclosure rules (2010s formalization); 集思录/淘股吧 tracking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Exchanges disclose daily the top broker-branch flows behind abnormal moves; famous 游资 seats have trackable styles, so strategies follow disclosed net-buyers of specific seats into the next session (or fade notorious sellers). It is flow-copy trading with an official data source — a transparency artifact unique to A-shares.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Nightly, parse 龙虎榜 disclosures; if known-strong seats net-buy heavily, enter next open with limit-up-cycle regime gate (CN-05); exit per 打板 rules.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Seat whitelist/blacklist; position sizing by seat conviction; next-open entry discipline.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席位跟踪 dashboards (问财/开盘啦); not portable without disclosure data.</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1" w:name="_Toc100111"/>
      <w:r>
        <w:rPr>
          <w:rFonts w:ascii="Times New Roman" w:eastAsia="Microsoft YaHei"/>
          <w:b/>
          <w:bCs/>
          <w:color w:val="1A1A1A"/>
        </w:rPr>
        <w:t xml:space="preserve">CN-08 · Northbound Capital Following (北向资金跟随)</w:t>
      </w:r>
      <w:bookmarkEnd w:id="100111"/>
    </w:p>
    <w:p>
      <w:pPr>
        <w:spacing w:after="80" w:line="312"/>
      </w:pPr>
      <w:r>
        <w:rPr>
          <w:rFonts w:ascii="Times New Roman" w:eastAsia="Microsoft YaHei"/>
          <w:i/>
          <w:iCs/>
          <w:color w:val="6E6E6E"/>
          <w:sz w:val="20"/>
          <w:szCs w:val="20"/>
        </w:rPr>
        <w:t xml:space="preserve">北向资金策略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Stock Connect launch (2014/2016); HKEX daily flow disclosure; CN quant community adoption.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Northbound (HK-&gt;mainland) flows were visible daily and acquired a 'smart money' halo; strategies follow sustained northbound net-buying per stock or rotate into the most-bought constituents. Academic evidence on the flow's alpha is mixed, and the 2024 disclosure-frequency cut (daily to quarterly for holdings) degraded most implementations — an instructive archive lesson in data-regime risk.</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Track daily northbound net flow by stock; enter sustained multi-day accumulation names with trend filter; exit on flow reversal or target.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Flow threshold vs free float; persistence 3-5 days; regime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北向资金实时 tracking tools (pre-2024); 外资流入 strategies on JoinQuant/BigQuant.</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2" w:name="_Toc100112"/>
      <w:r>
        <w:rPr>
          <w:rFonts w:ascii="Times New Roman" w:eastAsia="Microsoft YaHei"/>
          <w:b/>
          <w:bCs/>
          <w:color w:val="1A1A1A"/>
        </w:rPr>
        <w:t xml:space="preserve">CN-09 · Margin Balance Sentiment (融资融券情绪)</w:t>
      </w:r>
      <w:bookmarkEnd w:id="100112"/>
    </w:p>
    <w:p>
      <w:pPr>
        <w:spacing w:after="80" w:line="312"/>
      </w:pPr>
      <w:r>
        <w:rPr>
          <w:rFonts w:ascii="Times New Roman" w:eastAsia="Microsoft YaHei"/>
          <w:i/>
          <w:iCs/>
          <w:color w:val="6E6E6E"/>
          <w:sz w:val="20"/>
          <w:szCs w:val="20"/>
        </w:rPr>
        <w:t xml:space="preserve">两融情绪策略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Margin trading pilot 2010; CNKI/HSE-style academic studies and platform factors.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Margin financing balance (融资余额) proxies leveraged retail bullishness; rising balances with flat price flag hidden demand, while falling balances in rallies warn of weak conviction. Systematic uses include leverage-sentiment regime gates for rotation strategies and per-stock margin-buy screening. It is the CN analog of US margin-debt sentiment studies.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Gate rotation strategies by aggregate 融资余额 trend; screen stocks with rising margin balance + price base; exit when balance rolls over.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Balance percentile windows 20-60 days; index-level regime gates.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两融数据 factor studies (华泰金工 reports); platform sentiment factors.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3" w:name="_Toc100113"/>
      <w:r>
        <w:rPr>
          <w:rFonts w:ascii="Times New Roman" w:eastAsia="Microsoft YaHei"/>
          <w:b/>
          <w:bCs/>
          <w:color w:val="1A1A1A"/>
        </w:rPr>
        <w:t xml:space="preserve">CN-10 · Double-Low Convertible Bonds (双低可转债)</w:t>
      </w:r>
      <w:bookmarkEnd w:id="100113"/>
    </w:p>
    <w:p>
      <w:pPr>
        <w:spacing w:after="80" w:line="312"/>
      </w:pPr>
      <w:r>
        <w:rPr>
          <w:rFonts w:ascii="Times New Roman" w:eastAsia="Microsoft YaHei"/>
          <w:i/>
          <w:iCs/>
          <w:color w:val="6E6E6E"/>
          <w:sz w:val="20"/>
          <w:szCs w:val="20"/>
        </w:rPr>
        <w:t xml:space="preserve">双低转债策略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集思录 community canon (2014+); 小散/掌村 bloggers' formalization.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CB double-low = price + conversion premium x 100; the lowest double-low bonds combine bond-floor protection with equity optionality, and rotating monthly into the cheapest decile historically compounded at equity-like rates with far smaller drawdowns. Add-ons include 强赎 (forced redemption) avoidance and 下修 (reset) event anticipation. It is China's most distinctive quant-retail success story — a genuinely unique instrument-driven strategy.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all CBs by price + 100 x conversion premium; hold the bottom N equal-weighted; rebalance monthly; exclude bonds near forced-redemption triggers.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5-20; rebalance weekly/monthly; filters: size, rating, redemption distance.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集思录轮动 dashboards; 双低 variants (低价/低溢价 separable); CB wheel strategies.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4" w:name="_Toc100114"/>
      <w:r>
        <w:rPr>
          <w:rFonts w:ascii="Times New Roman" w:eastAsia="Microsoft YaHei"/>
          <w:b/>
          <w:bCs/>
          <w:color w:val="1A1A1A"/>
        </w:rPr>
        <w:t xml:space="preserve">CN-11 · Large/Small-Cap Rotation (大小盘轮动)</w:t>
      </w:r>
      <w:bookmarkEnd w:id="100114"/>
    </w:p>
    <w:p>
      <w:pPr>
        <w:spacing w:after="80" w:line="312"/>
      </w:pPr>
      <w:r>
        <w:rPr>
          <w:rFonts w:ascii="Times New Roman" w:eastAsia="Microsoft YaHei"/>
          <w:i/>
          <w:iCs/>
          <w:color w:val="6E6E6E"/>
          <w:sz w:val="20"/>
          <w:szCs w:val="20"/>
        </w:rPr>
        <w:t xml:space="preserve">大小盘轮动策略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Academic and 券商金工 research (2010s); JoinQuant/BigQuant template staple.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Relative momentum (or valuation spread) between CSI 300 and CSI 500/1000 governs which cap bucket leads multi-month cycles; the rotation form holds the leading index (or its ETF) with monthly rebalance, optionally gated by volatility or M2/credit regime. The 2016-2017 and 2013 cycles are the canonical case studies.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3-12 month relative strength (or PE/PB spread percentile) 300 vs 500/1000; hold the winner's ETF; rebalance monthly with hysteresis.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3-6 months; hysteresis band 5-10%; vol gate optional.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行业轮动 (CN-12) at sector scale; global size-factor rotation (ST-04/05).</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5" w:name="_Toc100115"/>
      <w:r>
        <w:rPr>
          <w:rFonts w:ascii="Times New Roman" w:eastAsia="Microsoft YaHei"/>
          <w:b/>
          <w:bCs/>
          <w:color w:val="1A1A1A"/>
        </w:rPr>
        <w:t xml:space="preserve">CN-12 · Sector Rotation (行业轮动)</w:t>
      </w:r>
      <w:bookmarkEnd w:id="100115"/>
    </w:p>
    <w:p>
      <w:pPr>
        <w:spacing w:after="80" w:line="312"/>
      </w:pPr>
      <w:r>
        <w:rPr>
          <w:rFonts w:ascii="Times New Roman" w:eastAsia="Microsoft YaHei"/>
          <w:i/>
          <w:iCs/>
          <w:color w:val="6E6E6E"/>
          <w:sz w:val="20"/>
          <w:szCs w:val="20"/>
        </w:rPr>
        <w:t xml:space="preserve">行业轮动策略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JoinQuant's ten canonical strategies list; 券商金工 sector-momentum reports (华泰/国盛).</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Rank SW/CITIC industry indices by multi-window momentum (or by fundamental momentum: earnings revision + price), rotate into the top 3-5 industries monthly. CN implementations add policy-sentiment overlays because sector moves are policy-driven. The mechanism is standard cross-sectional momentum (ST-04) applied to industry indices.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industries by 3+6 month momentum; hold top k ETFs; monthly rebalance; optional drawdown stop.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Momentum windows 3/6/12; k 3-5; transaction-cost aware rebalance.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ST-04 cross-sectional momentum (same mechanism); US sector-rotation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6" w:name="_Toc100116"/>
      <w:r>
        <w:rPr>
          <w:rFonts w:ascii="Times New Roman" w:eastAsia="Microsoft YaHei"/>
          <w:b/>
          <w:bCs/>
          <w:color w:val="1A1A1A"/>
        </w:rPr>
        <w:t xml:space="preserve">CN-13 · Index Enhancement (指数增强)</w:t>
      </w:r>
      <w:bookmarkEnd w:id="100116"/>
    </w:p>
    <w:p>
      <w:pPr>
        <w:spacing w:after="80" w:line="312"/>
      </w:pPr>
      <w:r>
        <w:rPr>
          <w:rFonts w:ascii="Times New Roman" w:eastAsia="Microsoft YaHei"/>
          <w:i/>
          <w:iCs/>
          <w:color w:val="6E6E6E"/>
          <w:sz w:val="20"/>
          <w:szCs w:val="20"/>
        </w:rPr>
        <w:t xml:space="preserve">指数增强策略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CN quant-fund industry practice (2010s); JoinQuant template #7.</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Track a benchmark (CSI 300/500) while adding tilts — multi-factor stock selection, T+0 intraday enhancement on the base position (CN-21), and allocation timing — to beat the index by a few percent annually. It is not one algorithm but a framework: benchmark replication + alpha overlays. Listed here because CN platforms treat it as a canonical strategy class.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Hold index-tilted portfolio (factor tilts, see ST entries); harvest intraday enhancement via 做T; hedge tail with index futures when allowed.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Tracking-error budget 2-5%; factor tilt weights; hedge ratio.</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ST-08/09 factor overlays; global 'index-plus' products.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7" w:name="_Toc100117"/>
      <w:r>
        <w:rPr>
          <w:rFonts w:ascii="Times New Roman" w:eastAsia="Microsoft YaHei"/>
          <w:b/>
          <w:bCs/>
          <w:color w:val="1A1A1A"/>
        </w:rPr>
        <w:t xml:space="preserve">CN-14 · Alpha Strategy with Index-Futures Hedge (阿尔法策略)</w:t>
      </w:r>
      <w:bookmarkEnd w:id="100117"/>
    </w:p>
    <w:p>
      <w:pPr>
        <w:spacing w:after="80" w:line="312"/>
      </w:pPr>
      <w:r>
        <w:rPr>
          <w:rFonts w:ascii="Times New Roman" w:eastAsia="Microsoft YaHei"/>
          <w:i/>
          <w:iCs/>
          <w:color w:val="6E6E6E"/>
          <w:sz w:val="20"/>
          <w:szCs w:val="20"/>
        </w:rPr>
        <w:t xml:space="preserve">阿尔法策略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JoinQuant's canonical ten (myquant docs); 2010-2015 IF-era golden age.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Long a stock basket selected to beat the index, short the corresponding index future (IF/IC/IM), isolating pure alpha from market beta. The strategy's Chinese golden age ended with the 2015 futures restrictions (discounts, position limits), after which the basis cost ate much of the alpha — a documented lesson in regulatory risk. Still taught as the fundamental market-neutral template.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Construct positive-alpha basket (multi-factor, CN-15); short equivalent index futures; roll contracts; manage basis risk.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Basket beta targeting; hedge ratio 0.8-1.0; roll calendar.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 statistical arb at index level; global 130/30 and market-neutral funds.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8" w:name="_Toc100118"/>
      <w:r>
        <w:rPr>
          <w:rFonts w:ascii="Times New Roman" w:eastAsia="Microsoft YaHei"/>
          <w:b/>
          <w:bCs/>
          <w:color w:val="1A1A1A"/>
        </w:rPr>
        <w:t xml:space="preserve">CN-15 · Multi-Factor Stock Selection (多因子选股)</w:t>
      </w:r>
      <w:bookmarkEnd w:id="100118"/>
    </w:p>
    <w:p>
      <w:pPr>
        <w:spacing w:after="80" w:line="312"/>
      </w:pPr>
      <w:r>
        <w:rPr>
          <w:rFonts w:ascii="Times New Roman" w:eastAsia="Microsoft YaHei"/>
          <w:i/>
          <w:iCs/>
          <w:color w:val="6E6E6E"/>
          <w:sz w:val="20"/>
          <w:szCs w:val="20"/>
        </w:rPr>
        <w:t xml:space="preserve">多因子选股策略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JoinQuant canonical ten; 华泰金工/国盛金工 factor research series; WorldQuant BRAIN CN community.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Score stocks by combined factors (value, growth, quality, momentum, liquidity, reversal) with industry/size neutralization, hold the top decile with periodic rebalance. The CN twist: reversal and small-cap factors historically dominated, and Barra-style CN risk models are public via 券商 reports. It is the industrial backbone of CN quant equity.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factor z-scores with winsorization/neutralization; composite score; hold top N monthly; rebalance with cost control.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Factor set per Barra-CN; weighting IC-weighted or equal; rebalance monthly.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ST-04..ST-11 factor entries (the global canon of the same idea); WorldQuant 101 Alphas (ST-10).</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19" w:name="_Toc100119"/>
      <w:r>
        <w:rPr>
          <w:rFonts w:ascii="Times New Roman" w:eastAsia="Microsoft YaHei"/>
          <w:b/>
          <w:bCs/>
          <w:color w:val="1A1A1A"/>
        </w:rPr>
        <w:t xml:space="preserve">CN-16 · MA Convergence Breakout (均线粘合突破)</w:t>
      </w:r>
      <w:bookmarkEnd w:id="100119"/>
    </w:p>
    <w:p>
      <w:pPr>
        <w:spacing w:after="80" w:line="312"/>
      </w:pPr>
      <w:r>
        <w:rPr>
          <w:rFonts w:ascii="Times New Roman" w:eastAsia="Microsoft YaHei"/>
          <w:i/>
          <w:iCs/>
          <w:color w:val="6E6E6E"/>
          <w:sz w:val="20"/>
          <w:szCs w:val="20"/>
        </w:rPr>
        <w:t xml:space="preserve">均线粘合突破战法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CN platform-era 战法 (TDX/同花顺 formula canon).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When 5/10/20/60-day MAs converge within a few percent of each other, trend disagreement has collapsed — energy coiled; the first close above the bundle with volume marks the release. It is a moving-average-systems' answer to the squeeze (MR-05) and behaves like a base-breakout with self-drawn boundaries.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MA bundle spread &lt; 3% of price; long on close above the highest MA with volume &gt; 1.5x; stop under bundle mid.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MA set 5/10/20/60; spread threshold 2-4%; volume 1.5x.</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BK-09 box breakout (same coiling mechanism); CN 平台突破 with MA flavor.</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strategy("MA Convergence Breakout (均线粘合突破)",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ma1 = ta.sma(close, 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ma2 = ta.sma(close, 10)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ma3 = ta.sma(close,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ma4 = ta.sma(close, 60)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hiMa = math.max(ma1, math.max(ma2, math.max(ma3, ma4)))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loMa = math.min(ma1, math.min(ma2, math.min(ma3, ma4)))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spread = (hiMa - loMa) / close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glued = spread &lt; 0.03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glued and close &gt; hiMa and volume &gt; 1.5 * ta.sma(volume,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strategy.position_avg_price - 2 * atr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strategy.close("L", comment="Stop")</w:t>
      </w:r>
    </w:p>
    <w:p>
      <w:pPr>
        <w:pStyle w:val="Heading3"/>
        <w:spacing w:after="80" w:before="280" w:line="320" w:lineRule="atLeast"/>
      </w:pPr>
      <w:bookmarkStart w:id="100120" w:name="_Toc100120"/>
      <w:r>
        <w:rPr>
          <w:rFonts w:ascii="Times New Roman" w:eastAsia="Microsoft YaHei"/>
          <w:b/>
          <w:bCs/>
          <w:color w:val="1A1A1A"/>
        </w:rPr>
        <w:t xml:space="preserve">CN-17 · N-Structure Tactics (N字战法)</w:t>
      </w:r>
      <w:bookmarkEnd w:id="100120"/>
    </w:p>
    <w:p>
      <w:pPr>
        <w:spacing w:after="80" w:line="312"/>
      </w:pPr>
      <w:r>
        <w:rPr>
          <w:rFonts w:ascii="Times New Roman" w:eastAsia="Microsoft YaHei"/>
          <w:i/>
          <w:iCs/>
          <w:color w:val="6E6E6E"/>
          <w:sz w:val="20"/>
          <w:szCs w:val="20"/>
        </w:rPr>
        <w:t xml:space="preserve">N字战法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CN swing community canon (波段 literature,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N is the minimal trend unit — up-move, retracement holding above the prior low, then new high — and consecutive qualified Ns define the trend's health. The trade buys the breakout of the retracement's start-level after a qualifying retrace, with stops under the N's low. It is essentially a measured swing-continuation grammar, the CN retail mirror of Brooks' H1 logic (PA-05).</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impulse, retrace (0.38-0.618 or MA touch), trigger on close above retrace start; stop under retrace low; project next 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Retrace bounds 0.38-0.618; volume contraction on retrace.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PA-05 Brooks H1/H2; flag patterns; 缠论笔结构 (CN-01) at coarser granularity.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1" w:name="_Toc100121"/>
      <w:r>
        <w:rPr>
          <w:rFonts w:ascii="Times New Roman" w:eastAsia="Microsoft YaHei"/>
          <w:b/>
          <w:bCs/>
          <w:color w:val="1A1A1A"/>
        </w:rPr>
        <w:t xml:space="preserve">CN-18 · Rising Pullback System (上升回档)</w:t>
      </w:r>
      <w:bookmarkEnd w:id="100121"/>
    </w:p>
    <w:p>
      <w:pPr>
        <w:spacing w:after="80" w:line="312"/>
      </w:pPr>
      <w:r>
        <w:rPr>
          <w:rFonts w:ascii="Times New Roman" w:eastAsia="Microsoft YaHei"/>
          <w:i/>
          <w:iCs/>
          <w:color w:val="6E6E6E"/>
          <w:sz w:val="20"/>
          <w:szCs w:val="20"/>
        </w:rPr>
        <w:t xml:space="preserve">上升回档模式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经传软件 (JingChuan) teaching system; CN retail platform canon.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In an uptrend defined by a proprietary combination (e.g., 智能交易线 smart line + 操盘线), buy the pullback that touches the rising guide line with a reversal candle, sell into strength at the upper channel. The software packaged wave-riding into a two-line discipline that millions of CN retail users learned. Mechanically it is a Keltner-ish pullback (MR-04) with CN branding.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Trend = price above rising guide MA; buy on pullback touch + reversal; exit at upper band or trend-line break.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Guide MA 10-20; channel width 1.5-2 ATR.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MR-04 Keltner pullback; CN 波段王 (CN-20) overlap.</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2" w:name="_Toc100122"/>
      <w:r>
        <w:rPr>
          <w:rFonts w:ascii="Times New Roman" w:eastAsia="Microsoft YaHei"/>
          <w:b/>
          <w:bCs/>
          <w:color w:val="1A1A1A"/>
        </w:rPr>
        <w:t xml:space="preserve">CN-19 · Main-Force Accumulation Tracking (主力吸筹跟踪)</w:t>
      </w:r>
      <w:bookmarkEnd w:id="100122"/>
    </w:p>
    <w:p>
      <w:pPr>
        <w:spacing w:after="80" w:line="312"/>
      </w:pPr>
      <w:r>
        <w:rPr>
          <w:rFonts w:ascii="Times New Roman" w:eastAsia="Microsoft YaHei"/>
          <w:i/>
          <w:iCs/>
          <w:color w:val="6E6E6E"/>
          <w:sz w:val="20"/>
          <w:szCs w:val="20"/>
        </w:rPr>
        <w:t xml:space="preserve">主力吸筹战法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庄股-era analysis tradition (1990s-2000s); indicator canon (主力进出/吸筹 formulas).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Institutional accumulation leaves signatures: price resists falling on bad days, volume creeps up without price progress, large-order net inflows persist — reads formalized into CN indicators (主力吸筹, 大单净量). Systems screen for the signature cluster and position ahead of the markup phase. It is Wyckoff accumulation (PA-01) translated into CN order-flow proxies.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Screen: large-order net inflow positive N days + price flat/down + volatility contraction; enter on breakout of accumulation range.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Large-order threshold (10万+ tickets proxy); persistence 5-10 days.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PA-01/PA-02 Wyckoff; VO-03 CMF accumulation reads; CN-06 chip distribution confirmation.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3" w:name="_Toc100123"/>
      <w:r>
        <w:rPr>
          <w:rFonts w:ascii="Times New Roman" w:eastAsia="Microsoft YaHei"/>
          <w:b/>
          <w:bCs/>
          <w:color w:val="1A1A1A"/>
        </w:rPr>
        <w:t xml:space="preserve">CN-20 · Swing Band System (波段操作 / 波段王)</w:t>
      </w:r>
      <w:bookmarkEnd w:id="100123"/>
    </w:p>
    <w:p>
      <w:pPr>
        <w:spacing w:after="80" w:line="312"/>
      </w:pPr>
      <w:r>
        <w:rPr>
          <w:rFonts w:ascii="Times New Roman" w:eastAsia="Microsoft YaHei"/>
          <w:i/>
          <w:iCs/>
          <w:color w:val="6E6E6E"/>
          <w:sz w:val="20"/>
          <w:szCs w:val="20"/>
        </w:rPr>
        <w:t xml:space="preserve">波段王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CN retail platform canon (波段王 named systems across TDX-era software).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two-line channel system: hold longs while price rides above a rising guide line inside the upper half of a 20/60 band, exit into the upper extreme, re-enter at mid-band pullbacks. It packages swing trading into visual band discipline for non-technical users. The mechanism is envelope-based swing riding (MR-04/BK-13 duality applied to swings).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from mid-band pullback while guide line rises; exit at upper band extreme or guide-line break.</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Bands 20/60 (or 10/30 intraday); guide EMA 10.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MR-04/BK-13 Keltner forms; CN-18 rising pullback (same anatomy).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4" w:name="_Toc100124"/>
      <w:r>
        <w:rPr>
          <w:rFonts w:ascii="Times New Roman" w:eastAsia="Microsoft YaHei"/>
          <w:b/>
          <w:bCs/>
          <w:color w:val="1A1A1A"/>
        </w:rPr>
        <w:t xml:space="preserve">CN-21 · Intraday T+0 Around Base Position (底仓做T)</w:t>
      </w:r>
      <w:bookmarkEnd w:id="100124"/>
    </w:p>
    <w:p>
      <w:pPr>
        <w:spacing w:after="80" w:line="312"/>
      </w:pPr>
      <w:r>
        <w:rPr>
          <w:rFonts w:ascii="Times New Roman" w:eastAsia="Microsoft YaHei"/>
          <w:i/>
          <w:iCs/>
          <w:color w:val="6E6E6E"/>
          <w:sz w:val="20"/>
          <w:szCs w:val="20"/>
        </w:rPr>
        <w:t xml:space="preserve">底仓做T策略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A-share T+1 workaround culture; JoinQuant/uqer enhancement templates.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Holding a base position, each day the trader sells a portion on intraday strength and rebuys on weakness (or buys dips and sells into strength), ending flat-to-base daily — manufacturing T+0 economics inside a T+1 regime. Systematic forms trigger on VWAP deviation bands (VO-07) or opening-range logic with hard same-day round-trip discipline. It is the standard 'enhancement' overlay of CN-13.</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Base position held; intraday: sell k% into +2 sigma strength or buy into -2 sigma weakness; restore base by close.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k 10-30% of base; sigma bands; skip on limit-up/down days.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VO-07/SE-08 intraday shells; CN-13 enhancement module.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5" w:name="_Toc100125"/>
      <w:r>
        <w:rPr>
          <w:rFonts w:ascii="Times New Roman" w:eastAsia="Microsoft YaHei"/>
          <w:b/>
          <w:bCs/>
          <w:color w:val="1A1A1A"/>
        </w:rPr>
        <w:t xml:space="preserve">CN-22 · Call-Auction &amp; Tail-Session Tactics (集合竞价/尾盘战法)</w:t>
      </w:r>
      <w:bookmarkEnd w:id="100125"/>
    </w:p>
    <w:p>
      <w:pPr>
        <w:spacing w:after="80" w:line="312"/>
      </w:pPr>
      <w:r>
        <w:rPr>
          <w:rFonts w:ascii="Times New Roman" w:eastAsia="Microsoft YaHei"/>
          <w:i/>
          <w:iCs/>
          <w:color w:val="6E6E6E"/>
          <w:sz w:val="20"/>
          <w:szCs w:val="20"/>
        </w:rPr>
        <w:t xml:space="preserve">集合竞价与尾盘战法</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A-share session microstructure practice; 打板 ecosystem components.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09:15-09:25 call auction reveals overnight order intent (竞价异动), and the 14:30-15:00 tail session reveals institutional commitment because T+1 sellers have finished — strategies read auction imbalance for gap plays and buy 尾盘 strength for next-day continuation, the classic 尾盘买入法. Both exploit session-boundary information asymmetry unique to CN trading hours.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Auction form: enter open on auction volume surge + gap in sentiment regime (CN-05 gate); tail form: buy last-30-min strength with closing push, exit next open/first strength.</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Auction volume multiple; 尾盘 window 14:30-15:00; next-day exit discipline.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SE-03 open-momentum logic; CN-02 continuation boards.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6" w:name="_Toc100126"/>
      <w:r>
        <w:rPr>
          <w:rFonts w:ascii="Times New Roman" w:eastAsia="Microsoft YaHei"/>
          <w:b/>
          <w:bCs/>
          <w:color w:val="1A1A1A"/>
        </w:rPr>
        <w:t xml:space="preserve">CN-23 · Calendar Spread Arbitrage (跨期套利)</w:t>
      </w:r>
      <w:bookmarkEnd w:id="100126"/>
    </w:p>
    <w:p>
      <w:pPr>
        <w:spacing w:after="80" w:line="312"/>
      </w:pPr>
      <w:r>
        <w:rPr>
          <w:rFonts w:ascii="Times New Roman" w:eastAsia="Microsoft YaHei"/>
          <w:i/>
          <w:iCs/>
          <w:color w:val="6E6E6E"/>
          <w:sz w:val="20"/>
          <w:szCs w:val="20"/>
        </w:rPr>
        <w:t xml:space="preserve">跨期套利</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JoinQuant canonical ten (myquant docs); CN futures desk practice (IF/IC era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Trade the spread between contract months of the same underlying: the near-far spread mean-reverts around a cost-of-carry band, so fades at band extremes harvest mispricing while directional traders use spread momentum as a regime signal. Rebar/rebar and IF/IF spreads are the classic CN teaching cases. Pure statistical arbitrage at single-asset-family scale.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Model carry band; fade spread beyond +/-k sigma; hold to mean or carry rationalization; roll awareness.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Sigma 1.5-2.5; lookback 20-60 days; liquidity per leg.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ST-01/02 stat-arb machinery; CN-24/25 sibling arb forms.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7" w:name="_Toc100127"/>
      <w:r>
        <w:rPr>
          <w:rFonts w:ascii="Times New Roman" w:eastAsia="Microsoft YaHei"/>
          <w:b/>
          <w:bCs/>
          <w:color w:val="1A1A1A"/>
        </w:rPr>
        <w:t xml:space="preserve">CN-24 · Cross-Commodity Spreads (跨品种套利)</w:t>
      </w:r>
      <w:bookmarkEnd w:id="100127"/>
    </w:p>
    <w:p>
      <w:pPr>
        <w:spacing w:after="80" w:line="312"/>
      </w:pPr>
      <w:r>
        <w:rPr>
          <w:rFonts w:ascii="Times New Roman" w:eastAsia="Microsoft YaHei"/>
          <w:i/>
          <w:iCs/>
          <w:color w:val="6E6E6E"/>
          <w:sz w:val="20"/>
          <w:szCs w:val="20"/>
        </w:rPr>
        <w:t xml:space="preserve">跨品种套利</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CN futures tradition (油粕比, 螺纹-热卷, 豆油-棕榈 pairs); myquant templates.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Related commodities keep process-driven ratios (soybean meal/soybean oil crush spread; rebar/hot-rolled coil mill spread); trade ratio deviations toward fundamental anchors with hedge sizing by beta. CN commodity desks treat these as the canonical 'industrial logic' arb — the spread's mean is explainable, not just historical.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ratio (or dollar-neutral spread); trade beyond k-sigma with fundamental checkpoint (process margins extreme); exit at mean or margin reversion.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Ratio z-score window 60-120; hedge ratio by beta; margin-extreme confirmation.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ST-01 pairs (statistical form); RU Brent-Urals (RU-12) — same construct, different commodities.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8" w:name="_Toc100128"/>
      <w:r>
        <w:rPr>
          <w:rFonts w:ascii="Times New Roman" w:eastAsia="Microsoft YaHei"/>
          <w:b/>
          <w:bCs/>
          <w:color w:val="1A1A1A"/>
        </w:rPr>
        <w:t xml:space="preserve">CN-25 · Futures-Cash Basis Arbitrage (期现套利)</w:t>
      </w:r>
      <w:bookmarkEnd w:id="100128"/>
    </w:p>
    <w:p>
      <w:pPr>
        <w:spacing w:after="80" w:line="312"/>
      </w:pPr>
      <w:r>
        <w:rPr>
          <w:rFonts w:ascii="Times New Roman" w:eastAsia="Microsoft YaHei"/>
          <w:i/>
          <w:iCs/>
          <w:color w:val="6E6E6E"/>
          <w:sz w:val="20"/>
          <w:szCs w:val="20"/>
        </w:rPr>
        <w:t xml:space="preserve">期现套利与ETF套利</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IF/IC launch 2010; ETF creation-basket arb practice; myquant templates.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When index futures premium exceeds carry + costs, short the future and buy the cash basket (ETF); the convergence at expiry locks the premium. Reverse-cash arbitrage was long blocked by shorting constraints, making CN basis arb structurally one-sided — a regulatory artifact documented in every CN derivatives textbook. The 2015 restrictions' discounts made the reverse trade briefly viable for hedged funds.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Monitor basis vs fair carry; execute basket-vs-future when premium &gt; threshold; hold to convergence or unwind at reversion.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Threshold = carry + 2x costs; basket replication error; roll rules.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ST-16 roll yield (related mechanics); global index-arb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29" w:name="_Toc100129"/>
      <w:r>
        <w:rPr>
          <w:rFonts w:ascii="Times New Roman" w:eastAsia="Microsoft YaHei"/>
          <w:b/>
          <w:bCs/>
          <w:color w:val="1A1A1A"/>
        </w:rPr>
        <w:t xml:space="preserve">CN-26 · Valuation-Band Rotation (估值分位轮动)</w:t>
      </w:r>
      <w:bookmarkEnd w:id="100129"/>
    </w:p>
    <w:p>
      <w:pPr>
        <w:spacing w:after="80" w:line="312"/>
      </w:pPr>
      <w:r>
        <w:rPr>
          <w:rFonts w:ascii="Times New Roman" w:eastAsia="Microsoft YaHei"/>
          <w:i/>
          <w:iCs/>
          <w:color w:val="6E6E6E"/>
          <w:sz w:val="20"/>
          <w:szCs w:val="20"/>
        </w:rPr>
        <w:t xml:space="preserve">估值分位轮动策略</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果仁网/且慢-era strategy canon; E大长赢体系 style percentile practice.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Rotate between equity and bond/cash using the index's historical PE/PB percentile: buy equities under the 30th percentile, scale out above the 70th, hold otherwise. It is the CN retail answer to valuation-timing research, popularized through ETF portfolios because it requires no individual-stock skill. The edge is cyclical patience, not prediction — and it is the most-used 'smart beta' discipline among CN long-term retail investors.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10-year PE/PB percentile of target index; scale equity weight in bands (e.g., 0-30%: full; 30-70%: half; 70-100%: defensive); rebalance quarterly.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Percentile windows 5-10 years; band thresholds; bond/cash leg choice.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CN-11 rotation (momentum flavor); global value-timing research; GR-04 smart DCA anchors.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6" w:id="16"/>
      <w:r>
        <w:rPr>
          <w:rFonts w:ascii="Times New Roman" w:eastAsia="Microsoft YaHei"/>
          <w:b/>
          <w:bCs/>
          <w:color w:val="1A1A1A"/>
        </w:rPr>
        <w:t xml:space="preserve">Family J — Russia/CIS-Specific Systems (RU)</w:t>
      </w:r>
      <w:bookmarkEnd w:id="16"/>
    </w:p>
    <w:p>
      <w:pPr>
        <w:spacing w:after="200" w:line="312"/>
        <w:jc w:val="both"/>
      </w:pPr>
      <w:r>
        <w:rPr>
          <w:rFonts w:ascii="Times New Roman" w:eastAsia="Microsoft YaHei"/>
          <w:color w:val="1A1A1A"/>
          <w:sz w:val="22"/>
          <w:szCs w:val="22"/>
        </w:rPr>
        <w:t xml:space="preserve">The Russian-language trading ecosystem has its own institutions (MOEX derivatives, QUIK terminals, MT4's Moscow-rooted MetaQuotes), its own legendary advisors (the Ilan martingale family), its own course dynasties (Alexander Elder's Triple Screen is taught everywhere in Russian), and Smart-Lab.ru — the largest CIS trader community, whose robot threads form a living strategy archive. Order-book culture runs deeper than in the West (стакан scalping on Si futures), and dividend-gap trading is a national specialty of the MOEX equity market. Entries marked 'canonical' are deduped against global families in Appendix A.</w:t>
      </w:r>
    </w:p>
    <w:p>
      <w:pPr>
        <w:pStyle w:val="Heading3"/>
        <w:spacing w:after="80" w:before="280" w:line="320" w:lineRule="atLeast"/>
      </w:pPr>
      <w:bookmarkStart w:id="100130" w:name="_Toc100130"/>
      <w:r>
        <w:rPr>
          <w:rFonts w:ascii="Times New Roman" w:eastAsia="Microsoft YaHei"/>
          <w:b/>
          <w:bCs/>
          <w:color w:val="1A1A1A"/>
        </w:rPr>
        <w:t xml:space="preserve">RU-01 · Elder's Triple Screen</w:t>
      </w:r>
      <w:bookmarkEnd w:id="100130"/>
    </w:p>
    <w:p>
      <w:pPr>
        <w:spacing w:after="80" w:line="312"/>
      </w:pPr>
      <w:r>
        <w:rPr>
          <w:rFonts w:ascii="Times New Roman" w:eastAsia="Microsoft YaHei"/>
          <w:i/>
          <w:iCs/>
          <w:color w:val="6E6E6E"/>
          <w:sz w:val="20"/>
          <w:szCs w:val="20"/>
        </w:rPr>
        <w:t xml:space="preserve">Система «Три экрана» Элдера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Alexander Elder (b. Leningrad), 1985 articles; Trading for a Living (1993).</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Three timeframes in a fixed hierarchy: the weekly chart sets trend (screen 1), the daily oscillator times pullbacks against it (screen 2), and intraday triggers the entry (screen 3) — never fight the higher tide, buy the dip with the tide. Elder, a Russian-born New York psychiatrist, gave retail trading its most teachable multi-timeframe discipline, and no system is more universally cited in RU-language education.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Weekly trend up (EMA-26 rising) + weekly oscillator oversold + daily tick up: long; weekly trailing stop at 2 x ATR(13); short mirrored.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Weekly EMA 26; weekly stochastic 14; daily force index/RSI-2 trigger; stop 2 x ATR(13).</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Countless RU/EN course versions; HTF-filter trend-pullback hybrids globally; SafeZone stops are Elder's exit companion (RU-04).</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strategy("Elder Triple Screen",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wkUp = request.security(syminfo.tickerid, "W",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ta.ema(close, 26) &gt; ta.ema(close, 26)[1], lookahead=barmerge.lookahead_off)</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wkStoch = request.security(syminfo.tickerid, "W",</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ta.stoch(close, high, low, 14), lookahead=barmerge.lookahead_off)</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dailyTrigger = ta.rsi(close, 2)</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ta.atr(13)</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buySetup  = wkUp and wkStoch &lt; 30 and dailyTrigger &gt; nz(dailyTrigger[1]) and close &gt; open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sellSetup = not wkUp and wkStoch &gt; 70 and dailyTrigger &lt; nz(dailyTrigger[1]) and close &lt; open</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buySetup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sellSetup</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strategy.entry("S", strategy.short)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strategy.exit("LX", from_entry="L", stop=strategy.position_avg_price - 2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strategy.exit("SX", from_entry="S", stop=strategy.position_avg_price + 2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wkStoch &gt; 70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strategy.close("L", comment="Weekly OB")</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&lt; 0 and wkStoch &lt; 30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strategy.close("S", comment="Weekly OS")</w:t>
      </w:r>
    </w:p>
    <w:p>
      <w:pPr>
        <w:pStyle w:val="Heading3"/>
        <w:spacing w:after="80" w:before="280" w:line="320" w:lineRule="atLeast"/>
      </w:pPr>
      <w:bookmarkStart w:id="100131" w:name="_Toc100131"/>
      <w:r>
        <w:rPr>
          <w:rFonts w:ascii="Times New Roman" w:eastAsia="Microsoft YaHei"/>
          <w:b/>
          <w:bCs/>
          <w:color w:val="1A1A1A"/>
        </w:rPr>
        <w:t xml:space="preserve">RU-02 · Ilan Family (RSI + CCI Martingale Advisors)</w:t>
      </w:r>
      <w:bookmarkEnd w:id="100131"/>
    </w:p>
    <w:p>
      <w:pPr>
        <w:spacing w:after="80" w:line="312"/>
      </w:pPr>
      <w:r>
        <w:rPr>
          <w:rFonts w:ascii="Times New Roman" w:eastAsia="Microsoft YaHei"/>
          <w:i/>
          <w:iCs/>
          <w:color w:val="6E6E6E"/>
          <w:sz w:val="20"/>
          <w:szCs w:val="20"/>
        </w:rPr>
        <w:t xml:space="preserve">Советники «Илан» (RSI+CCI мартингейл)</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MT4-era RU forex forums (~2008-2010); Ilan 1.6 Dynamic the canonical build; Ilan 2.0 documented on MQL5 (RSI + CCI oscillators); 'Apocalypse' a known modification.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most famous RU-language advisor lineage: enter on oscillator oversold (RSI + CCI confluence), then pyramid with multiplied lots at fixed adverse spacing until the basket recovers — GR-02's martingale geometry wrapped in an oscillator trigger. Its ubiquity made it the archetype teachers use to explain why martingales die, and its surviving forks all add equity stops. Documented as the RU contribution to retail automation history.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when RSI &lt; buy level and CCI &lt; -100; add size^k at each N-ATR adverse step (max steps); basket take-profit at breakeven + margin; hard equity stop.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RSI 14/30-level, CCI 14/-100; step ~30-50 pips original; multiplier 1.4-2.0; max 6-8 steps.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GR-02 martingale (the mechanism); 'Apocalypse' and every Ilan fork; CN 扛单 systems (same geometry).</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strategy("Ilan-style RSI+CCI Martingale (RISK DEMO)", overlay=false, pyramiding=8)</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rsiL = input.int(14, "RSI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cciL = input.int(14, "CCI length")</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buyLv = input.float(30, "RSI buy level")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stepAtr = input.float(1.0, "Spacing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sizeMult = input.float(1.4, "Lot multiplier")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 = ta.rsi(close, rsiL)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c = ta.cci(close, cciL)</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 and r &lt; buyLv and c &lt;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strategy.entry("I1", strategy.long, qty=1)</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&lt;= strategy.position_avg_price - stepAtr * atr and strategy.opentrades &lt; 8</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strategy.entry("I" + str.tostring(strategy.opentrades + 1),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qty=math.pow(sizeMult, strategy.opentrades))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 and close &gt;= strategy.position_avg_price + 0.3 * atr</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strategy.close_all(comment="Basket TP")</w:t>
      </w:r>
    </w:p>
    <w:p>
      <w:pPr>
        <w:pStyle w:val="Heading3"/>
        <w:spacing w:after="80" w:before="280" w:line="320" w:lineRule="atLeast"/>
      </w:pPr>
      <w:bookmarkStart w:id="100132" w:name="_Toc100132"/>
      <w:r>
        <w:rPr>
          <w:rFonts w:ascii="Times New Roman" w:eastAsia="Microsoft YaHei"/>
          <w:b/>
          <w:bCs/>
          <w:color w:val="1A1A1A"/>
        </w:rPr>
        <w:t xml:space="preserve">RU-03 · Sniper Method («Снайпер», Дмитриев / Байнов)</w:t>
      </w:r>
      <w:bookmarkEnd w:id="100132"/>
    </w:p>
    <w:p>
      <w:pPr>
        <w:spacing w:after="80" w:line="312"/>
      </w:pPr>
      <w:r>
        <w:rPr>
          <w:rFonts w:ascii="Times New Roman" w:eastAsia="Microsoft YaHei"/>
          <w:i/>
          <w:iCs/>
          <w:color w:val="6E6E6E"/>
          <w:sz w:val="20"/>
          <w:szCs w:val="20"/>
        </w:rPr>
        <w:t xml:space="preserve">Стратегия «Снайпер»</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Pavel Dmitriev, on the basis of Pyotr Baynov's «Мясо» system; RU forex portals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level-only scalping method (no indicators, no news): identify 'total' impulse levels on higher timeframes (M15/H1 relative to the M1/M5 working chart), then trade precise break or bounce of those levels with strict SL/TP arithmetic. Its branding emphasizes single-shot precision — one planned entry per level with predefined risk. It represents the RU school of level-geometry scalping, cousins of western supply/demand (PA-07) but with codified level hierarchy.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Mark impulse levels from higher-TF swings; on the working TF trade the touch: bounce form enters at the level with stop behind it, break form waits for a close-through with retest entry.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Level TF hierarchy M1/M5 working vs M15/H1 reference; stop beyond level; TP 1-2x stop.</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PA-07 supply/demand zones; «Мясо» (parent system); RU Sniper X derivatives.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3" w:name="_Toc100133"/>
      <w:r>
        <w:rPr>
          <w:rFonts w:ascii="Times New Roman" w:eastAsia="Microsoft YaHei"/>
          <w:b/>
          <w:bCs/>
          <w:color w:val="1A1A1A"/>
        </w:rPr>
        <w:t xml:space="preserve">RU-04 · Elder SafeZone Stops &amp; Elder Ray</w:t>
      </w:r>
      <w:bookmarkEnd w:id="100133"/>
    </w:p>
    <w:p>
      <w:pPr>
        <w:spacing w:after="80" w:line="312"/>
      </w:pPr>
      <w:r>
        <w:rPr>
          <w:rFonts w:ascii="Times New Roman" w:eastAsia="Microsoft YaHei"/>
          <w:i/>
          <w:iCs/>
          <w:color w:val="6E6E6E"/>
          <w:sz w:val="20"/>
          <w:szCs w:val="20"/>
        </w:rPr>
        <w:t xml:space="preserve">SafeZone-стопы и Elder Ray</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Alexander Elder, Come Into My Trading Room (2002).</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SafeZone computes stops from the average of recent adverse excursions multiplied by a coefficient, so stops sit just beyond normal noise rather than at arbitrary percentages; Elder Ray decomposes price into buying/selling power relative to a 13-day EMA to visualize bull/bear strength. Together they are Elder's answer to exit engineering, and RU/EN course materials treat them as a package with Triple Screen.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Stop = highest recent adverse-move average x coefficient (2.0-2.7) below price in longs, ratcheting; use Elder Ray extremes as exit confluence.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10-22; coefficient 2.0-2.7; Elder Ray EMA 13.</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Chandelier exit (TR-10) — same adaptive-stop family; ATR-trail systems.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4" w:name="_Toc100134"/>
      <w:r>
        <w:rPr>
          <w:rFonts w:ascii="Times New Roman" w:eastAsia="Microsoft YaHei"/>
          <w:b/>
          <w:bCs/>
          <w:color w:val="1A1A1A"/>
        </w:rPr>
        <w:t xml:space="preserve">RU-05 · Order-Book (Стакан) Scalping on MOEX Futures</w:t>
      </w:r>
      <w:bookmarkEnd w:id="100134"/>
    </w:p>
    <w:p>
      <w:pPr>
        <w:spacing w:after="80" w:line="312"/>
      </w:pPr>
      <w:r>
        <w:rPr>
          <w:rFonts w:ascii="Times New Roman" w:eastAsia="Microsoft YaHei"/>
          <w:i/>
          <w:iCs/>
          <w:color w:val="6E6E6E"/>
          <w:sz w:val="20"/>
          <w:szCs w:val="20"/>
        </w:rPr>
        <w:t xml:space="preserve">Стаканный скальпинг (фьючерсы МосБиржи)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MOEX derivatives market culture (2000s+); Smart-Lab scalping threads; proprietary desk lineage.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Si/RTS/Br futures scalpers read the DOM (стакан): large resting bids/offers, their pulls, and aggressive prints crossing the spread signal short-term direction; manual scalpers fade spoofed walls and join genuine absorption, while semi-automatic 'стакан+lenta' (book+tape) hybrids automate the read. It is the RU native order-flow school — footprint trading at the source rather than through proxies.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Read ladder: fade large one-sided walls that fail to trade; join sweeps that lift multiple levels; exit within seconds-to-minutes on tape slowdown.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DOM depth 5-20 levels; print-rate thresholds; latency budget &lt; 10 ms for automation.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VO-09 CVD (Pine proxy of the same information); HFT spoofing-detection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5" w:name="_Toc100135"/>
      <w:r>
        <w:rPr>
          <w:rFonts w:ascii="Times New Roman" w:eastAsia="Microsoft YaHei"/>
          <w:b/>
          <w:bCs/>
          <w:color w:val="1A1A1A"/>
        </w:rPr>
        <w:t xml:space="preserve">RU-06 · Synthetic Bond Arbitrage («SyntheticBondsArbitrage»)</w:t>
      </w:r>
      <w:bookmarkEnd w:id="100135"/>
    </w:p>
    <w:p>
      <w:pPr>
        <w:spacing w:after="80" w:line="312"/>
      </w:pPr>
      <w:r>
        <w:rPr>
          <w:rFonts w:ascii="Times New Roman" w:eastAsia="Microsoft YaHei"/>
          <w:i/>
          <w:iCs/>
          <w:color w:val="6E6E6E"/>
          <w:sz w:val="20"/>
          <w:szCs w:val="20"/>
        </w:rPr>
        <w:t xml:space="preserve">Синтетические облигации (арбитраж)</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Smart-Lab.ru community (lectures and the SyntheticBondsArbitrage robot, 2010s-2020s).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Construct a 'synthetic bond' from a futures position plus a money-market leg (or from OFZ vs futures basis), harvesting the difference between implied financing in the futures basis and the actual deposit/REPO rate. Smart-Lab's robot lineage automates the roll-calendar and basis-monitoring logic. It is the MOEX version of the global cash-and-carry trade (CR-02's ancestor) adapted to Russian rate mechanics.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Monitor futures basis vs fair carry; long bond/short future (or reverse) when basis deviates beyond costs; roll calendar-aware.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Cost threshold; REPO rate benchmark; roll dates; margin efficiency.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ST-16 roll-yield; CR-02 cash-and-carry; RU-12 spread family.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6" w:name="_Toc100136"/>
      <w:r>
        <w:rPr>
          <w:rFonts w:ascii="Times New Roman" w:eastAsia="Microsoft YaHei"/>
          <w:b/>
          <w:bCs/>
          <w:color w:val="1A1A1A"/>
        </w:rPr>
        <w:t xml:space="preserve">RU-07 · Dividend-Gap Trading (Дивидендный гэп)</w:t>
      </w:r>
      <w:bookmarkEnd w:id="100136"/>
    </w:p>
    <w:p>
      <w:pPr>
        <w:spacing w:after="80" w:line="312"/>
      </w:pPr>
      <w:r>
        <w:rPr>
          <w:rFonts w:ascii="Times New Roman" w:eastAsia="Microsoft YaHei"/>
          <w:i/>
          <w:iCs/>
          <w:color w:val="6E6E6E"/>
          <w:sz w:val="20"/>
          <w:szCs w:val="20"/>
        </w:rPr>
        <w:t xml:space="preserve">Стратегия дивидендного гэпа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MOEX practice (2000s+); T-Bank/Smart-Lab community canon — a genuinely RU-specific institutional artifact.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MOEX equities drop by the declared dividend on the registry-close date, and the gap's refill speed varies with dividend yield, market phase, and tax regime: high-yield blue chips refill fastest. Classic plays: (a) 'cut the coupon' — hold through the gap only when taxes/fees make the dividend worthwhile; (b) gap-refill — buy the gap down, target the refill over days-to-weeks; (c) post-gap drift trades on refill statistics. The strategy's statistics are published annually in RU media because the pattern is structural to the exchange.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Build the registry calendar; measure gap size vs ATR; buy refill candidates (high yield, uptrend, index-heavy) at the gap open; target full or 50% refill; stop beyond 1.5x gap.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Yield screen &gt; 6-8%; refill window 2-30 sessions; tax-aware holding period.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BK-10 gap playbook (general form); CN 分红除权 practices (structurally similar, different regime).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7" w:name="_Toc100137"/>
      <w:r>
        <w:rPr>
          <w:rFonts w:ascii="Times New Roman" w:eastAsia="Microsoft YaHei"/>
          <w:b/>
          <w:bCs/>
          <w:color w:val="1A1A1A"/>
        </w:rPr>
        <w:t xml:space="preserve">RU-08 · Pairs Trading on MOEX Equities</w:t>
      </w:r>
      <w:bookmarkEnd w:id="100137"/>
    </w:p>
    <w:p>
      <w:pPr>
        <w:spacing w:after="80" w:line="312"/>
      </w:pPr>
      <w:r>
        <w:rPr>
          <w:rFonts w:ascii="Times New Roman" w:eastAsia="Microsoft YaHei"/>
          <w:i/>
          <w:iCs/>
          <w:color w:val="6E6E6E"/>
          <w:sz w:val="20"/>
          <w:szCs w:val="20"/>
        </w:rPr>
        <w:t xml:space="preserve">Парный трейдинг на акциях МосБиржи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Gatev et al. (ST-01) mechanics adapted by the RU quant community (2010s Smart-Lab/TSLab threads).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Cointegration pairs of sector twins (Сбербанк ordinary vs preferred, Лукойл/Роснефть, Norilsk/Rusal proxies) with spread z-score entries; the RU specifics are fat-tailed event risk (sanctions, dividends) and ordinary-vs-preferred (ао-ап) pairs whose spread embeds governance discount. TSLab/StockSharp implementations handle the two-leg execution and hedge rebalancing.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hedge ratio (rolling OLS/Kalman); enter at z +/- 2; exit z = 0; hard stop z = 3.5 or fundamentals-break veto.</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Estimation 250-500 days; z windows 20-60; event-veto list.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ST-01/ST-03 (the general mechanism); CN-24 cross-commodity analog.</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8" w:name="_Toc100138"/>
      <w:r>
        <w:rPr>
          <w:rFonts w:ascii="Times New Roman" w:eastAsia="Microsoft YaHei"/>
          <w:b/>
          <w:bCs/>
          <w:color w:val="1A1A1A"/>
        </w:rPr>
        <w:t xml:space="preserve">RU-09 · Morning Flat Breakout («Пробой утреннего флэта»)</w:t>
      </w:r>
      <w:bookmarkEnd w:id="100138"/>
    </w:p>
    <w:p>
      <w:pPr>
        <w:spacing w:after="80" w:line="312"/>
      </w:pPr>
      <w:r>
        <w:rPr>
          <w:rFonts w:ascii="Times New Roman" w:eastAsia="Microsoft YaHei"/>
          <w:i/>
          <w:iCs/>
          <w:color w:val="6E6E6E"/>
          <w:sz w:val="20"/>
          <w:szCs w:val="20"/>
        </w:rPr>
        <w:t xml:space="preserve">Пробой утреннего флэта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RU forex/QUIK-era intraday canon (2000s); MOEX-hours adaptation of the London breakout.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first hour of MOEX cash-equity trading (10:00-11:00 MSK) typically builds a flat; its break with momentum frequently drives the first leg of the day. The robotized form trades stop orders at the flat edges with tight invalidation. It is SE-02's mechanism on Moscow hours, kept as a separate entry because the community treats it as a distinct canon with its own statistics.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Range = 10:00-11:00 MSK extremes; enter on break during 11:00-14:00; stop at range midpoint; target 1-1.5x range.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Range window 60 min; skip news days; volume confirmation optional.</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SE-02 London breakout (same mechanism); BK-01 ORB (session-open family).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39" w:name="_Toc100139"/>
      <w:r>
        <w:rPr>
          <w:rFonts w:ascii="Times New Roman" w:eastAsia="Microsoft YaHei"/>
          <w:b/>
          <w:bCs/>
          <w:color w:val="1A1A1A"/>
        </w:rPr>
        <w:t xml:space="preserve">RU-10 · Russian Ichimoku Schools (Ишимоку-школы)</w:t>
      </w:r>
      <w:bookmarkEnd w:id="100139"/>
    </w:p>
    <w:p>
      <w:pPr>
        <w:spacing w:after="80" w:line="312"/>
      </w:pPr>
      <w:r>
        <w:rPr>
          <w:rFonts w:ascii="Times New Roman" w:eastAsia="Microsoft YaHei"/>
          <w:i/>
          <w:iCs/>
          <w:color w:val="6E6E6E"/>
          <w:sz w:val="20"/>
          <w:szCs w:val="20"/>
        </w:rPr>
        <w:t xml:space="preserve">Ишимоку: русские школы системы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RU Ichimoku course tradition (2000s+, translators of Hosoda; dedicated RU portals).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RU community institutionalized Ichimoku with its own conventions: mandatory chikou-span clearance rules, 'three pillars' trend grading by cloud color and Kijun slope, and conservative 'signal only when price is beyond BOTH spans' filters. The system traded is TR-11's, but the RU school's added discipline layers (entry only after cloud exit + pullback to Kijun) deserve separate documentation as the canonical CIS variant.</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Trade only with cloud bias; entry on Kijun pullback with Tenkan cross; stop beyond the cloud edge; add on Chikou clearance confirmation.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9/26/52 standard; RU schools often 120-period displacement variants on MOEX dailies.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TR-11 Ichimoku (the parent); RU/UA course forks.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0" w:name="_Toc100140"/>
      <w:r>
        <w:rPr>
          <w:rFonts w:ascii="Times New Roman" w:eastAsia="Microsoft YaHei"/>
          <w:b/>
          <w:bCs/>
          <w:color w:val="1A1A1A"/>
        </w:rPr>
        <w:t xml:space="preserve">RU-11 · Automated Fibonacci Level Robots</w:t>
      </w:r>
      <w:bookmarkEnd w:id="100140"/>
    </w:p>
    <w:p>
      <w:pPr>
        <w:spacing w:after="80" w:line="312"/>
      </w:pPr>
      <w:r>
        <w:rPr>
          <w:rFonts w:ascii="Times New Roman" w:eastAsia="Microsoft YaHei"/>
          <w:i/>
          <w:iCs/>
          <w:color w:val="6E6E6E"/>
          <w:sz w:val="20"/>
          <w:szCs w:val="20"/>
        </w:rPr>
        <w:t xml:space="preserve">Роботы по уровням Фибоначчи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MT4-era RU automation (2000s-2010s); MQL5 CodeBase corpus.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Automatically anchor Fibonacci retracements to the last significant zigzag swing and post limit orders at 38.2/50/61.8 with stops beyond 78.6 — the mechanization of the single most-taught manual tool in RU technical courses. Variants add trend filters (only trade retracements in trend direction) and cluster confluence with round numbers (PA-16).</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swing (zigzag); place limit grid at ratios; cancel on invalidation; trail after 61.8 retrace resumes the trend.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Zigzag 3-8%; ratio set; confluence tolerance 0.1 ATR.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GR-05 Fibonacci grid (the averaging form); RU-03 Sniper (level-logic cousin).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1" w:name="_Toc100141"/>
      <w:r>
        <w:rPr>
          <w:rFonts w:ascii="Times New Roman" w:eastAsia="Microsoft YaHei"/>
          <w:b/>
          <w:bCs/>
          <w:color w:val="1A1A1A"/>
        </w:rPr>
        <w:t xml:space="preserve">RU-12 · Brent-Urals &amp; Calendar Spread Trading (TSLab)</w:t>
      </w:r>
      <w:bookmarkEnd w:id="100141"/>
    </w:p>
    <w:p>
      <w:pPr>
        <w:spacing w:after="80" w:line="312"/>
      </w:pPr>
      <w:r>
        <w:rPr>
          <w:rFonts w:ascii="Times New Roman" w:eastAsia="Microsoft YaHei"/>
          <w:i/>
          <w:iCs/>
          <w:color w:val="6E6E6E"/>
          <w:sz w:val="20"/>
          <w:szCs w:val="20"/>
        </w:rPr>
        <w:t xml:space="preserve">Спред Брент-Юралс и календарные спреды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TSLab/StockSharp community (2010s+); MOEX commodity-desk practice.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Trade structural spreads: Brent-Urals quality differential around its geopolitical band, and same-instrument calendar spreads around fair carry. The RU educational corpus treats spread trading as the 'calm' alternative to directional futures, with TSLab's visual builder as the standard implementation environment. Sizing is beta-hedged to the lead leg.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Model the spread band (carry for calendars, quality/logistics for Brent-Urals); fade band extremes; exit at mean or band rationalization.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Band lookback 60-250 days; hedge ratio; roll-calendar handling.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CN-24 cross-commodity spreads; ST-01/02 stat-arb; RU-06 synthetic bonds (rate-spread cousin).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2" w:name="_Toc100142"/>
      <w:r>
        <w:rPr>
          <w:rFonts w:ascii="Times New Roman" w:eastAsia="Microsoft YaHei"/>
          <w:b/>
          <w:bCs/>
          <w:color w:val="1A1A1A"/>
        </w:rPr>
        <w:t xml:space="preserve">RU-13 · Book + Tape Hybrid (Стакан + Лента) Automation</w:t>
      </w:r>
      <w:bookmarkEnd w:id="100142"/>
    </w:p>
    <w:p>
      <w:pPr>
        <w:spacing w:after="80" w:line="312"/>
      </w:pPr>
      <w:r>
        <w:rPr>
          <w:rFonts w:ascii="Times New Roman" w:eastAsia="Microsoft YaHei"/>
          <w:i/>
          <w:iCs/>
          <w:color w:val="6E6E6E"/>
          <w:sz w:val="20"/>
          <w:szCs w:val="20"/>
        </w:rPr>
        <w:t xml:space="preserve">Связка «стакан + лента»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QUIK Lua / StockSharp community scripts (2010s+); semi-HFT retail practice.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Automate the classic scalper's read: combine DOM imbalance (стакан) with trade-tape aggression (лента) — large prints at ask with thinning offers signal continuation; the bot posts immediate-or-cancel entries with hard tick stops. Latency, not signal, is the binding constraint, which caps its viability for retail — a fact the community documents candidly. Included as the RU-native bridge between manual scalping and HFT.</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DOM imbalance + tape aggression score; enter IOC on confluence; exit on tape reversal or tick stop.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Imbalance thresholds; tick stop 3-10 ticks; max holding seconds.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RU-05 (manual form); VO-09 (Pine proxy); HFT microstructure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3" w:name="_Toc100143"/>
      <w:r>
        <w:rPr>
          <w:rFonts w:ascii="Times New Roman" w:eastAsia="Microsoft YaHei"/>
          <w:b/>
          <w:bCs/>
          <w:color w:val="1A1A1A"/>
        </w:rPr>
        <w:t xml:space="preserve">RU-14 · Smart-Lab Community Trend Robots (Si/RTS)</w:t>
      </w:r>
      <w:bookmarkEnd w:id="100143"/>
    </w:p>
    <w:p>
      <w:pPr>
        <w:spacing w:after="80" w:line="312"/>
      </w:pPr>
      <w:r>
        <w:rPr>
          <w:rFonts w:ascii="Times New Roman" w:eastAsia="Microsoft YaHei"/>
          <w:i/>
          <w:iCs/>
          <w:color w:val="6E6E6E"/>
          <w:sz w:val="20"/>
          <w:szCs w:val="20"/>
        </w:rPr>
        <w:t xml:space="preserve">Трендовые роботы сообщества Smart-Lab</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Smart-Lab.ru blog corpus (2010s+); public robot threads and lecture series.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community's workhorse trend systems on MOEX futures: Donchian/MA-channel entries with ATR stops and Si/RTS-specific filters (session windows, spread-point vol normalization, squeeze-of-the-day gates). Their published equity curves, parameter walks, and failure post-mortems form an unusually honest public archive. Representative rather than a single recipe — the family's contribution is the documentation culture itself.</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Channel/MA trend entry; ATR stop; session filter (day session only); volatility-normalized sizing.</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Entry 20-55 bars; ATR 2-3 x stop; per-contract risk caps.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TR-01/TR-02 (mechanism parents); RU-09 (session variant).</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4" w:name="_Toc100144"/>
      <w:r>
        <w:rPr>
          <w:rFonts w:ascii="Times New Roman" w:eastAsia="Microsoft YaHei"/>
          <w:b/>
          <w:bCs/>
          <w:color w:val="1A1A1A"/>
        </w:rPr>
        <w:t xml:space="preserve">RU-15 · T-Bank Community Auto-Strategies (Tinkoff API era)</w:t>
      </w:r>
      <w:bookmarkEnd w:id="100144"/>
    </w:p>
    <w:p>
      <w:pPr>
        <w:spacing w:after="80" w:line="312"/>
      </w:pPr>
      <w:r>
        <w:rPr>
          <w:rFonts w:ascii="Times New Roman" w:eastAsia="Microsoft YaHei"/>
          <w:i/>
          <w:iCs/>
          <w:color w:val="6E6E6E"/>
          <w:sz w:val="20"/>
          <w:szCs w:val="20"/>
        </w:rPr>
        <w:t xml:space="preserve">Стратегии сообщества Т-Банк (Tinkoff API)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Tinkoff Investments open API (2018+); RU retail-bot community (github/ecosystem).</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open-broker API spawned a generation of retail bots: scheduled DCA with dip-boosts, threshold rebalancing, dividend-calendar loaders, and simple MA regime switches — all sharing the constraint of T+1 settlement and no shorting on the standard account. The family matters as the modern RU retail baseline, analogous to the US 'robo-advisor plus API' wave.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Regime gate (price vs 200-day MA) for contributions; DCA tranches; rebalance bands; dividend-date awareness.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Contribution schedule; regime MA 200; rebalance threshold 10-20%.</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GR-04 DCA; GR-07 rebalancing (mechanisms); RU-07 dividend calendar integration.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5" w:name="_Toc100145"/>
      <w:r>
        <w:rPr>
          <w:rFonts w:ascii="Times New Roman" w:eastAsia="Microsoft YaHei"/>
          <w:b/>
          <w:bCs/>
          <w:color w:val="1A1A1A"/>
        </w:rPr>
        <w:t xml:space="preserve">RU-16 · Academic Quant Lineage (ВШЭ / МФТИ factor studies)</w:t>
      </w:r>
      <w:bookmarkEnd w:id="100145"/>
    </w:p>
    <w:p>
      <w:pPr>
        <w:spacing w:after="80" w:line="312"/>
      </w:pPr>
      <w:r>
        <w:rPr>
          <w:rFonts w:ascii="Times New Roman" w:eastAsia="Microsoft YaHei"/>
          <w:i/>
          <w:iCs/>
          <w:color w:val="6E6E6E"/>
          <w:sz w:val="20"/>
          <w:szCs w:val="20"/>
        </w:rPr>
        <w:t xml:space="preserve">Академический квант-трек (ВШЭ, МФТИ)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HSE/MIPT quant programs and preprints (2010s+); RU brokerage research desks.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RU academic track replicates global factor zoo results on MOEX data: momentum's weakness, value's persistence, liquidity premia, and low-vol anomalies under sanctions-era market structure. Practical output is factor-screens and rotation models distributed via brokerage research. Included because 'thinktank and database' coverage of the RU space centers on this lineage rather than on retail blogs.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Replicate factor definitions (Fama-French/Barra analogs) on MOEX universe; rank by factor score; test with transaction costs and illiquidity caps.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Factor windows per paper; universe filters (free float, liquidity).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ST-04..ST-11 (the global canon it replicates); CN-15 (the CN counterpart lineage).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7" w:id="17"/>
      <w:r>
        <w:rPr>
          <w:rFonts w:ascii="Times New Roman" w:eastAsia="Microsoft YaHei"/>
          <w:b/>
          <w:bCs/>
          <w:color w:val="1A1A1A"/>
        </w:rPr>
        <w:t xml:space="preserve">Family K — Statistical, Factor &amp; Arbitrage Systems (ST)</w:t>
      </w:r>
      <w:bookmarkEnd w:id="17"/>
    </w:p>
    <w:p>
      <w:pPr>
        <w:spacing w:after="200" w:line="312"/>
        <w:jc w:val="both"/>
      </w:pPr>
      <w:r>
        <w:rPr>
          <w:rFonts w:ascii="Times New Roman" w:eastAsia="Microsoft YaHei"/>
          <w:color w:val="1A1A1A"/>
          <w:sz w:val="22"/>
          <w:szCs w:val="22"/>
        </w:rPr>
        <w:t xml:space="preserve">This is the "database and thinktank" family: strategies whose provenance is peer-reviewed papers, institutional research notes, and platform archives rather than chat threads. It spans the factor zoo (documented, contested, and multiple-testing-corrected), stat-arb machinery, derivatives-carry structures, and the WorldQuant 101 Alphas archive that became a training corpus for two generations of CN quant developers. Attribution is to the primary literature; practitioner variants are cross-referenced.</w:t>
      </w:r>
    </w:p>
    <w:p>
      <w:pPr>
        <w:pStyle w:val="Heading3"/>
        <w:spacing w:after="80" w:before="280" w:line="320" w:lineRule="atLeast"/>
      </w:pPr>
      <w:bookmarkStart w:id="100146" w:name="_Toc100146"/>
      <w:r>
        <w:rPr>
          <w:rFonts w:ascii="Times New Roman" w:eastAsia="Microsoft YaHei"/>
          <w:b/>
          <w:bCs/>
          <w:color w:val="1A1A1A"/>
        </w:rPr>
        <w:t xml:space="preserve">ST-01 · Pairs Trading (Distance Method)</w:t>
      </w:r>
      <w:bookmarkEnd w:id="100146"/>
    </w:p>
    <w:p>
      <w:pPr>
        <w:spacing w:after="80" w:line="312"/>
      </w:pPr>
      <w:r>
        <w:rPr>
          <w:rFonts w:ascii="Times New Roman" w:eastAsia="Microsoft YaHei"/>
          <w:i/>
          <w:iCs/>
          <w:color w:val="6E6E6E"/>
          <w:sz w:val="20"/>
          <w:szCs w:val="20"/>
        </w:rPr>
        <w:t xml:space="preserve">配对交易 · Парный трейдинг</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Gatev, Goetzmann &amp; Rouwenhorst, working paper 1999 / RFS 2006.</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Find historically co-moving pairs, trade their normalized spread at +/-2 sigma, exit at convergence — market-neutral by construction. The paper's 1962-1996 US data showed mid-single-digit annual Sharpe-healthy returns; later replication shows decayed but persistent edges, concentrated in less-efficient markets. It is the parent of every stat-arb simplification including CN-24 and RU-08.</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Form pairs on 12-month normalized distance; trade beyond 2 sigma; exit at zero crossing or 6-month time stop; stop-loss at 3+ sigma.</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Formation 12 months; trading 6 months; sigma bands 2.0/0; universe liquidity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RU-08 MOEX pairs; CN-24 commodity spreads; RU «парный трейдинг» community (mechanism identical).</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7" w:name="_Toc100147"/>
      <w:r>
        <w:rPr>
          <w:rFonts w:ascii="Times New Roman" w:eastAsia="Microsoft YaHei"/>
          <w:b/>
          <w:bCs/>
          <w:color w:val="1A1A1A"/>
        </w:rPr>
        <w:t xml:space="preserve">ST-02 · Statistical Arbitrage (Avellaneda-Lee)</w:t>
      </w:r>
      <w:bookmarkEnd w:id="100147"/>
    </w:p>
    <w:p>
      <w:pPr>
        <w:spacing w:after="80" w:line="312"/>
      </w:pPr>
      <w:r>
        <w:rPr>
          <w:rFonts w:ascii="Times New Roman" w:eastAsia="Microsoft YaHei"/>
          <w:i/>
          <w:iCs/>
          <w:color w:val="6E6E6E"/>
          <w:sz w:val="20"/>
          <w:szCs w:val="20"/>
        </w:rPr>
        <w:t xml:space="preserve">统计套利 · Стат-арб Авellaneda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Marco Avellaneda &amp; Jeong-Hyun Lee, 'Statistical Arbitrage in the US Equities Market', Quantitative Finance 2010.</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Decompose stock returns into a statistical risk model (PCA factors) plus residual; trade mean-reversion of residual idiosyncratic returns whose speed-of-mean-reversion (Ornstein-Uhlenbeck) is fast enough to clear costs. The paper formalized how much of the classic pairs edge lives in the residual, and provided the OU half-life screen that practitioners still use as the go/no-go gate.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factor model; compute residual OU parameters; trade residuals with half-life &lt; 20 days at +/-2 sigma; exit at mean.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PCA 10-15 factors; half-life cap 15-25 days; band 1.5-2.5 sigma.</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ST-01 (simplified ancestor); institutional stat-desk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8" w:name="_Toc100148"/>
      <w:r>
        <w:rPr>
          <w:rFonts w:ascii="Times New Roman" w:eastAsia="Microsoft YaHei"/>
          <w:b/>
          <w:bCs/>
          <w:color w:val="1A1A1A"/>
        </w:rPr>
        <w:t xml:space="preserve">ST-03 · Kalman-Filter Hedge Ratio (Dynamic Pairs)</w:t>
      </w:r>
      <w:bookmarkEnd w:id="100148"/>
    </w:p>
    <w:p>
      <w:pPr>
        <w:spacing w:after="80" w:line="312"/>
      </w:pPr>
      <w:r>
        <w:rPr>
          <w:rFonts w:ascii="Times New Roman" w:eastAsia="Microsoft YaHei"/>
          <w:i/>
          <w:iCs/>
          <w:color w:val="6E6E6E"/>
          <w:sz w:val="20"/>
          <w:szCs w:val="20"/>
        </w:rPr>
        <w:t xml:space="preserve">卡尔曼滤波对冲比率 · Фильтр Калмана в парах</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Signal-processing adaptation popularized in quant blogs (2010s, e.g., QuantStart lineage).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Instead of a static OLS hedge ratio, a Kalman filter treats the ratio as a hidden state evolving with noise, adapting intra-sample as the relationship drifts — materially reducing spread blowups from ratio drift. The filter's innovation variance doubles as a regime alarm. It is the standard upgrade path for ST-01 implementations.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State = [alpha, beta] evolving as random walk; observation = pair prices; enter on standardized innovation bands; exit at mean.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Process noise 1e-5..1e-3; observation noise from residuals; band 2 sigma of innovation.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ST-01/02 implementations; RU Kalman-пары threads.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49" w:name="_Toc100149"/>
      <w:r>
        <w:rPr>
          <w:rFonts w:ascii="Times New Roman" w:eastAsia="Microsoft YaHei"/>
          <w:b/>
          <w:bCs/>
          <w:color w:val="1A1A1A"/>
        </w:rPr>
        <w:t xml:space="preserve">ST-04 · Cross-Sectional Momentum (Jegadeesh-Titman)</w:t>
      </w:r>
      <w:bookmarkEnd w:id="100149"/>
    </w:p>
    <w:p>
      <w:pPr>
        <w:spacing w:after="80" w:line="312"/>
      </w:pPr>
      <w:r>
        <w:rPr>
          <w:rFonts w:ascii="Times New Roman" w:eastAsia="Microsoft YaHei"/>
          <w:i/>
          <w:iCs/>
          <w:color w:val="6E6E6E"/>
          <w:sz w:val="20"/>
          <w:szCs w:val="20"/>
        </w:rPr>
        <w:t xml:space="preserve">横截面动量因子 · Кросс-секционный моментум</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Narasimhan Jegadeesh &amp; Sheridan Titman, Journal of Finance 1993.</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Rank stocks by trailing 3-12 month returns, long the top decile short the bottom, skip the most recent month; winners outperform for 3-12 months. The most replicated anomaly in finance, present in nearly every market studied (with the notable CN exception where reversal historically dominated). It powers CN-12 sector rotation and TR-17's time-series cousin.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by 12-1 month return; long top decile (or quintile), monthly rebalance; optional industry/size neutralization.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Lookback 3-12 months; skip 1 month; decile portfolios.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CN-12/CN-15 (CN implementations); TR-17 TSMOM (time-series form); RU-16 (MOEX replication).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0" w:name="_Toc100150"/>
      <w:r>
        <w:rPr>
          <w:rFonts w:ascii="Times New Roman" w:eastAsia="Microsoft YaHei"/>
          <w:b/>
          <w:bCs/>
          <w:color w:val="1A1A1A"/>
        </w:rPr>
        <w:t xml:space="preserve">ST-05 · Value Factor (HML) &amp; Value-Momentum Combination</w:t>
      </w:r>
      <w:bookmarkEnd w:id="100150"/>
    </w:p>
    <w:p>
      <w:pPr>
        <w:spacing w:after="80" w:line="312"/>
      </w:pPr>
      <w:r>
        <w:rPr>
          <w:rFonts w:ascii="Times New Roman" w:eastAsia="Microsoft YaHei"/>
          <w:i/>
          <w:iCs/>
          <w:color w:val="6E6E6E"/>
          <w:sz w:val="20"/>
          <w:szCs w:val="20"/>
        </w:rPr>
        <w:t xml:space="preserve">价值因子与价值动量组合 · Фактор стоимости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Fama &amp; French 1992/1993; Asness, Moskowitz &amp; Pedersen 'Value and Momentum Everywhere', JF 2013.</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Long cheap (book/price, earnings/price) short expensive within industries; Asness et al. showed value and momentum are negatively correlated across every asset class, making their 50/50 combination the classic diversification machine. The CN twist is that value worked better than momentum historically on A-shares, driving CN-26's valuation-band popularity.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by composite value metrics; long cheap decile (optionally short rich); rebalance annually/quarterly; combine with momentum 50/50.</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B/M or E/B ranks; industry-neutral form; rebalance 1-12 months.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CN-26 (valuation timing); ST-09 quality-value hybrids; global smart-beta products.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1" w:name="_Toc100151"/>
      <w:r>
        <w:rPr>
          <w:rFonts w:ascii="Times New Roman" w:eastAsia="Microsoft YaHei"/>
          <w:b/>
          <w:bCs/>
          <w:color w:val="1A1A1A"/>
        </w:rPr>
        <w:t xml:space="preserve">ST-06 · FX Carry Trade</w:t>
      </w:r>
      <w:bookmarkEnd w:id="100151"/>
    </w:p>
    <w:p>
      <w:pPr>
        <w:spacing w:after="80" w:line="312"/>
      </w:pPr>
      <w:r>
        <w:rPr>
          <w:rFonts w:ascii="Times New Roman" w:eastAsia="Microsoft YaHei"/>
          <w:i/>
          <w:iCs/>
          <w:color w:val="6E6E6E"/>
          <w:sz w:val="20"/>
          <w:szCs w:val="20"/>
        </w:rPr>
        <w:t xml:space="preserve">利差交易 · Керри-трейд</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Documented since the 1990s (BIS literature); Koijen, Moskowitz, Pedersen &amp; Vrugt 'Carry', JFE 2018 formalized it everywhere.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Borrow low-yield currencies to buy high-yield ones, harvesting the forward-premium mispricing; returns are negatively skewed — years of grinding gains punctuated by violent unwinds. Systematic forms diversify across G10 pairs and add vol/regime filters. Carry also appears inside commodities and equities (roll yield, ST-16), making it the second universal factor.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G10 by interest differential; long top, short bottom, vol-targeted; crash filter (momentum/vol gates) optional.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3-month differentials; vol target 10%; pair diversification.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CR-01 crypto funding carry (the perp analog); ST-16 commodity carry.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2" w:name="_Toc100152"/>
      <w:r>
        <w:rPr>
          <w:rFonts w:ascii="Times New Roman" w:eastAsia="Microsoft YaHei"/>
          <w:b/>
          <w:bCs/>
          <w:color w:val="1A1A1A"/>
        </w:rPr>
        <w:t xml:space="preserve">ST-07 · Low-Volatility Anomaly</w:t>
      </w:r>
      <w:bookmarkEnd w:id="100152"/>
    </w:p>
    <w:p>
      <w:pPr>
        <w:spacing w:after="80" w:line="312"/>
      </w:pPr>
      <w:r>
        <w:rPr>
          <w:rFonts w:ascii="Times New Roman" w:eastAsia="Microsoft YaHei"/>
          <w:i/>
          <w:iCs/>
          <w:color w:val="6E6E6E"/>
          <w:sz w:val="20"/>
          <w:szCs w:val="20"/>
        </w:rPr>
        <w:t xml:space="preserve">低波动异象 · Аномалия низкой волатильности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Baker, Bradley &amp; Wurgler, 'Benchmarks as Limits to Arbitrage', JFQA 2011 (building on Ang et al. 2006).</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Low-beta/low-volatility stocks deliver higher risk-adjusted returns than the market — attributed to leverage constraints and benchmark-chasing incentives. Systematic forms long the lowest-vol quintile (optionally hedged), or tilt portfolios toward min-variance constructions. The anomaly is institutional-proof because it cannot be levered easily by benchmarked managers.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by trailing 12-month vol; long bottom quintile; rebalance monthly/quarterly; optionally short the high-vol tail.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Vol window 1-3 years; quintiles; quality screens to avoid value traps.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ST-08 BAB (leverage-neutrality framing); min-variance portfolios; RU-16 replication.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3" w:name="_Toc100153"/>
      <w:r>
        <w:rPr>
          <w:rFonts w:ascii="Times New Roman" w:eastAsia="Microsoft YaHei"/>
          <w:b/>
          <w:bCs/>
          <w:color w:val="1A1A1A"/>
        </w:rPr>
        <w:t xml:space="preserve">ST-08 · Betting Against Beta (BAB)</w:t>
      </w:r>
      <w:bookmarkEnd w:id="100153"/>
    </w:p>
    <w:p>
      <w:pPr>
        <w:spacing w:after="80" w:line="312"/>
      </w:pPr>
      <w:r>
        <w:rPr>
          <w:rFonts w:ascii="Times New Roman" w:eastAsia="Microsoft YaHei"/>
          <w:i/>
          <w:iCs/>
          <w:color w:val="6E6E6E"/>
          <w:sz w:val="20"/>
          <w:szCs w:val="20"/>
        </w:rPr>
        <w:t xml:space="preserve">贝塔对冲因子 · Betting Against Beta</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Andrea Frazzini &amp; Lasse Pedersen, 'Betting Against Beta', JFE 2014 (AQR).</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Lever the low-beta half of stocks to beta-1, short the levered high-beta half to beta-1 — a market-neutral bet that high-beta assets underperform risk-adjusted. The construction isolates the anomaly that low-vol research described, with funding costs made explicit. It became the institutional vehicle for the constraint-based explanation of the low-vol puzzle.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betas; construct two beta-1 portfolios; long-levered-low-beta minus short-levered-high-beta; rebalance with borrow-cost awareness.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Beta window 1-5 years; leverage via futures/financing; quarterly rebalance.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ST-07 (the unlevered view); global smart-beta funds.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4" w:name="_Toc100154"/>
      <w:r>
        <w:rPr>
          <w:rFonts w:ascii="Times New Roman" w:eastAsia="Microsoft YaHei"/>
          <w:b/>
          <w:bCs/>
          <w:color w:val="1A1A1A"/>
        </w:rPr>
        <w:t xml:space="preserve">ST-09 · Quality / Profitability Factor (QMJ)</w:t>
      </w:r>
      <w:bookmarkEnd w:id="100154"/>
    </w:p>
    <w:p>
      <w:pPr>
        <w:spacing w:after="80" w:line="312"/>
      </w:pPr>
      <w:r>
        <w:rPr>
          <w:rFonts w:ascii="Times New Roman" w:eastAsia="Microsoft YaHei"/>
          <w:i/>
          <w:iCs/>
          <w:color w:val="6E6E6E"/>
          <w:sz w:val="20"/>
          <w:szCs w:val="20"/>
        </w:rPr>
        <w:t xml:space="preserve">质量因子 · Фактор качества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Robert Novy-Marx, 'The Other Side of Value: The Gross Profitability Premium', JFE 2013; Asness-Frazzini-Pedersen QMJ.</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Profitable firms (gross profit/assets) outperform regardless of valuation; QMJ blends profitability, growth, and safety into the institutional quality factor. It anchors the quality-minus-junk framing used across CN 券商 factor reports and global fund marketing alike. As a system: long quality decile, optionally short junk, or use quality as a screen over other strategies.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by gross profitability (and growth/safety in QMJ); long top decile; annual rebalance; combine with value for the classic quality-value pairing.</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GP/A primary; industry neutralization; rebalance 1-4 quarters.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ST-05 (value pairing); Piotroski F-Score screens (cousin); CN-15 factor suite.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5" w:name="_Toc100155"/>
      <w:r>
        <w:rPr>
          <w:rFonts w:ascii="Times New Roman" w:eastAsia="Microsoft YaHei"/>
          <w:b/>
          <w:bCs/>
          <w:color w:val="1A1A1A"/>
        </w:rPr>
        <w:t xml:space="preserve">ST-10 · WorldQuant 101 Formulaic Alphas</w:t>
      </w:r>
      <w:bookmarkEnd w:id="100155"/>
    </w:p>
    <w:p>
      <w:pPr>
        <w:spacing w:after="80" w:line="312"/>
      </w:pPr>
      <w:r>
        <w:rPr>
          <w:rFonts w:ascii="Times New Roman" w:eastAsia="Microsoft YaHei"/>
          <w:i/>
          <w:iCs/>
          <w:color w:val="6E6E6E"/>
          <w:sz w:val="20"/>
          <w:szCs w:val="20"/>
        </w:rPr>
        <w:t xml:space="preserve">WorldQuant 101 Alpha库</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Zura Kakushadze, '101 Formulaic Alphas', arXiv:1601.00991 (2015); SSRN 2701346.</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One hundred one explicit alpha formulas (ranks, time-series operators, price-volume constructs) that are simultaneously specification and code — published precisely to seed the crowd. The archive became the de-facto syllabus for CN quant education (DolphinDB implementations, WorldQuant BRAIN platform community) and the template for expression-based alpha mining. Individual alphas are weak; the corpus teaches construction grammar.</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Example Alpha#1: rank(Ts_ArgMax(signedPower(returns &lt; 0 ? stddev(returns,20) : close, 2), 5)) - 0.5 — long when the recent max of the conditional quantity happened early (positive alpha proxy).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Per-alpha windows (5-20 days); cross-sectional rank requires a universe screener — single-symbol Pine proxies are documented as approximations.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CN-15 (the CN platform implementations); BRAIN community alphas; DolphinDB 101-alpha ports.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indicator("WorldQuant Alpha #1 (single-symbol proxy)",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ret = ta.roc(close, 1) / 100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sd = ta.stdev(ret, 20)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src = ret &lt; 0 ? sd : close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Ts_ArgMax over 5 bars of src^2: highestbars returns negative offset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argIdx = ta.highestbars(math.pow(src, 2), 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rankProxy = -argIdx / 5.0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alpha = rankProxy - 0.5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plot(alpha, "Alpha #1 proxy", color=alpha &gt; 0 ? color.teal : color.red)</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hline(0)</w:t>
      </w:r>
    </w:p>
    <w:p>
      <w:pPr>
        <w:pStyle w:val="Heading3"/>
        <w:spacing w:after="80" w:before="280" w:line="320" w:lineRule="atLeast"/>
      </w:pPr>
      <w:bookmarkStart w:id="100156" w:name="_Toc100156"/>
      <w:r>
        <w:rPr>
          <w:rFonts w:ascii="Times New Roman" w:eastAsia="Microsoft YaHei"/>
          <w:b/>
          <w:bCs/>
          <w:color w:val="1A1A1A"/>
        </w:rPr>
        <w:t xml:space="preserve">ST-11 · The Factor Zoo &amp; Multiple-Testing Corrections</w:t>
      </w:r>
      <w:bookmarkEnd w:id="100156"/>
    </w:p>
    <w:p>
      <w:pPr>
        <w:spacing w:after="80" w:line="312"/>
      </w:pPr>
      <w:r>
        <w:rPr>
          <w:rFonts w:ascii="Times New Roman" w:eastAsia="Microsoft YaHei"/>
          <w:i/>
          <w:iCs/>
          <w:color w:val="6E6E6E"/>
          <w:sz w:val="20"/>
          <w:szCs w:val="20"/>
        </w:rPr>
        <w:t xml:space="preserve">因子动物园与多重检验校正 · Факторный зоопарк</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Harvey, Liu &amp; Zhu, '...and the Cross-Section of Expected Returns', RFS 2016 (316 published factors); Green, Hand &amp; Zhang 2017 (103 characteristics).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Hundreds of published return-predictors are catalogued, but multiple testing means a t-stat of 2.0 is meaningless at this scale — Harvey et al. recommend 3.0+ hurdles and document that most post-publication alpha decays. The 'factor' is thus itself a meta-strategy: demand higher bars, weight economic rationale, and expect decay. Every serious factor effort (CN-15, RU-16, BRAIN) now cites this work as hygiene.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Screen candidate factors by t &gt; 3.0, out-of-sample persistence, and economic mechanism; monitor post-publication decay; penalize correlated duplicates.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t-hurdle 3.0; Bonferroni/BHA corrections; decay monitoring.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ST-04..10 (the zoo's residents); CN-15/RU-16 (regional replications).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7" w:name="_Toc100157"/>
      <w:r>
        <w:rPr>
          <w:rFonts w:ascii="Times New Roman" w:eastAsia="Microsoft YaHei"/>
          <w:b/>
          <w:bCs/>
          <w:color w:val="1A1A1A"/>
        </w:rPr>
        <w:t xml:space="preserve">ST-12 · COT Positioning Strategies</w:t>
      </w:r>
      <w:bookmarkEnd w:id="100157"/>
    </w:p>
    <w:p>
      <w:pPr>
        <w:spacing w:after="80" w:line="312"/>
      </w:pPr>
      <w:r>
        <w:rPr>
          <w:rFonts w:ascii="Times New Roman" w:eastAsia="Microsoft YaHei"/>
          <w:i/>
          <w:iCs/>
          <w:color w:val="6E6E6E"/>
          <w:sz w:val="20"/>
          <w:szCs w:val="20"/>
        </w:rPr>
        <w:t xml:space="preserve">CFTC持仓报告策略 · Стратегии по COT</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CFTC Commitments of Traders reports (1962+ public data); Stephen Briese's commercialization (1990s); academic tests mixed.</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Weekly positioning of commercials vs large specs encodes hedger conviction: extremes in speculator net-long (percentile-based) historically precede corrective phases in commodities. Systems fade positioning extremes or use them as filters for trend entries. Signal quality is regime-dependent and slow — it is a context factor more than a timing system.</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net-position percentiles (26-week window); fade spec extremes &gt; 90th/&lt; 10th percentile with trend confirmation.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Percentile windows; report lag handling (Tuesday data, Friday release).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Positioning analytics vendors; RU «отчёты COT» study groups; crypto COT-era analogs (BTC futures).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8" w:name="_Toc100158"/>
      <w:r>
        <w:rPr>
          <w:rFonts w:ascii="Times New Roman" w:eastAsia="Microsoft YaHei"/>
          <w:b/>
          <w:bCs/>
          <w:color w:val="1A1A1A"/>
        </w:rPr>
        <w:t xml:space="preserve">ST-13 · Dispersion Trading (Index vs Constituents)</w:t>
      </w:r>
      <w:bookmarkEnd w:id="100158"/>
    </w:p>
    <w:p>
      <w:pPr>
        <w:spacing w:after="80" w:line="312"/>
      </w:pPr>
      <w:r>
        <w:rPr>
          <w:rFonts w:ascii="Times New Roman" w:eastAsia="Microsoft YaHei"/>
          <w:i/>
          <w:iCs/>
          <w:color w:val="6E6E6E"/>
          <w:sz w:val="20"/>
          <w:szCs w:val="20"/>
        </w:rPr>
        <w:t xml:space="preserve">离散度交易 · Дисперсионный трейдинг</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European options-desk practice (late 1990s); academic formalization 2000s.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Index implied volatility systematically exceeds the average of constituent vols (correlation premium); short index options and long a basket of constituent options harvests the premium when realized correlation disappoints. It is correlation trading — the payout depends on realized vs implied correlation, not direction. Executable via variance swaps in modern markets.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Short index straddles/variants; long constituent straddles in vol-weighted amounts; delta-hedge; unwind at correlation normalization.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Basket size 20-50 names; correlation window 60-250 days; vega neutrality.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VRP (ST-14) at index level; dispersion desks'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59" w:name="_Toc100159"/>
      <w:r>
        <w:rPr>
          <w:rFonts w:ascii="Times New Roman" w:eastAsia="Microsoft YaHei"/>
          <w:b/>
          <w:bCs/>
          <w:color w:val="1A1A1A"/>
        </w:rPr>
        <w:t xml:space="preserve">ST-14 · Volatility Risk Premium Harvesting</w:t>
      </w:r>
      <w:bookmarkEnd w:id="100159"/>
    </w:p>
    <w:p>
      <w:pPr>
        <w:spacing w:after="80" w:line="312"/>
      </w:pPr>
      <w:r>
        <w:rPr>
          <w:rFonts w:ascii="Times New Roman" w:eastAsia="Microsoft YaHei"/>
          <w:i/>
          <w:iCs/>
          <w:color w:val="6E6E6E"/>
          <w:sz w:val="20"/>
          <w:szCs w:val="20"/>
        </w:rPr>
        <w:t xml:space="preserve">波动率风险溢价收割 · Сбор премии за волатильность</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Documented across 1990s-2000s academic literature (Carr &amp; Wu 2009 formalization); VIX-futures products industrialized it.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Implied vol systematically exceeds subsequent realized vol — sellers of insurance collect the premium; systematic short-vol (short VIX futures, put-selling with hedges) harvests it while carrying crash exposure. The February 2018 'Volmageddon' demonstrated the tail: levered short-vol ETPs died in a day. Modern implementations size by VRP estimate and cap leverage structurally.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VRP = implied - realized forecast; short vol when VRP &gt; threshold with defined-risk structures; de-risk before events and after vol spikes.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VRP estimate windows; defined-risk structures only; leverage caps.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ST-13 (correlation cousin); SE-07 (event-calendar de-risking).</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0" w:name="_Toc100160"/>
      <w:r>
        <w:rPr>
          <w:rFonts w:ascii="Times New Roman" w:eastAsia="Microsoft YaHei"/>
          <w:b/>
          <w:bCs/>
          <w:color w:val="1A1A1A"/>
        </w:rPr>
        <w:t xml:space="preserve">ST-15 · Gamma Scalping (Long-Gamma Rebalancing)</w:t>
      </w:r>
      <w:bookmarkEnd w:id="100160"/>
    </w:p>
    <w:p>
      <w:pPr>
        <w:spacing w:after="80" w:line="312"/>
      </w:pPr>
      <w:r>
        <w:rPr>
          <w:rFonts w:ascii="Times New Roman" w:eastAsia="Microsoft YaHei"/>
          <w:i/>
          <w:iCs/>
          <w:color w:val="6E6E6E"/>
          <w:sz w:val="20"/>
          <w:szCs w:val="20"/>
        </w:rPr>
        <w:t xml:space="preserve">Гамма-скальпинг</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Options-desk canon (1980s+); formalized in dynamic-hedging literature (Taleb 1997).</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Own options and delta-hedge continuously: each rebalance sells high/buys low, converting realized volatility into P&amp;L at the cost of theta; profitable exactly when realized vol exceeds implied. It is the long side of ST-14 and the mechanism through which dealer hedging propagates volatility (the 2018/2024 vol events). Not Pine-implementable (needs options chain), so logic-only.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straddle/strangle; hedge delta to neutral at threshold crossings; monitor gamma-P&amp;L vs theta bleed.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Hedge threshold 0.1-0.2 delta; expiry choice by expected event calendar; position vega budget.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ST-14 (the short side); dealer-flow research notes.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1" w:name="_Toc100161"/>
      <w:r>
        <w:rPr>
          <w:rFonts w:ascii="Times New Roman" w:eastAsia="Microsoft YaHei"/>
          <w:b/>
          <w:bCs/>
          <w:color w:val="1A1A1A"/>
        </w:rPr>
        <w:t xml:space="preserve">ST-16 · Commodity Roll Yield / Contango Harvest</w:t>
      </w:r>
      <w:bookmarkEnd w:id="100161"/>
    </w:p>
    <w:p>
      <w:pPr>
        <w:spacing w:after="80" w:line="312"/>
      </w:pPr>
      <w:r>
        <w:rPr>
          <w:rFonts w:ascii="Times New Roman" w:eastAsia="Microsoft YaHei"/>
          <w:i/>
          <w:iCs/>
          <w:color w:val="6E6E6E"/>
          <w:sz w:val="20"/>
          <w:szCs w:val="20"/>
        </w:rPr>
        <w:t xml:space="preserve">商品展期收益 · Ролл-доходность</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Gorton &amp; Rouwenhorst, 'Facts and Fantasies about Commodity Futures', JF 2006; ETF-era lessons (2006-2015).</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Futures curve shape (contango/backwardation) systematically transfers wealth between contract holders; long-in-backwardation/short-in-contango baskets harvest roll yield as a systematic return stream independent of spot direction. The 2000s commodity-ETF era's UIPath-style losses in contango (UNG) are the cautionary archive. It is carry (ST-06) in commodity form.</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Rank commodity futures by roll yield (near-far spread annualized); long the most backwardated, short the most contangoed; roll monthly.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Roll yield window; basket diversification 10+ commodities; contract liquidity filter.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ST-06 carry; RU-06 synthetic bonds (financing-rate analog); CN-25 basis arb.</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2" w:name="_Toc100162"/>
      <w:r>
        <w:rPr>
          <w:rFonts w:ascii="Times New Roman" w:eastAsia="Microsoft YaHei"/>
          <w:b/>
          <w:bCs/>
          <w:color w:val="1A1A1A"/>
        </w:rPr>
        <w:t xml:space="preserve">ST-17 · Risk Parity &amp; Volatility Targeting</w:t>
      </w:r>
      <w:bookmarkEnd w:id="100162"/>
    </w:p>
    <w:p>
      <w:pPr>
        <w:spacing w:after="80" w:line="312"/>
      </w:pPr>
      <w:r>
        <w:rPr>
          <w:rFonts w:ascii="Times New Roman" w:eastAsia="Microsoft YaHei"/>
          <w:i/>
          <w:iCs/>
          <w:color w:val="6E6E6E"/>
          <w:sz w:val="20"/>
          <w:szCs w:val="20"/>
        </w:rPr>
        <w:t xml:space="preserve">风险平价与波动率目标 · Паритет риска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Bridgewater's All Weather (1990s, Ray Dalio); Qian (2005) formalization; academic treatment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Allocate so each asset class contributes equal risk rather than equal capital, leveraging the low-vol assets (bonds) to match equity risk; volatility targeting then scales total exposure inversely to realized vol. The 2022 bond-equity joint selloff exposed the regime-dependence of the correlations underneath. It is portfolio construction rather than signal — but it is the standard shell for factor portfolios.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covariance; solve equal-risk-contribution weights; leverage to target vol; rebalance quarterly or on drift.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Target vol 8-12%; lookback 1-3 years; leverage/financing costs.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ST-07/08 (risk-based tilts); GR-07 rebalancing (the retail cousin).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3" w:name="_Toc100163"/>
      <w:r>
        <w:rPr>
          <w:rFonts w:ascii="Times New Roman" w:eastAsia="Microsoft YaHei"/>
          <w:b/>
          <w:bCs/>
          <w:color w:val="1A1A1A"/>
        </w:rPr>
        <w:t xml:space="preserve">ST-18 · Commodity Seasonality</w:t>
      </w:r>
      <w:bookmarkEnd w:id="100163"/>
    </w:p>
    <w:p>
      <w:pPr>
        <w:spacing w:after="80" w:line="312"/>
      </w:pPr>
      <w:r>
        <w:rPr>
          <w:rFonts w:ascii="Times New Roman" w:eastAsia="Microsoft YaHei"/>
          <w:i/>
          <w:iCs/>
          <w:color w:val="6E6E6E"/>
          <w:sz w:val="20"/>
          <w:szCs w:val="20"/>
        </w:rPr>
        <w:t xml:space="preserve">商品季节性策略 · Сезонность сырья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Decades of CTA practice; academic seasoning via seasonality papers (2000s-2010s).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Physical cycles (planting/harvest, heating season, OPEC logistics) create repeatable monthly drift patterns per commodity — e.g., heating oil strength into winter, gasoline into driving season. Systems long the statistically favorable months per contract with position sizing by pattern stability. The edges are small but persist because the physical driver persists.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Compute per-contract monthly return history; long months with stable positive historical drift; size by consistency score.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History 15-30 years; consistency thresholds; roll handling.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SE-05/06 (equity seasonality); RU grain-market seasonal notes; CN 农产品季节性 studies.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8" w:id="18"/>
      <w:r>
        <w:rPr>
          <w:rFonts w:ascii="Times New Roman" w:eastAsia="Microsoft YaHei"/>
          <w:b/>
          <w:bCs/>
          <w:color w:val="1A1A1A"/>
        </w:rPr>
        <w:t xml:space="preserve">Family L — Crypto-Native Systems (CR)</w:t>
      </w:r>
      <w:bookmarkEnd w:id="18"/>
    </w:p>
    <w:p>
      <w:pPr>
        <w:spacing w:after="200" w:line="312"/>
        <w:jc w:val="both"/>
      </w:pPr>
      <w:r>
        <w:rPr>
          <w:rFonts w:ascii="Times New Roman" w:eastAsia="Microsoft YaHei"/>
          <w:color w:val="1A1A1A"/>
          <w:sz w:val="22"/>
          <w:szCs w:val="22"/>
        </w:rPr>
        <w:t xml:space="preserve">Crypto market structure created strategy species with no tradfi ancestor: perpetual funding rates (an interest rate built into the instrument), 24/7 sessions with no closes, transparent on-chain flows, and liquidation cascades as visible events. The sources are exchange research blogs, on-chain analytics platforms, and CN/RU crypto communities (both ecosystems adopted crypto bot culture early). Several entries are structural carries (CR-01/02) that generalize ST-06's carry logic; the rest are regime and flow systems.</w:t>
      </w:r>
    </w:p>
    <w:p>
      <w:pPr>
        <w:pStyle w:val="Heading3"/>
        <w:spacing w:after="80" w:before="280" w:line="320" w:lineRule="atLeast"/>
      </w:pPr>
      <w:bookmarkStart w:id="100164" w:name="_Toc100164"/>
      <w:r>
        <w:rPr>
          <w:rFonts w:ascii="Times New Roman" w:eastAsia="Microsoft YaHei"/>
          <w:b/>
          <w:bCs/>
          <w:color w:val="1A1A1A"/>
        </w:rPr>
        <w:t xml:space="preserve">CR-01 · Funding-Rate Arbitrage (Delta-Neutral Carry)</w:t>
      </w:r>
      <w:bookmarkEnd w:id="100164"/>
    </w:p>
    <w:p>
      <w:pPr>
        <w:spacing w:after="80" w:line="312"/>
      </w:pPr>
      <w:r>
        <w:rPr>
          <w:rFonts w:ascii="Times New Roman" w:eastAsia="Microsoft YaHei"/>
          <w:i/>
          <w:iCs/>
          <w:color w:val="6E6E6E"/>
          <w:sz w:val="20"/>
          <w:szCs w:val="20"/>
        </w:rPr>
        <w:t xml:space="preserve">资金费率套利 · Арбитраж фандинга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Perpetual futures funding design (BitMEX, 2016); exchange research notes and CN/RU crypto-bot communities (2019+).</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Perps pay funding to anchor to spot: longs pay shorts when funding is positive. Holding spot long plus perp short harvests the funding while staying delta-neutral — the dominant structural carry of the 2020-2024 cycles, with double-digit annualized rates at bull peaks. Risk is funding flip, margin spirals, and exchange credit; executions exist as exchange-native 'funding arb' bots on CN and RU-facing venues alike.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Buy spot, short equal perp notional; collect funding while positive; close when funding turns negative after costs; ladder across venues.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Funding threshold &gt; 2 x fees per period; margin buffer 3-5x; venue diversification.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ST-06 carry (the general form); CR-02 (dated-futures version).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5" w:name="_Toc100165"/>
      <w:r>
        <w:rPr>
          <w:rFonts w:ascii="Times New Roman" w:eastAsia="Microsoft YaHei"/>
          <w:b/>
          <w:bCs/>
          <w:color w:val="1A1A1A"/>
        </w:rPr>
        <w:t xml:space="preserve">CR-02 · Cash-and-Carry / Futures Basis Trade</w:t>
      </w:r>
      <w:bookmarkEnd w:id="100165"/>
    </w:p>
    <w:p>
      <w:pPr>
        <w:spacing w:after="80" w:line="312"/>
      </w:pPr>
      <w:r>
        <w:rPr>
          <w:rFonts w:ascii="Times New Roman" w:eastAsia="Microsoft YaHei"/>
          <w:i/>
          <w:iCs/>
          <w:color w:val="6E6E6E"/>
          <w:sz w:val="20"/>
          <w:szCs w:val="20"/>
        </w:rPr>
        <w:t xml:space="preserve">期现基差套利 · Кэш-энд-керри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Classical arbitrage (RU-06's ancestor) reborn on CME/derivatives bases (2017+); documented in every post-2020 crypto research note.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When quarterly futures trade at a premium to spot (bull markets routinely 10-30% annualized), short the future, long spot, and hold to convergence — the premium is the return. It is the oldest arb in finance on the newest market, and its 2020-2021 magnitudes made it a flagship institutional crypto product. Same risk profile as CR-01 with dated convergence instead of indefinite funding.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spot / short dated future when annualized basis &gt; threshold; hold to expiry or unwind at normalization; roll if the term structure stays steep.</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Basis threshold 8-15% annualized; margin buffer; expiry calendar.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CR-01 (perp version); ST-16 (commodity roll analog); CN-25 (CN index-futures version).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6" w:name="_Toc100166"/>
      <w:r>
        <w:rPr>
          <w:rFonts w:ascii="Times New Roman" w:eastAsia="Microsoft YaHei"/>
          <w:b/>
          <w:bCs/>
          <w:color w:val="1A1A1A"/>
        </w:rPr>
        <w:t xml:space="preserve">CR-03 · Liquidation-Cascade Fade</w:t>
      </w:r>
      <w:bookmarkEnd w:id="100166"/>
    </w:p>
    <w:p>
      <w:pPr>
        <w:spacing w:after="80" w:line="312"/>
      </w:pPr>
      <w:r>
        <w:rPr>
          <w:rFonts w:ascii="Times New Roman" w:eastAsia="Microsoft YaHei"/>
          <w:i/>
          <w:iCs/>
          <w:color w:val="6E6E6E"/>
          <w:sz w:val="20"/>
          <w:szCs w:val="20"/>
        </w:rPr>
        <w:t xml:space="preserve">爆仓瀑布反打 · Фейд каскада ликвидаций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Exchange data transparency (2019+); CN/RU crypto-Twitter communities; quantified by crypto research blogs.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Cascading liquidations drive price far past fair value within minutes — wicks of hundreds of dollars on BTC — because forced market orders exhaust the book; fading the cascade once liquidation flow exhausts (wick reversal, OI flush) targets the snap-back. Entry discipline is everything: only after OI/liquidation measures peak, never during. It is Wyckoff spring logic on an exchange-enforced timescale.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 abnormal wick + liquidation-volume spike + OI drop; enter reversal on the first reclaim bar; tight stop beyond wick; quick target at pre-cascade level.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Wick &gt; 2-3 ATR; liquidation percentile &gt; 99th; holding minutes-to-hours.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PA-01 spring (mechanism); VO-09 delta flush (informational cousin).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7" w:name="_Toc100167"/>
      <w:r>
        <w:rPr>
          <w:rFonts w:ascii="Times New Roman" w:eastAsia="Microsoft YaHei"/>
          <w:b/>
          <w:bCs/>
          <w:color w:val="1A1A1A"/>
        </w:rPr>
        <w:t xml:space="preserve">CR-04 · Open-Interest Regime Model (OI + Price Matrix)</w:t>
      </w:r>
      <w:bookmarkEnd w:id="100167"/>
    </w:p>
    <w:p>
      <w:pPr>
        <w:spacing w:after="80" w:line="312"/>
      </w:pPr>
      <w:r>
        <w:rPr>
          <w:rFonts w:ascii="Times New Roman" w:eastAsia="Microsoft YaHei"/>
          <w:i/>
          <w:iCs/>
          <w:color w:val="6E6E6E"/>
          <w:sz w:val="20"/>
          <w:szCs w:val="20"/>
        </w:rPr>
        <w:t xml:space="preserve">持仓量状态模型 · Режимная модель OI</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Derivatives-data platforms (Coinglass-era); CN/RU crypto communities' regime dashboards.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OI x price quadrant classifies market state: OI up + price up = new longs (trend fuel), OI up + price down = new shorts, OI down + move = deleveraging (weak move), OI flat = range. Systems trade with new-position trends and fade deleveraging moves. It is the crypto analog of volume confirmation (VO family) built on a cleaner dataset.</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Classify each bar into the OI-price quadrant; trade continuation in OI-building moves; fade post-flush moves as OI rebuilds.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OI change thresholds vs ATR; quadrant persistence; funding context.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VO-12 volume-confirmed breakout (tradfi analog); CR-03 (event special case).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8" w:name="_Toc100168"/>
      <w:r>
        <w:rPr>
          <w:rFonts w:ascii="Times New Roman" w:eastAsia="Microsoft YaHei"/>
          <w:b/>
          <w:bCs/>
          <w:color w:val="1A1A1A"/>
        </w:rPr>
        <w:t xml:space="preserve">CR-05 · On-Chain Whale &amp; Flow Following</w:t>
      </w:r>
      <w:bookmarkEnd w:id="100168"/>
    </w:p>
    <w:p>
      <w:pPr>
        <w:spacing w:after="80" w:line="312"/>
      </w:pPr>
      <w:r>
        <w:rPr>
          <w:rFonts w:ascii="Times New Roman" w:eastAsia="Microsoft YaHei"/>
          <w:i/>
          <w:iCs/>
          <w:color w:val="6E6E6E"/>
          <w:sz w:val="20"/>
          <w:szCs w:val="20"/>
        </w:rPr>
        <w:t xml:space="preserve">链上巨鲸跟踪 · Следование за китами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On-chain analytics platforms (Glassnode, Nansen era, 2019+); CN/RU crypto research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Blockchain transparency exposes large-wallet behavior: exchange inflows (sell pressure), outflows (accumulation), stablecoin minting (dry powder), and smart-money wallet mimicry. Systems convert flow signals into regime gates or entry triggers — e.g., exchange net-outflow streaks precede supply squeezes. Data quality and interpretation lag are the binding caveats; attribution of wallets is probabilistic.</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Track net exchange flows and whale-wallet cohorts; accumulate on outflow streaks + price basing; de-risk on inflow spikes with price strength.</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Flow thresholds vs circulating supply; cohort definitions; confirmation lag 1-7 days.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CN-07/08 (flow-copy logic in tradfi clothes); VO order-flow family.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69" w:name="_Toc100169"/>
      <w:r>
        <w:rPr>
          <w:rFonts w:ascii="Times New Roman" w:eastAsia="Microsoft YaHei"/>
          <w:b/>
          <w:bCs/>
          <w:color w:val="1A1A1A"/>
        </w:rPr>
        <w:t xml:space="preserve">CR-06 · BTC Dominance / Altcoin Rotation</w:t>
      </w:r>
      <w:bookmarkEnd w:id="100169"/>
    </w:p>
    <w:p>
      <w:pPr>
        <w:spacing w:after="80" w:line="312"/>
      </w:pPr>
      <w:r>
        <w:rPr>
          <w:rFonts w:ascii="Times New Roman" w:eastAsia="Microsoft YaHei"/>
          <w:i/>
          <w:iCs/>
          <w:color w:val="6E6E6E"/>
          <w:sz w:val="20"/>
          <w:szCs w:val="20"/>
        </w:rPr>
        <w:t xml:space="preserve">BTC占比与山寨轮动 · Ротация BTC-альты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Crypto cycle literature (2017/2021 cycles); CN/RU altcoin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Capital rotates through the crypto stack in cycles: BTC leads, then large alts, then speculative small caps, visible in BTC dominance charts; rotation systems shift weights along the dominance cycle and de-risk at blow-off signs. The edge is cycle timing, and its failure mode is staying late in the speculation phase. Implementations range from manual dashboards to automated dominance-momentum switches.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Track BTC dominance momentum; rotate BTC -&gt; large alts -&gt; small caps as dominance falls; reverse or go stable as dominance turns up sharply.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Dominance windows 30-90 days; rotation thresholds; blow-off detection (funding, volume).</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CN-11 cap rotation (tradfi analog); TR-17 momentum machinery.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0" w:name="_Toc100170"/>
      <w:r>
        <w:rPr>
          <w:rFonts w:ascii="Times New Roman" w:eastAsia="Microsoft YaHei"/>
          <w:b/>
          <w:bCs/>
          <w:color w:val="1A1A1A"/>
        </w:rPr>
        <w:t xml:space="preserve">CR-07 · Crypto Volatility Breakout (Donchian + Funding Filter)</w:t>
      </w:r>
      <w:bookmarkEnd w:id="100170"/>
    </w:p>
    <w:p>
      <w:pPr>
        <w:spacing w:after="80" w:line="312"/>
      </w:pPr>
      <w:r>
        <w:rPr>
          <w:rFonts w:ascii="Times New Roman" w:eastAsia="Microsoft YaHei"/>
          <w:i/>
          <w:iCs/>
          <w:color w:val="6E6E6E"/>
          <w:sz w:val="20"/>
          <w:szCs w:val="20"/>
        </w:rPr>
        <w:t xml:space="preserve">加密波动突破 · Крипто-пробой</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Adaptation of TR-01/02 to 24/7 crypto (2017+ bot era); CN grid-vs-trend debates popularized the filter set.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Crypto trends hard; Donchian/ATR breakouts with a funding-regime filter (only long when funding is not extremely positive, avoiding crowded longs) capture major moves while avoiding the worst blow-off entries. Sizing is vol-normalized with wide stops because daily ATR can exceed 5-10%. It is the crypto workhorse trend shell.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Long on N-day high break when funding below crowd threshold; stop k x ATR; trail on opposite N/2-day low; short mirrored with funding context flipped.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20-55; funding cap (e.g., &lt; 0.05%/8h for longs); stop 2-4 ATR.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TR-01/TR-02 (parents); SE-09 (session overlays); RU/CN crypto-bot presets.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1" w:name="_Toc100171"/>
      <w:r>
        <w:rPr>
          <w:rFonts w:ascii="Times New Roman" w:eastAsia="Microsoft YaHei"/>
          <w:b/>
          <w:bCs/>
          <w:color w:val="1A1A1A"/>
        </w:rPr>
        <w:t xml:space="preserve">CR-08 · Triangular Arbitrage</w:t>
      </w:r>
      <w:bookmarkEnd w:id="100171"/>
    </w:p>
    <w:p>
      <w:pPr>
        <w:spacing w:after="80" w:line="312"/>
      </w:pPr>
      <w:r>
        <w:rPr>
          <w:rFonts w:ascii="Times New Roman" w:eastAsia="Microsoft YaHei"/>
          <w:i/>
          <w:iCs/>
          <w:color w:val="6E6E6E"/>
          <w:sz w:val="20"/>
          <w:szCs w:val="20"/>
        </w:rPr>
        <w:t xml:space="preserve">三角套利 · Треугольный арбитраж</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FX desk-era technique; cryptoized 2017+ (high-frequency bots; CN/RU arbitrage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Exploit inconsistencies across three-leg cycles (BTC/USDT, ETH/USDT, ETH/BTC) where implied cross rates diverge beyond fees; profits are tick-scale and vanish with latency, making this an HFT-adjacent game of infrastructure rather than strategy. Documented because it is the canonical answer to 'can retail arb crypto?' — usually no, at speed.</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Monitor implied cross vs quoted; execute all three legs atomically when edge &gt; 3x fees; cancel on leg failure.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Edge threshold; execution latency &lt; 50 ms realistically; fee tier optimization.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CR-11 (cross-venue variant); RU-13 (latency-bound scalping lessons).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2" w:name="_Toc100172"/>
      <w:r>
        <w:rPr>
          <w:rFonts w:ascii="Times New Roman" w:eastAsia="Microsoft YaHei"/>
          <w:b/>
          <w:bCs/>
          <w:color w:val="1A1A1A"/>
        </w:rPr>
        <w:t xml:space="preserve">CR-09 · DeFi Concentrated Liquidity Market-Making</w:t>
      </w:r>
      <w:bookmarkEnd w:id="100172"/>
    </w:p>
    <w:p>
      <w:pPr>
        <w:spacing w:after="80" w:line="312"/>
      </w:pPr>
      <w:r>
        <w:rPr>
          <w:rFonts w:ascii="Times New Roman" w:eastAsia="Microsoft YaHei"/>
          <w:i/>
          <w:iCs/>
          <w:color w:val="6E6E6E"/>
          <w:sz w:val="20"/>
          <w:szCs w:val="20"/>
        </w:rPr>
        <w:t xml:space="preserve">DeFi做市策略 · DeFi ММ (Uniswap v3)</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Uniswap v3 whitepaper (2021); DeFi research and CN/RU DeFi communities.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Concentrated-liquidity positions earn fees proportional to capital efficiency within a chosen range; the strategy is choosing ranges around expected mean-reversion zones, managing inventory drift (impermanent loss is rebalancing), and compounding fees. It is market-making with a public, non-custodial venue — and its risk profile (inventory + range exit) is classic MM risk in new clothes.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Provide liquidity in a range around fair value; re-center on drift; widen ranges in high-vol regimes; compound fees.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Range width vs ATR; rebalance drift threshold; fee tier selection; gas budget.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GR-01 grid (the AMM is a grid at heart); VO order-flow family (inventory logic).</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3" w:name="_Toc100173"/>
      <w:r>
        <w:rPr>
          <w:rFonts w:ascii="Times New Roman" w:eastAsia="Microsoft YaHei"/>
          <w:b/>
          <w:bCs/>
          <w:color w:val="1A1A1A"/>
        </w:rPr>
        <w:t xml:space="preserve">CR-10 · MEV Extraction (Sandwich / Backrun) — Documented, Not Endorsed</w:t>
      </w:r>
      <w:bookmarkEnd w:id="100173"/>
    </w:p>
    <w:p>
      <w:pPr>
        <w:spacing w:after="80" w:line="312"/>
      </w:pPr>
      <w:r>
        <w:rPr>
          <w:rFonts w:ascii="Times New Roman" w:eastAsia="Microsoft YaHei"/>
          <w:i/>
          <w:iCs/>
          <w:color w:val="6E6E6E"/>
          <w:sz w:val="20"/>
          <w:szCs w:val="20"/>
        </w:rPr>
        <w:t xml:space="preserve">MEV抢跑与三明治攻击</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Flash Boys 2.0 paper (Daian et al., 2019); MEV research (Flashbots era).</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Public mempools let bots see pending swaps and extract value by front/back-running them, an estimated billion-dollar category; the strategy is pure latency-plus-auction economics, and the countermeasure evolution (private RPCs, batch auctions, MEV-boost) is one of the great market-structure stories of the decade. Listed for completeness with the explicit note that it is adversarial extraction, increasingly disintermediated by protocol design.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Detection of profitable pending transactions; bundle bidding via MEV infrastructure; economics capped by priority-auction competition.</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Bid competitiveness; bundle profitability floor; infra costs.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CR-08 (latency family); regulatory grey-zone literature.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4" w:name="_Toc100174"/>
      <w:r>
        <w:rPr>
          <w:rFonts w:ascii="Times New Roman" w:eastAsia="Microsoft YaHei"/>
          <w:b/>
          <w:bCs/>
          <w:color w:val="1A1A1A"/>
        </w:rPr>
        <w:t xml:space="preserve">CR-11 · Cross-Exchange Latency Arbitrage</w:t>
      </w:r>
      <w:bookmarkEnd w:id="100174"/>
    </w:p>
    <w:p>
      <w:pPr>
        <w:spacing w:after="80" w:line="312"/>
      </w:pPr>
      <w:r>
        <w:rPr>
          <w:rFonts w:ascii="Times New Roman" w:eastAsia="Microsoft YaHei"/>
          <w:i/>
          <w:iCs/>
          <w:color w:val="6E6E6E"/>
          <w:sz w:val="20"/>
          <w:szCs w:val="20"/>
        </w:rPr>
        <w:t xml:space="preserve">跨所延迟套利 · Межбиржевой арбитраж</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2017+ crypto fragmentation era; CN (pre-ban) and RU arbitrage communities extensively documented it.</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Price discovery leads on the deepest venue (Binance/CME); lagging venues drift a few basis points behind, and fast bots synchronize by buying the lag and hedging the lead. Withdrawal/transfer risk and fee tiers decide viability; the modern edge is mostly dead at retail latency. It completes the arbitrage subset of this family and marks the boundary where strategy ends and infrastructure begins.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Lead venue defines fair price; trade laggards when divergence &gt; 2 x costs; hedge or transfer inventory; risk = transfer/counterparty.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Divergence threshold; inventory rebalancing cadence; venue credit risk.</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CR-08 (same-latency family); CN-era '搬砖' (brick-moving) practice — the CN name for exactly this trade.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19" w:id="19"/>
      <w:r>
        <w:rPr>
          <w:rFonts w:ascii="Times New Roman" w:eastAsia="Microsoft YaHei"/>
          <w:b/>
          <w:bCs/>
          <w:color w:val="1A1A1A"/>
        </w:rPr>
        <w:t xml:space="preserve">Family M — Machine Learning &amp; AI Systems (ML)</w:t>
      </w:r>
      <w:bookmarkEnd w:id="19"/>
    </w:p>
    <w:p>
      <w:pPr>
        <w:spacing w:after="200" w:line="312"/>
        <w:jc w:val="both"/>
      </w:pPr>
      <w:r>
        <w:rPr>
          <w:rFonts w:ascii="Times New Roman" w:eastAsia="Microsoft YaHei"/>
          <w:color w:val="1A1A1A"/>
          <w:sz w:val="22"/>
          <w:szCs w:val="22"/>
        </w:rPr>
        <w:t xml:space="preserve">ML trading spans serious applied research and an ocean of curve-fitted demos; this family catalogs the architectures with genuine archival footprint: gradient-boosted factor models (the CN 券商金工 series is the largest public corpus), sequence models, RL portfolios, regime classifiers, and the meta-methods (walk-forward, deflated Sharpe) that separate signal from overfitting. Attribution goes to the primary papers/reports; deployment notes emphasize the evaluation discipline that most retail ML skips.</w:t>
      </w:r>
    </w:p>
    <w:p>
      <w:pPr>
        <w:pStyle w:val="Heading3"/>
        <w:spacing w:after="80" w:before="280" w:line="320" w:lineRule="atLeast"/>
      </w:pPr>
      <w:bookmarkStart w:id="100175" w:name="_Toc100175"/>
      <w:r>
        <w:rPr>
          <w:rFonts w:ascii="Times New Roman" w:eastAsia="Microsoft YaHei"/>
          <w:b/>
          <w:bCs/>
          <w:color w:val="1A1A1A"/>
        </w:rPr>
        <w:t xml:space="preserve">ML-01 · Gradient-Boosted Factor Models (XGBoost/LightGBM Alpha)</w:t>
      </w:r>
      <w:bookmarkEnd w:id="100175"/>
    </w:p>
    <w:p>
      <w:pPr>
        <w:spacing w:after="80" w:line="312"/>
      </w:pPr>
      <w:r>
        <w:rPr>
          <w:rFonts w:ascii="Times New Roman" w:eastAsia="Microsoft YaHei"/>
          <w:i/>
          <w:iCs/>
          <w:color w:val="6E6E6E"/>
          <w:sz w:val="20"/>
          <w:szCs w:val="20"/>
        </w:rPr>
        <w:t xml:space="preserve">机器学习多因子选股 · XGBoost/LightGBM альфа</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华泰证券金工 '人工智能选股' series (2017+); JoinQuant/BigQuant template canon; Kaggle-era ubiquity.</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Feed hundreds of factors into gradient-boosted trees to predict next-month relative returns, with purged walk-forward validation and industry neutralization; CN broker research published extensive public backtests making this the most-documented ML workflow in Chinese. Trees handle nonlinear factor interactions and missing data gracefully, which is why they beat linear IC-weighting in CN studies — when validation is honest.</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Feature matrix = factor panel; label = forward returns; train with purged k-fold; trade top-decile predictions monthly; monitor feature importance drift.</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Depth 3-6; learning rate 0.05-0.1; purge gap = label horizon; retrain quarterly.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CN-15 (the linear factor parent); ST-10 (expression-alphas as features); JoinQuant ML templates.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6" w:name="_Toc100176"/>
      <w:r>
        <w:rPr>
          <w:rFonts w:ascii="Times New Roman" w:eastAsia="Microsoft YaHei"/>
          <w:b/>
          <w:bCs/>
          <w:color w:val="1A1A1A"/>
        </w:rPr>
        <w:t xml:space="preserve">ML-02 · LSTM / Sequence Models for Direction</w:t>
      </w:r>
      <w:bookmarkEnd w:id="100176"/>
    </w:p>
    <w:p>
      <w:pPr>
        <w:spacing w:after="80" w:line="312"/>
      </w:pPr>
      <w:r>
        <w:rPr>
          <w:rFonts w:ascii="Times New Roman" w:eastAsia="Microsoft YaHei"/>
          <w:i/>
          <w:iCs/>
          <w:color w:val="6E6E6E"/>
          <w:sz w:val="20"/>
          <w:szCs w:val="20"/>
        </w:rPr>
        <w:t xml:space="preserve">长短期记忆网络方向预测 · LSTM-прогноз</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Academic literature surge 2017-2020 (Fischer &amp; Krauss LSTM on DAX, 2018, the canonical citation).</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Sequence models ingest windows of returns/volumes and classify next-period direction; the canonical result shows in-sample promise and fast post-publication decay as the edge is regime-specific. Honest deployments treat the model as one ensemble vote with strict walk-forward and transaction-cost stress, not an oracle. The family's lesson is statistical: sequence overfitting is spectacular and easy.</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Window 30-60 bars of normalized features; binary/ternary direction labels; purged walk-forward; ensemble with simpler signals; deploy at reduced size.</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Hidden 32-128; dropout 0.2-0.5; retrain cadence; cost-adjusted threshold tuning.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ML-01 (tabular vs sequence); transformer-era successors (2021+).</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7" w:name="_Toc100177"/>
      <w:r>
        <w:rPr>
          <w:rFonts w:ascii="Times New Roman" w:eastAsia="Microsoft YaHei"/>
          <w:b/>
          <w:bCs/>
          <w:color w:val="1A1A1A"/>
        </w:rPr>
        <w:t xml:space="preserve">ML-03 · Reinforcement Learning Portfolios (FinRL lineage)</w:t>
      </w:r>
      <w:bookmarkEnd w:id="100177"/>
    </w:p>
    <w:p>
      <w:pPr>
        <w:spacing w:after="80" w:line="312"/>
      </w:pPr>
      <w:r>
        <w:rPr>
          <w:rFonts w:ascii="Times New Roman" w:eastAsia="Microsoft YaHei"/>
          <w:i/>
          <w:iCs/>
          <w:color w:val="6E6E6E"/>
          <w:sz w:val="20"/>
          <w:szCs w:val="20"/>
        </w:rPr>
        <w:t xml:space="preserve">强化学习组合管理 · RL-портфели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FinRL (AI4Finance, 2020+) and the deep-RL trading literature (2018+).</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An agent learns allocation/sizing policies against simulated environments with transaction costs, optimizing risk-adjusted objectives rather than supervised labels. Research results are mixed and environment design dominates outcomes: realistic fills, costs, and regime shifts decide whether learned policies generalize. Its lasting contribution is the environment library that forces honest simulation.</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Define state (prices/positions), action space (weights), reward (Sharpe or CVaR-adjusted); train on regime-diverse data; paper-trade learned policies before capital.</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PPO/SAC agents; cost model fidelity; out-of-distribution guards.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ML-01/02 (supervised relatives); execution-RL literature (child domain).</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8" w:name="_Toc100178"/>
      <w:r>
        <w:rPr>
          <w:rFonts w:ascii="Times New Roman" w:eastAsia="Microsoft YaHei"/>
          <w:b/>
          <w:bCs/>
          <w:color w:val="1A1A1A"/>
        </w:rPr>
        <w:t xml:space="preserve">ML-04 · HMM Regime Switching</w:t>
      </w:r>
      <w:bookmarkEnd w:id="100178"/>
    </w:p>
    <w:p>
      <w:pPr>
        <w:spacing w:after="80" w:line="312"/>
      </w:pPr>
      <w:r>
        <w:rPr>
          <w:rFonts w:ascii="Times New Roman" w:eastAsia="Microsoft YaHei"/>
          <w:i/>
          <w:iCs/>
          <w:color w:val="6E6E6E"/>
          <w:sz w:val="20"/>
          <w:szCs w:val="20"/>
        </w:rPr>
        <w:t xml:space="preserve">隐马尔可夫状态切换 · HMM-режимы</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Hamilton's regime-switching econometrics (1989); quant-blog standardization (2010s).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A hidden Markov model fits latent market states (bull/bear/chop) from return-volatility emissions; regime probabilities gate other strategies — enabling trend systems only in trending states, reversion in chop. It is the statistical formalization of 'the market changes character', and its biggest value is honest uncertainty: low-confidence regimes trigger de-risking rather than guessing.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Fit 2-4 state HMM on returns/vol; gate strategy family by state probability &gt; threshold; de-risk in transition uncertainty.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States 2-4; emissions gaussian/t; retrain monthly; smoothing lag.</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SE-08 (calendar regimes); TR-07 ADX gates (the indicator-flavored ancestor).</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79" w:name="_Toc100179"/>
      <w:r>
        <w:rPr>
          <w:rFonts w:ascii="Times New Roman" w:eastAsia="Microsoft YaHei"/>
          <w:b/>
          <w:bCs/>
          <w:color w:val="1A1A1A"/>
        </w:rPr>
        <w:t xml:space="preserve">ML-05 · NLP Sentiment &amp; News Trading</w:t>
      </w:r>
      <w:bookmarkEnd w:id="100179"/>
    </w:p>
    <w:p>
      <w:pPr>
        <w:spacing w:after="80" w:line="312"/>
      </w:pPr>
      <w:r>
        <w:rPr>
          <w:rFonts w:ascii="Times New Roman" w:eastAsia="Microsoft YaHei"/>
          <w:i/>
          <w:iCs/>
          <w:color w:val="6E6E6E"/>
          <w:sz w:val="20"/>
          <w:szCs w:val="20"/>
        </w:rPr>
        <w:t xml:space="preserve">新闻情绪量化 · NLP-сентимент</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FinBERT lineage (2019+); CN snownlp-era sentiment factors; RU SMM-sentiment studies.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Score news/social text with domain-tuned language models and trade the sentiment-return relationship: announcement-day drift after strong sentiment, headline-momentum on novel information. Latency and event deduplication decide viability — much of the exploitable signal lives in the first seconds, which retail pipelines cannot reach; the slower tail (analyst reports, regulatory filings) is more accessible.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Ingest/score text; deduplicate events; trade drift windows (hours-days) on sentiment extremes with trend/liquidity gates.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Model domain-tuning; decay half-life of signal; event-window definitions.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CN-05 (sentiment regime cousin); ST-04 (momentum on information flow).</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0" w:name="_Toc100180"/>
      <w:r>
        <w:rPr>
          <w:rFonts w:ascii="Times New Roman" w:eastAsia="Microsoft YaHei"/>
          <w:b/>
          <w:bCs/>
          <w:color w:val="1A1A1A"/>
        </w:rPr>
        <w:t xml:space="preserve">ML-06 · Genetic Algorithms &amp; Parameter Search</w:t>
      </w:r>
      <w:bookmarkEnd w:id="100180"/>
    </w:p>
    <w:p>
      <w:pPr>
        <w:spacing w:after="80" w:line="312"/>
      </w:pPr>
      <w:r>
        <w:rPr>
          <w:rFonts w:ascii="Times New Roman" w:eastAsia="Microsoft YaHei"/>
          <w:i/>
          <w:iCs/>
          <w:color w:val="6E6E6E"/>
          <w:sz w:val="20"/>
          <w:szCs w:val="20"/>
        </w:rPr>
        <w:t xml:space="preserve">遗传算法参数寻优 · Генетическая оптимизация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1990s EA-era practice (MT4 strategy tester 'genetic mode'); Adaptrade-style tools; RU/CN optimizer culture.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Evolutionary search over parameter spaces maximizes backtest fitness — powerful, and the single fastest way to overfit if fitness is raw P&amp;L on one sample. Disciplined forms optimize on rolling windows with walk-forward scoring, penalty for parameter cliffs, and ensemble-over-parameters deployment. Documented as methodology rather than a strategy per se.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Encode parameters; evolve on training windows; score out-of-sample; select plateau regions (robust sets) not peaks; ensemble survivors.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Population/generations modest; fitness = walk-forward Sharpe with cost stress; plateau selection.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ML-07 (the evaluation discipline); RU «генетический оптимизатор» MT4 heritage.</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1" w:name="_Toc100181"/>
      <w:r>
        <w:rPr>
          <w:rFonts w:ascii="Times New Roman" w:eastAsia="Microsoft YaHei"/>
          <w:b/>
          <w:bCs/>
          <w:color w:val="1A1A1A"/>
        </w:rPr>
        <w:t xml:space="preserve">ML-07 · Walk-Forward, Deflated Sharpe &amp; Overfitting Control</w:t>
      </w:r>
      <w:bookmarkEnd w:id="100181"/>
    </w:p>
    <w:p>
      <w:pPr>
        <w:spacing w:after="80" w:line="312"/>
      </w:pPr>
      <w:r>
        <w:rPr>
          <w:rFonts w:ascii="Times New Roman" w:eastAsia="Microsoft YaHei"/>
          <w:i/>
          <w:iCs/>
          <w:color w:val="6E6E6E"/>
          <w:sz w:val="20"/>
          <w:szCs w:val="20"/>
        </w:rPr>
        <w:t xml:space="preserve">滚动前推与紧缩夏普 · Контроль переобучения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Robert Pardo (walk-forward, 1992); Bailey &amp; López de Prado deflated Sharpe / probability of backtest overfitting (2014-2017).</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The meta-strategy of the whole glossary: validate by rolling re-optimization out-of-sample, correct Sharpe for the number of trials attempted, and estimate the probability that the best-of-N backtest is luck. These tools — not any single entry signal — separate the surviving quant funds from the graveyard. Every entry above should be run through this discipline before capital.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Walk-forward with anchored/rolling windows; count all trials for deflated Sharpe; require PBO &lt; threshold; prefer parameter plateaus.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Window ratios (train 4x test typical); trials ledger; Sharpe hurdle adjusted by N.</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ML-06 (the search it disciplines); postcheck for every CN/RU platform strategy.</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2"/>
        <w:spacing w:after="160" w:before="320" w:line="340" w:lineRule="atLeast"/>
      </w:pPr>
      <w:bookmarkStart w:name="_Toc20" w:id="20"/>
      <w:r>
        <w:rPr>
          <w:rFonts w:ascii="Times New Roman" w:eastAsia="Microsoft YaHei"/>
          <w:b/>
          <w:bCs/>
          <w:color w:val="1A1A1A"/>
        </w:rPr>
        <w:t xml:space="preserve">Family N — Risk, Sizing &amp; Execution (RX)</w:t>
      </w:r>
      <w:bookmarkEnd w:id="20"/>
    </w:p>
    <w:p>
      <w:pPr>
        <w:spacing w:after="200" w:line="312"/>
        <w:jc w:val="both"/>
      </w:pPr>
      <w:r>
        <w:rPr>
          <w:rFonts w:ascii="Times New Roman" w:eastAsia="Microsoft YaHei"/>
          <w:color w:val="1A1A1A"/>
          <w:sz w:val="22"/>
          <w:szCs w:val="22"/>
        </w:rPr>
        <w:t xml:space="preserve">No strategy survives contact with bad sizing; this family holds the sizing, exit, and execution machinery that the rest of the glossary bolts on. It draws from the Turtle doctrine (volatility units), Kelly's information-theory lineage, prop-desk portfolio heat rules, and execution-algorithm practice. These are the components most often identical across CN, RU, and US platforms — everyone's grid bot risks the same way — which is exactly why they deserve their own deduplicated treatment.</w:t>
      </w:r>
    </w:p>
    <w:p>
      <w:pPr>
        <w:pStyle w:val="Heading3"/>
        <w:spacing w:after="80" w:before="280" w:line="320" w:lineRule="atLeast"/>
      </w:pPr>
      <w:bookmarkStart w:id="100182" w:name="_Toc100182"/>
      <w:r>
        <w:rPr>
          <w:rFonts w:ascii="Times New Roman" w:eastAsia="Microsoft YaHei"/>
          <w:b/>
          <w:bCs/>
          <w:color w:val="1A1A1A"/>
        </w:rPr>
        <w:t xml:space="preserve">RX-01 · Fixed Fractional / Percent-Risk Sizing</w:t>
      </w:r>
      <w:bookmarkEnd w:id="100182"/>
    </w:p>
    <w:p>
      <w:pPr>
        <w:spacing w:after="80" w:line="312"/>
      </w:pPr>
      <w:r>
        <w:rPr>
          <w:rFonts w:ascii="Times New Roman" w:eastAsia="Microsoft YaHei"/>
          <w:i/>
          <w:iCs/>
          <w:color w:val="6E6E6E"/>
          <w:sz w:val="20"/>
          <w:szCs w:val="20"/>
        </w:rPr>
        <w:t xml:space="preserve">固定比例风险仓位 · Фикс-фракционное позиционирование</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Ralph Vince, Portfolio Management Formulas (1990); universal practice since.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Size every trade so that the stop distance equals a fixed fraction of equity (0.5-2%): losses scale down in drawdowns and up in recoveries, giving geometric growth bounded by the risk fraction. It is the professional default and the direct generalization of the Turtle unit. The subtleties are volatility-of-volatility and gap risk beyond the stop.</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Quantity = (equity x risk%) / (entry - stop); recompute per trade; cap gaps with position limits.</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Risk 0.5-2%; correlation-aware portfolio caps.</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TR-02 Turtle units (the volatility-normalized ancestor); every platform's default sizing.</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3" w:name="_Toc100183"/>
      <w:r>
        <w:rPr>
          <w:rFonts w:ascii="Times New Roman" w:eastAsia="Microsoft YaHei"/>
          <w:b/>
          <w:bCs/>
          <w:color w:val="1A1A1A"/>
        </w:rPr>
        <w:t xml:space="preserve">RX-02 · Kelly &amp; Half-Kelly Criterion</w:t>
      </w:r>
      <w:bookmarkEnd w:id="100183"/>
    </w:p>
    <w:p>
      <w:pPr>
        <w:spacing w:after="80" w:line="312"/>
      </w:pPr>
      <w:r>
        <w:rPr>
          <w:rFonts w:ascii="Times New Roman" w:eastAsia="Microsoft YaHei"/>
          <w:i/>
          <w:iCs/>
          <w:color w:val="6E6E6E"/>
          <w:sz w:val="20"/>
          <w:szCs w:val="20"/>
        </w:rPr>
        <w:t xml:space="preserve">凯利公式与半凯利 · Критерий Келли</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John Kelly, Bell System Technical Journal 1956; Thorp's 1960s-70s market applications.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Kelly sizing f* = p - q/b maximizes long-run logarithmic growth; full Kelly is uninvestable in practice (variance brutal, edge estimates wrong), so practitioners use half or quarter Kelly. The formula's real lesson is that sizing and edge are inseparable — overbetting turns any positive-expectancy system into ruin. Implemented here as a Pine helper for educational sizing.</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Estimate win rate and win/loss ratio; size fraction = k x Kelly with k = 0.25-0.5; re-estimate on rolling trade history.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Rolling sample 30-100 trades; k fraction; caps by volatility budget.</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RX-01 (the practical constrained form); prop-firm sizing policies.</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indicator("Kelly Sizing Helper", overlay=false)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winRate = input.float(55.0, "Win rate %")</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avgWin  = input.float(1.8, "Average win (R)")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avgLoss = input.float(1.0, "Average loss (R)")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kelly(p, b) =&gt; p - (1 - p) / b</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f = kelly(winRate / 100, avgWin / avgLoss)</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plot(f * 100, "Kelly %", color=f &gt; 0 ? color.teal : color.red)</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hline(0)</w:t>
      </w:r>
    </w:p>
    <w:p>
      <w:pPr>
        <w:pStyle w:val="Heading3"/>
        <w:spacing w:after="80" w:before="280" w:line="320" w:lineRule="atLeast"/>
      </w:pPr>
      <w:bookmarkStart w:id="100184" w:name="_Toc100184"/>
      <w:r>
        <w:rPr>
          <w:rFonts w:ascii="Times New Roman" w:eastAsia="Microsoft YaHei"/>
          <w:b/>
          <w:bCs/>
          <w:color w:val="1A1A1A"/>
        </w:rPr>
        <w:t xml:space="preserve">RX-03 · Volatility-Targeted Sizing (ATR Units)</w:t>
      </w:r>
      <w:bookmarkEnd w:id="100184"/>
    </w:p>
    <w:p>
      <w:pPr>
        <w:spacing w:after="80" w:line="312"/>
      </w:pPr>
      <w:r>
        <w:rPr>
          <w:rFonts w:ascii="Times New Roman" w:eastAsia="Microsoft YaHei"/>
          <w:i/>
          <w:iCs/>
          <w:color w:val="6E6E6E"/>
          <w:sz w:val="20"/>
          <w:szCs w:val="20"/>
        </w:rPr>
        <w:t xml:space="preserve">波动率目标仓位 · Волатильно-таргетированный размер</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Turtle 'N' doctrine (TR-02); CTA standard practice; risk-parity (ST-17) single-asset form.</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Scale positions inversely to recent volatility so each trade contributes equal risk regardless of the instrument's storminess — the quiet insight that lets one system trade rebar, crude, and equities coherently. Combined with a portfolio vol target it is the standard CTA architecture. Its failure mode is the vol spike that hits after the signal but before the resize.</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Position = target risk / ATR; portfolio vol target scales total exposure; adjust at vol-shift thresholds, not every bar.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ATR window 14-20; per-trade risk 0.5-1%; portfolio target 10-15% annualized.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TR-02/TR-17 (the parents); ST-17 (portfolio level).</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5" w:name="_Toc100185"/>
      <w:r>
        <w:rPr>
          <w:rFonts w:ascii="Times New Roman" w:eastAsia="Microsoft YaHei"/>
          <w:b/>
          <w:bCs/>
          <w:color w:val="1A1A1A"/>
        </w:rPr>
        <w:t xml:space="preserve">RX-04 · Portfolio Heat &amp; Correlation Limits</w:t>
      </w:r>
      <w:bookmarkEnd w:id="100185"/>
    </w:p>
    <w:p>
      <w:pPr>
        <w:spacing w:after="80" w:line="312"/>
      </w:pPr>
      <w:r>
        <w:rPr>
          <w:rFonts w:ascii="Times New Roman" w:eastAsia="Microsoft YaHei"/>
          <w:i/>
          <w:iCs/>
          <w:color w:val="6E6E6E"/>
          <w:sz w:val="20"/>
          <w:szCs w:val="20"/>
        </w:rPr>
        <w:t xml:space="preserve">组合热度与相关性限制 · Портфельный «нагрев»</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Prop/CTA risk management canon (1990s+); documented in CTA risk literature.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Heat = total open risk (sum of each position's stop-distance loss) as a fraction of equity; capping heat (e.g., 6%) and per-correlation-cluster heat (e.g., 3%) is what prevents five 'good trades' in the same factor from becoming one giant trade. Cluster-aware limits require mapping positions to common factors — the discipline that separates professionals from account blowups.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Sum open risk; block new entries above heat caps; cluster positions by factor/correlation and cap per cluster.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Total heat 4-8%; cluster heat 2-3%; correlation threshold 0.6+.</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RX-01/03 (per-trade forms); ST-17 (allocation form).</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6" w:name="_Toc100186"/>
      <w:r>
        <w:rPr>
          <w:rFonts w:ascii="Times New Roman" w:eastAsia="Microsoft YaHei"/>
          <w:b/>
          <w:bCs/>
          <w:color w:val="1A1A1A"/>
        </w:rPr>
        <w:t xml:space="preserve">RX-05 · Breakeven Ratchet &amp; Scale-Out Exits</w:t>
      </w:r>
      <w:bookmarkEnd w:id="100186"/>
    </w:p>
    <w:p>
      <w:pPr>
        <w:spacing w:after="80" w:line="312"/>
      </w:pPr>
      <w:r>
        <w:rPr>
          <w:rFonts w:ascii="Times New Roman" w:eastAsia="Microsoft YaHei"/>
          <w:i/>
          <w:iCs/>
          <w:color w:val="6E6E6E"/>
          <w:sz w:val="20"/>
          <w:szCs w:val="20"/>
        </w:rPr>
        <w:t xml:space="preserve">保本推进与分批止盈 · Безубыток и частичная фиксация</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Universal trader practice; formalized in exit-engineering literature (LeBeau lineage).</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Two exit upgrades that dominate expectancy: moving the stop to breakeven at a profit threshold (converting trades to free options at the cost of some win rate), and scaling out at fixed R multiples (banking base + letting a runner work). Their interaction with trend systems is the classic tension — ratchets cut winners early. Implemented as a reusable Pine exit shell.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At +kR, stop to entry; scale out fractions at 1R/2R/3R or by ATR bands; trail the remainder.</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k 0.8-1.5R; scale fractions 50/25/25; trail on remainder.</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TR-10 trailing stops (the pure trail); GR-03 pyramids' exit side.</w:t>
      </w:r>
    </w:p>
    <w:p>
      <w:pPr>
        <w:spacing w:after="20" w:line="312"/>
        <w:ind w:left="240"/>
      </w:pPr>
      <w:r>
        <w:rPr>
          <w:rFonts w:ascii="Times New Roman" w:eastAsia="Microsoft YaHei"/>
          <w:b/>
          <w:bCs/>
          <w:color w:val="1A1A1A"/>
          <w:sz w:val="20"/>
          <w:szCs w:val="20"/>
        </w:rPr>
        <w:t xml:space="preserve">Pine Script v5 reference implementation:</w:t>
      </w:r>
    </w:p>
    <w:p>
      <w:pPr>
        <w:pBdr>
          <w:left w:val="single" w:color="C9A84C" w:sz="10" w:space="8"/>
        </w:pBdr>
        <w:shd w:fill="F7F4EC" w:val="clear"/>
        <w:spacing w:after="0" w:before="80" w:line="240" w:lineRule="atLeast"/>
        <w:ind w:left="240" w:right="240"/>
      </w:pPr>
      <w:r>
        <w:rPr>
          <w:rFonts w:ascii="Consolas" w:eastAsia="Microsoft YaHei"/>
          <w:color w:val="3A3428"/>
          <w:sz w:val="16"/>
          <w:szCs w:val="16"/>
        </w:rPr>
        <w:t xml:space="preserve">//@version=5</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strategy("Breakeven Ratchet Exit Shell", overlay=true)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rMult  = input.float(1.0, "BE at (R)")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atrMult = input.float(2.0, "Initial stop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atr = ta.atr(14)</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strategy.entry("L", strategy.long)</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var float stopPx = na</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&gt; 0</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if na(stopPx)</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stopPx := strategy.position_avg_price - atrMult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gainR = (high - strategy.position_avg_price) / (atrMult * atr)</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if gainR &gt;= rMult</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stopPx := math.max(stopPx, strategy.position_avg_price)</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    strategy.exit("LX", from_entry="L", stop=stopPx)</w:t>
      </w:r>
    </w:p>
    <w:p>
      <w:pPr>
        <w:pBdr>
          <w:left w:val="single" w:color="C9A84C" w:sz="10" w:space="8"/>
        </w:pBdr>
        <w:shd w:fill="F7F4EC" w:val="clear"/>
        <w:spacing w:after="0" w:before="0" w:line="240" w:lineRule="atLeast"/>
        <w:ind w:left="240" w:right="240"/>
      </w:pPr>
      <w:r>
        <w:rPr>
          <w:rFonts w:ascii="Consolas" w:eastAsia="Microsoft YaHei"/>
          <w:color w:val="3A3428"/>
          <w:sz w:val="16"/>
          <w:szCs w:val="16"/>
        </w:rPr>
        <w:t xml:space="preserve">if strategy.position_size == 0</w:t>
      </w:r>
    </w:p>
    <w:p>
      <w:pPr>
        <w:pBdr>
          <w:left w:val="single" w:color="C9A84C" w:sz="10" w:space="8"/>
        </w:pBdr>
        <w:shd w:fill="F7F4EC" w:val="clear"/>
        <w:spacing w:after="160" w:before="0" w:line="240" w:lineRule="atLeast"/>
        <w:ind w:left="240" w:right="240"/>
      </w:pPr>
      <w:r>
        <w:rPr>
          <w:rFonts w:ascii="Consolas" w:eastAsia="Microsoft YaHei"/>
          <w:color w:val="3A3428"/>
          <w:sz w:val="16"/>
          <w:szCs w:val="16"/>
        </w:rPr>
        <w:t xml:space="preserve">    stopPx := na</w:t>
      </w:r>
    </w:p>
    <w:p>
      <w:pPr>
        <w:pStyle w:val="Heading3"/>
        <w:spacing w:after="80" w:before="280" w:line="320" w:lineRule="atLeast"/>
      </w:pPr>
      <w:bookmarkStart w:id="100187" w:name="_Toc100187"/>
      <w:r>
        <w:rPr>
          <w:rFonts w:ascii="Times New Roman" w:eastAsia="Microsoft YaHei"/>
          <w:b/>
          <w:bCs/>
          <w:color w:val="1A1A1A"/>
        </w:rPr>
        <w:t xml:space="preserve">RX-06 · Time Stops &amp; Opportunity-Cost Exits</w:t>
      </w:r>
      <w:bookmarkEnd w:id="100187"/>
    </w:p>
    <w:p>
      <w:pPr>
        <w:spacing w:after="80" w:line="312"/>
      </w:pPr>
      <w:r>
        <w:rPr>
          <w:rFonts w:ascii="Times New Roman" w:eastAsia="Microsoft YaHei"/>
          <w:i/>
          <w:iCs/>
          <w:color w:val="6E6E6E"/>
          <w:sz w:val="20"/>
          <w:szCs w:val="20"/>
        </w:rPr>
        <w:t xml:space="preserve">时间止损 · Временной стоп</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Prop-desk doctrine ('dead money is negative money'); quantified in TASC-era exit studies.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If a trade has not moved favorably within N bars, its premise is stale: exit and recycle capital into live setups. Backtests consistently show time stops improve capital efficiency even when they slightly reduce average win, because the opportunity cost of parked capital compounds. The parameter is regime-sensitive — swing trades need days, scalps need minutes.</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Exit if unrealized P&amp;L below a threshold after N bars (or if no new high/low within N bars); re-entry rules unchanged.</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N by style (3-10 bars intraday, 5-20 days swing); dead-money threshold.</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CN-02 board time-stop; BK-01 session-flat rule (time stop by clock).</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3"/>
        <w:spacing w:after="80" w:before="280" w:line="320" w:lineRule="atLeast"/>
      </w:pPr>
      <w:bookmarkStart w:id="100188" w:name="_Toc100188"/>
      <w:r>
        <w:rPr>
          <w:rFonts w:ascii="Times New Roman" w:eastAsia="Microsoft YaHei"/>
          <w:b/>
          <w:bCs/>
          <w:color w:val="1A1A1A"/>
        </w:rPr>
        <w:t xml:space="preserve">RX-07 · Execution Algorithms (TWAP / VWAP / POV) &amp; Slippage Budgets</w:t>
      </w:r>
      <w:bookmarkEnd w:id="100188"/>
    </w:p>
    <w:p>
      <w:pPr>
        <w:spacing w:after="80" w:line="312"/>
      </w:pPr>
      <w:r>
        <w:rPr>
          <w:rFonts w:ascii="Times New Roman" w:eastAsia="Microsoft YaHei"/>
          <w:i/>
          <w:iCs/>
          <w:color w:val="6E6E6E"/>
          <w:sz w:val="20"/>
          <w:szCs w:val="20"/>
        </w:rPr>
        <w:t xml:space="preserve">算法交易与滑点预算 · Алго-исполнение</w:t>
      </w:r>
    </w:p>
    <w:p>
      <w:pPr>
        <w:spacing w:after="60" w:line="312"/>
        <w:ind w:left="240"/>
        <w:jc w:val="both"/>
      </w:pPr>
      <w:r>
        <w:rPr>
          <w:rFonts w:ascii="Times New Roman" w:eastAsia="Microsoft YaHei"/>
          <w:b/>
          <w:bCs/>
          <w:color w:val="1A1A1A"/>
          <w:sz w:val="20"/>
          <w:szCs w:val="20"/>
        </w:rPr>
        <w:t xml:space="preserve">Origin &amp; lineage:  </w:t>
      </w:r>
      <w:r>
        <w:rPr>
          <w:rFonts w:ascii="Times New Roman" w:eastAsia="Microsoft YaHei"/>
          <w:color w:val="1A1A1A"/>
          <w:sz w:val="20"/>
          <w:szCs w:val="20"/>
        </w:rPr>
        <w:t xml:space="preserve">Institutional execution research (Bertsimas-Lo 1998; Almgren-Chriss 2000); retail access via broker APIs.</w:t>
      </w:r>
    </w:p>
    <w:p>
      <w:pPr>
        <w:spacing w:after="60" w:line="312"/>
        <w:ind w:left="240"/>
        <w:jc w:val="both"/>
      </w:pPr>
      <w:r>
        <w:rPr>
          <w:rFonts w:ascii="Times New Roman" w:eastAsia="Microsoft YaHei"/>
          <w:b/>
          <w:bCs/>
          <w:color w:val="1A1A1A"/>
          <w:sz w:val="20"/>
          <w:szCs w:val="20"/>
        </w:rPr>
        <w:t xml:space="preserve">Core idea:  </w:t>
      </w:r>
      <w:r>
        <w:rPr>
          <w:rFonts w:ascii="Times New Roman" w:eastAsia="Microsoft YaHei"/>
          <w:color w:val="1A1A1A"/>
          <w:sz w:val="20"/>
          <w:szCs w:val="20"/>
        </w:rPr>
        <w:t xml:space="preserve">Large orders are strategies too: TWAP slices time, VWAP tracks volume curve, POV participates at a market-share rate — each trading off market impact against timing risk. The retail-relevant lesson is the slippage budget: every strategy entry in this glossary must reserve costs (spread + impact + fees) that often decide viability more than the signal itself. Quantifying them is the last mile between backtest and P&amp;L.</w:t>
      </w:r>
    </w:p>
    <w:p>
      <w:pPr>
        <w:spacing w:after="60" w:line="312"/>
        <w:ind w:left="240"/>
        <w:jc w:val="both"/>
      </w:pPr>
      <w:r>
        <w:rPr>
          <w:rFonts w:ascii="Times New Roman" w:eastAsia="Microsoft YaHei"/>
          <w:b/>
          <w:bCs/>
          <w:color w:val="1A1A1A"/>
          <w:sz w:val="20"/>
          <w:szCs w:val="20"/>
        </w:rPr>
        <w:t xml:space="preserve">Rules:  </w:t>
      </w:r>
      <w:r>
        <w:rPr>
          <w:rFonts w:ascii="Times New Roman" w:eastAsia="Microsoft YaHei"/>
          <w:color w:val="1A1A1A"/>
          <w:sz w:val="20"/>
          <w:szCs w:val="20"/>
        </w:rPr>
        <w:t xml:space="preserve">Slice parent orders per the chosen curve; randomize child sizes; measure realized slippage vs benchmark; feed the measurement back into strategy viability.</w:t>
      </w:r>
    </w:p>
    <w:p>
      <w:pPr>
        <w:spacing w:after="60" w:line="312"/>
        <w:ind w:left="240"/>
        <w:jc w:val="both"/>
      </w:pPr>
      <w:r>
        <w:rPr>
          <w:rFonts w:ascii="Times New Roman" w:eastAsia="Microsoft YaHei"/>
          <w:b/>
          <w:bCs/>
          <w:color w:val="1A1A1A"/>
          <w:sz w:val="20"/>
          <w:szCs w:val="20"/>
        </w:rPr>
        <w:t xml:space="preserve">Key parameters:  </w:t>
      </w:r>
      <w:r>
        <w:rPr>
          <w:rFonts w:ascii="Times New Roman" w:eastAsia="Microsoft YaHei"/>
          <w:color w:val="1A1A1A"/>
          <w:sz w:val="20"/>
          <w:szCs w:val="20"/>
        </w:rPr>
        <w:t xml:space="preserve">Participation 5-20%; impact model by ADV; cost ledger per strategy.</w:t>
      </w:r>
    </w:p>
    <w:p>
      <w:pPr>
        <w:spacing w:after="60" w:line="312"/>
        <w:ind w:left="240"/>
        <w:jc w:val="both"/>
      </w:pPr>
      <w:r>
        <w:rPr>
          <w:rFonts w:ascii="Times New Roman" w:eastAsia="Microsoft YaHei"/>
          <w:b/>
          <w:bCs/>
          <w:color w:val="1A1A1A"/>
          <w:sz w:val="20"/>
          <w:szCs w:val="20"/>
        </w:rPr>
        <w:t xml:space="preserve">Duplicates eliminated:  </w:t>
      </w:r>
      <w:r>
        <w:rPr>
          <w:rFonts w:ascii="Times New Roman" w:eastAsia="Microsoft YaHei"/>
          <w:color w:val="1A1A1A"/>
          <w:sz w:val="20"/>
          <w:szCs w:val="20"/>
        </w:rPr>
        <w:t xml:space="preserve">VO-07/08 (VWAP as signal — same benchmark, different job); RU-13/CR-08 (latency-bound execution domains).</w:t>
      </w:r>
    </w:p>
    <w:p>
      <w:pPr>
        <w:spacing w:after="60" w:line="312"/>
        <w:ind w:left="240"/>
        <w:jc w:val="both"/>
      </w:pPr>
      <w:r>
        <w:rPr>
          <w:rFonts w:ascii="Times New Roman" w:eastAsia="Microsoft YaHei"/>
          <w:b/>
          <w:bCs/>
          <w:color w:val="1A1A1A"/>
          <w:sz w:val="20"/>
          <w:szCs w:val="20"/>
        </w:rPr>
        <w:t xml:space="preserve">Pine implementation:  </w:t>
      </w:r>
      <w:r>
        <w:rPr>
          <w:rFonts w:ascii="Times New Roman" w:eastAsia="Microsoft YaHei"/>
          <w:color w:val="1A1A1A"/>
          <w:sz w:val="20"/>
          <w:szCs w:val="20"/>
        </w:rPr>
        <w:t xml:space="preserve">Logic-only in this glossary (see Appendix C for porting conventions).</w:t>
      </w:r>
    </w:p>
    <w:p>
      <w:pPr>
        <w:pStyle w:val="Heading1"/>
        <w:spacing w:after="200" w:before="400" w:line="380" w:lineRule="atLeast"/>
      </w:pPr>
      <w:bookmarkStart w:name="_Toc21" w:id="21"/>
      <w:r>
        <w:rPr>
          <w:rFonts w:ascii="Times New Roman" w:eastAsia="Microsoft YaHei"/>
          <w:b/>
          <w:bCs/>
          <w:color w:val="1A1A1A"/>
        </w:rPr>
        <w:t xml:space="preserve">Appendices</w:t>
      </w:r>
      <w:bookmarkEnd w:id="21"/>
    </w:p>
    <w:p>
      <w:pPr>
        <w:pStyle w:val="Heading2"/>
        <w:spacing w:after="160" w:before="320" w:line="340" w:lineRule="atLeast"/>
      </w:pPr>
      <w:bookmarkStart w:name="_Toc22" w:id="22"/>
      <w:r>
        <w:rPr>
          <w:rFonts w:ascii="Times New Roman" w:eastAsia="Microsoft YaHei"/>
          <w:b/>
          <w:bCs/>
          <w:color w:val="1A1A1A"/>
        </w:rPr>
        <w:t xml:space="preserve">Appendix A — Deduplication Map</w:t>
      </w:r>
      <w:bookmarkEnd w:id="22"/>
    </w:p>
    <w:p>
      <w:pPr>
        <w:spacing w:after="120" w:line="312"/>
        <w:jc w:val="both"/>
      </w:pPr>
      <w:r>
        <w:rPr>
          <w:rFonts w:ascii="Times New Roman" w:eastAsia="Microsoft YaHei"/>
          <w:color w:val="1A1A1A"/>
          <w:sz w:val="22"/>
          <w:szCs w:val="22"/>
        </w:rPr>
        <w:t xml:space="preserve">The table lists each canonical entry and the duplicate/alias variants encountered in the survey that were collapsed into it. This is the mechanical output of deduplication rule (1) in Section 1.2: same mechanism, different name, language, or packaging. Entries absent from this table are either genuinely unique (most of the China and Russia/CIS families) or appeared in the survey without notable aliasing.</w:t>
      </w:r>
    </w:p>
    <w:p>
      <w:pPr>
        <w:keepNext/>
        <w:spacing w:after="80" w:before="120" w:line="312"/>
      </w:pPr>
      <w:r>
        <w:rPr>
          <w:rFonts w:ascii="Times New Roman" w:eastAsia="Microsoft YaHei"/>
          <w:b/>
          <w:bCs/>
          <w:color w:val="6E6E6E"/>
          <w:sz w:val="20"/>
          <w:szCs w:val="20"/>
        </w:rPr>
        <w:t xml:space="preserve">Table 2. Canonical entries and the duplicates eliminated (189 entries with recorded aliases)</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2636"/>
        <w:gridCol w:w="6152"/>
      </w:tblGrid>
      <w:tr>
        <w:trPr>
          <w:cantSplit/>
          <w:tblHeader/>
        </w:trPr>
        <w:tc>
          <w:tcPr>
            <w:tcW w:type="pct" w:w="15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Canonical entry</w:t>
            </w:r>
          </w:p>
        </w:tc>
        <w:tc>
          <w:tcPr>
            <w:tcW w:type="pct" w:w="35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Duplicates / aliases eliminated</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TR-01 · Donchian Channel Breakout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Turtle S1/S2; CN 海龟策略 templates (JoinQuant, myquant.cn); RU «Пробой канала» robots; vn.py TurtleSignalStrategy.</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TR-02 · Turtle Trading System (S1/S2)</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海龟交易法则 implementations on JoinQuant/BigQuant/vn.py (TurtleSignalStrategy); RU «Система Черепах» on Si/RTS futures; original Turtle Rules PDF archive.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TR-03 · Dual Moving Average Crossover (Golden Cross)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双均线策略 (JoinQuant/myquant default demo, DoubleMaStrategy in vn.py); RU «Пересечение SMA 50/200»; MQL5 CodeBase MA-cross EAs.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TR-04 · Granville Eight Rules of Moving Averages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JoinQuant 双均线-格兰维交易 strategy; CN 移动平均线战法 variants; RU «Правила Гранвиля» tutorials (no separate robot).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TR-05 · MACD Trend and Histogram System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MACD+EMA combos in MQL5 CodeBase; CN MACD背离战法; vn.py MACD demo strategies.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TR-06 · Parabolic SAR Flip System</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PSAR+EMA200+MACD signal packs (multiple GitHub repos); CN SAR跟踪策略; RU «Параболик» robots.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TR-07 · ADX/DMI Trend Filter System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ADX gates inside CN CTA templates (文华/TB); RU «ADX-фильтр» modules; generic MT4 ADX EAs.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TR-08 · SuperTrend</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超级趋势 (JoinQuant/文华); RU «Супертренд» TradingView scripts; countless 'ST + filter' hybrids on MQL5.</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TR-09 · UT Bot Alerts (ATR Trailing Stop on Close)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Original 'ATR Trailing Stops' scripts (R	thomson bands, 2018); RU 'Универсальный трейлинг' packs; UT Bot + EMA 200 variants (QuantNomad).</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TR-10 · Chandelier Exit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ATR Trailing Stops (Wilders-based); 'QQE trailing' variants; CN 吊灯止损 modules in CTA templates.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TR-11 · Ichimoku Kinko Hyo</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一目均衡表 strategy packs; RU Ишимоку school variants (see RU-10); MT4 Ichimoku EAs.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TR-12 · Kaufman Adaptive Moving Average (KAMA)</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KAMA modules in CN CTA kits (文华/TB); RU «АМА Кауфмана» robots; KAMA+filter packs on MQL5.</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TR-13 · VIDYA (Variable Index Dynamic Average)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VIDYA in MetaStock/AmiBroker libraries (the 1990s archive era); MT4 VIDYA indicators; RU VIDYA forks.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TR-14 · FRAMA (Fractal Adaptive Moving Average)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FRAMA ports in TASC Traders' Tips archive; MT4/MT5 FRAMA; CN 分形均线 experiments.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TR-15 · Guppy Multiple Moving Averages (GMMA)</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顾比均线 templates (通达信/同花顺 formulas); RU «Вееры Ганна/Гаппи» ribbon packs.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TR-16 · Heikin-Ashi Trend Flip</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HA smoothing packs (every platform); CN Heikin-Ashi策略; RU «Хейкин Аши» scalping variants.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TR-17 · Time-Series Momentum (TSMOM)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Cross-sectional momentum (ST-04); CTA trend replication funds; CN 商品CTA趋势 replication research.</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TR-18 · CANSLIM Momentum / Leading-Stock Playbook</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IBD-style screeners; CN 龙头战法 (structurally similar); RU «рост на лидерах» screeners.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MR-01 · Connors RSI(2) Pullback</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RSI(3)/RSI(4) variants; CN 短线超卖反弹 templates; RU 'RSI отскок' MT4 robots.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MR-02 · Bollinger Band Reversion (%B Fade)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布林带下轨抄底 (ETF/股票); RU «торговля от границ Боллинджера»; Bollinger %B factor research.</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MR-03 · Double 7s / 3-Day High-Low Pullback</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3-Day High/Low; 'TFSE' Connors variants; CN 七日新低反弹 scripts.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MR-04 · Keltner Channel Pullback</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vn.py KingKeltnerStrategy (breakout form, cross-ref BK-13); CN 肯特纳通道 scripts; RU каналы Кельтнера.</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MR-05 · TTM Squeeze / Squeeze Momentum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Squeeze Momentum Indicator [LazyBear]; Squeeze Pro (LuxAlgo, cross-ref BK-11); CN 布林收口战法; RU «сжатие волатильности» scripts.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MR-06 · QQE (Qualitative Quantitative Estimation)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QQE MOD (Glaz, Mihkel00 ports); RU QQE-форекс советники; CN QQE+MACD hybrids.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MR-07 · WaveTrend Oscillator</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WaveTrend [WT] (LazyBear); SJ WaveTrend and dozens of forks; CN WT+VWAP scalping dashboards; RU WaveTrend forks on MQL5.</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MR-08 · Fisher Transform Reversal</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Fisher in Ehlers' book suite (Cybernetic Analysis, 2002); MT4/MT5 Fisher; CN 费雪指标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MR-09 · RSI Regular Divergence System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Hidden divergence variants; CN MACD/RSI背离战法; RU 'дивергенция' robots on MQL5.</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MR-10 · Stochastic Oversold System</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«Стохастик + RSI» комбо-роботы; CN KDJ战法 (the CN KDJ is a stochastic variant); MT4 stochastic packs.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MR-11 · Pivot Point Reversion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分时均线/枢轴 strategies; RU 'пивот-уровни' robots; every MT4 pivot indicator pack.</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MR-12 · Intraday VWAP Mean Reversion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分时VWAP回归; RU «откат к VWAP» скрипты; every VWAP-bands pack on TradingView.</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MR-13 · Z-Score Spread Reversion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«Z-score роботы»; CN 标准化偏离策略; Pairs-trading single-leg approximations.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MR-14 · Williams %R Fade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%R-роботы; CN 威廉指标战法; bundled in every platform's default indicator set.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MR-15 · Money-Flow Reversion (CMF/MFI)</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资金流指标策略; RU «денежный поток» индикаторные системы; OBV-family hybrids (cross VO-02).</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BK-01 · Opening Range Breakout (ORB)</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开盘区间突破 (股票/股指); RU «Пробой открытия» intraday robots; ICT opening-range variants (cross PA-09).</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BK-02 · Narrow Range 7 / Inside Day Patterns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窄幅整理突破; RU 'узкий диапазон' scripts; ID/NR4 variants.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BK-03 · Volatility Contraction Pattern (VCP)</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Minervini scan packs; Qullamägi EP/gap momentum (cousin); CN 强势股缩量整理突破.</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BK-04 · Darvas Box</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箱体突破; RU «Метод Дарваса»; box-drawing scripts across all platforms.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BK-05 · Bill Williams Alligator + Fractals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«Аллигатор Вильямса» robots (enormous MQL4/5 corpus); CN 鳄鱼线战法; Awesome/AC oscillator combos (BK-06).</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BK-06 · Awesome Oscillator / Accelerator System</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«Система Билла Вильямса» full-suite robots; CN AO/AC战法; MACD-equivalent logic (cross TR-05).</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BK-07 · Aroon Breakout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Aroon cross robots on MQL5; CN 阿隆指标 templates.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BK-08 · Range Breakout with Volume Surge (放量突破)</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BK-09 consolidation breakout; RU «пробой с объёмом»; OBV/CMF breakout hybrids.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BK-09 · Consolidation Box Breakout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平台突破/整理突破; RU «пробой консолидации»; Darvas and NR7 (same mechanism).</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BK-10 · Gap Playbook (Fade / Continue)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缺口回补策略; RU гэп-роботы; ORB gap variants (cross BK-01).</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BK-11 · Squeeze Pro / Multi-Threshold Squeeze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TTM Squeeze (MR-05) as the parent; LazyBear Hi-Lo squeezes; CN 多档收口实验性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BK-12 · High-of-Day Break &amp; Retest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日内新高策略; RU intraday HOD scripts; IB opening-drive variants.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BK-13 · Volatility Expansion Breakout (Keltner/ATR form)</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vn.py KingKeltnerStrategy; CN 肯特纳突破 CTA templates; RU канальные пробойные роботы.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PA-01 · Wyckoff Accumulation/Distribution &amp; Spring (V-Hook)</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Wyckoff [theUltimator5] schematic indicator; CN 威科夫吸筹 materials; RU Вайкофф course translations; Linda Raschke's Turtle Soup (PA-10) is the fade-cousin; this workspace's V-Hook agent is a direct implementation.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PA-02 · Effort vs Result / Composite Operator Reading</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VSA (VO-01) is the formalized descendant; CN 量价背离 reading; RU «усилие-результат» school.</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PA-03 · Pin Bar / Hammer Rejection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«пинбар» schools (every RU PA course); CN 长下影/锤子线战法; hammer/shooting-star mechanical scripts.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PA-04 · Engulfing &amp; Inside-Bar Momentum Patterns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MT4 engulfing EAs; CN 阳包阴战法; RU «поглощение» robots.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PA-05 · Al Brooks Bar-by-Bar Price Action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Brooks-method scan scripts; RU «бар-за баром» translations; second-entry fan implementations.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PA-06 · Fakey / False-Breakout Inside-Bar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Turtle Soup (PA-10); stop-run/'spoofy' scripts; RU «ложный пробой»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PA-07 · Supply &amp; Demand Zones (Set-and-Forget)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Order block overlaps (PA-08); CN 供需区域 scripts; RU «зоны спроса/предложения» packs.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PA-08 · Smart Money Concepts (BOS / CHoCH / Order Blocks / FVG)</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LuxAlgo SMC [ML] and dozens of forks; ICT order-block scripts; CN 主力结构 (SMART概念) scripts; RU SMC переводы — the framework is one concept despite hundreds of branded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PA-09 · ICT Kill Zones, Silver Bullet &amp; Time-Based Liquidity</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ICT concepts scripts (dozens); PA-08 SMC (shared vocabulary); SE-01 Asia-range sweep (shared mechanism).</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PA-10 · Turtle Soup / Fake Breakout Fade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Fakey (PA-06); 'stop hunt fade' scripts; CN 假突破反打.</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PA-11 · Harmonic Patterns (Gartley / Bat / Butterfly / AB=CD)</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Pesavento vs Carney naming disputes (same patterns); RU «Гартли/летучая мышь» packs; CN 谐波形态 scripts.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PA-12 · Elliott Wave (Mechanized Approaches)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Эллиотт-школы (large following); CN 波浪理论 automated drafts; every 'EW auto-count' indicator.</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PA-13 · Wolfe Waves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Wolfe Wave scripts on MQL5/TradingView; RU «волны Вольфа» robots.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PA-14 · Classical Reversal Patterns Automated (Double Top, H&amp;S)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双头双底/头肩顶 scripts; RU «голова-плечи» роботы; every platform's built-in pattern detection.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PA-15 · Trendline &amp; Channel Break Automation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«пробой трендовой» роботы; CN 趋势线突破 scripts; linreg channel packs.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PA-16 · Round Numbers / Psychological Levels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整数关口战法; RU «круглые цифры» robots; FX 'big figure' trading.</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IH-01 · MESA Adaptive MA (MAMA / FAMA)</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MAMA/FAMA ports (TradeStation-&gt;MT4-&gt;Pine); CN 自适应均线 experiments.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IH-02 · Instantaneous Trendline &amp; Sine Wave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Ehlers book-code ports; MT4/MT5 Hilbert suites.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IH-03 · Cyber Cycle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Ports in the Ehlers TASC archive; CN 循环指标 experiments.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IH-04 · Ehlers SuperSmoother / Roofing Filter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SuperSmoother ports everywhere; CN 超平滑滤波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IH-05 · Vortex Indicator</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Vortex packs on all platforms; CN 涡流指标; RU Вортекс robots.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IH-06 · True Strength Index (TSI)</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TSI packs everywhere; CN TSI策略; RU TSI форекс-роботы.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IH-07 · Schaff Trend Cycle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STC ports across MT4/MT5/Pine; CN STC experiments.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IH-08 · Connors RSI (Composite)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CRSI packs; CN 复合RSI; RU CRSI-роботы.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IH-09 · Stochastic RSI</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Everywhere; CN KDJ-of-RSI variants; RU stochRSI скальпинг packs.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IH-10 · Commodity Channel Index Systems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CCI战法; RU CCI-советники; Woodie CCI variant (distinct calc, same idea).</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IH-11 · Chande Momentum Oscillator</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CMO in MetaStock-era libraries; CN CMO模板.</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IH-12 · Ultimate Oscillator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UO packs; CN 终极指标; RU UO-роботы.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IH-13 · Long-Cycle Momentum Composites (KST / Coppock)</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Coppock screeners; RU «кривая Коппока» long-term followers.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IH-14 · Detrended Price Oscillator &amp; Cycle Projection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Bressert cycle tools; CN DPO周期模板; RU цикловый анализ.</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VO-01 · Volume Spread Analysis (VSA)</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VSA scripts (dozens of packs); CN 量价分析 school; RU VSA-сообщество (Smart-Lab's volume tradition); Wyckoff bar-reading (PA-02).</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VO-02 · On-Balance Volume Divergence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OBV in every platform; CN 能量潮战法; RU OBV-роботы; CMF/ADL cousins (MR-15).</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VO-03 · Chaikin Money Flow / Accumulation-Distribution Line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ADL/CMF packs; CN CMF资金流策略; RU CMF-роботы.</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VO-04 · Money Flow Index</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MFI everywhere; CN MFI资金策略; RU MFI-скрипты.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VO-05 · Volume Profile Nodes (HVN/LVN/POC)</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Volume profile packs (LuxAlgo, multiple); CN 成交量分布策略; RU объёмный профиль community.</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VO-06 · Market Profile TPO (Steidlmayer)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TPO chart packs; RU аукционная теория followers; CN 市场轮廓 study groups.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VO-07 · VWAP Deviation Bands (Execution-Grade)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VWAP band packs; CN VWAP通道; RU VWAP-стратегии; anchored-VWAP variants (VO-08).</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VO-08 · Anchored VWAP (AVWAP)</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AVWAP packs (Shannon-affiliated and clones); CN 锚定VWAP; RU якорный VWAP.</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VO-09 · Cumulative Delta Divergence (CVD)</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CVD packs; CN 订单流/德尔塔 scripts; RU дельта-анализ (footprint communities).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VO-10 · Klinger Volume Oscillator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KVO packs; CN KVO指标; RU Klinger robots.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VO-11 · Ease of Movement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EMV in classic libraries; CN EMV模板.</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VO-12 · Volume-Weighted Momentum Breakout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BK-08; VO-02/03 combos; RU «пробой с потоком» scripts.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SE-01 · Asia Range Sweep &amp; London Reversal</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ICT Judas swing (PA-09); RU «съём лоув/хай Азии» scripts; CN 亚盘区间策略.</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SE-02 · London Breakout («Лондонский взрыв»)</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«Пробой утреннего флэта» (RU-09, same mechanism on MOEX hours); CN 伦敦突破; every MT4 London-bot.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SE-03 · NY Open Momentum (10:00 Rule)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IB/ORB variants (BK-01); CN 美股开盘策略; RU «Нью-Йорк открытие» bots.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SE-04 · Overnight vs Intraday Edge (Tug of War)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Buy-the-close-sell-the-open papers; CN 隔夜效应研究; RU овернайт-стратегии on SPB panel.</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SE-05 · Turn-of-Month / Turn-of-Quarter Effect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TOQ/TOY variants; CN 月末效应研究; RU месячные окна стратегии.</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SE-06 · Sell in May / Halloween Indicator</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Seasonal rotation ETF strategies; CN 五穷六绝七翻身 folklore systematized; RU сезонность studies.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SE-07 · Pre-FOMC Announcement Drift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ECB/pre-announcement drift follow-up studies; CN 美联储会议策略; RU пред-FOMC стратегии.</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SE-08 · Hour-of-Day Volatility Breakout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Session-filter modules in CN/RU robots; ICT kill zones (PA-09) overlap.</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SE-09 · Crypto Weekend &amp; Funding Window Effects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Funding-window bots; CN 周末行情策略; RU крипто-сезонность notes.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GR-01 · Classic Spot Grid Bot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网格交易 (myquant/JoinQuant templates, E大网格体系); RU «сеточные роботы» (Binance/Bybit RU marketplaces); every Pionex/3Commas preset.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GR-02 · Martingale / Averaging-Down Systems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Ilan 1.6/2.0 &amp; Apocalypse (RU-02); CN 马丁/扛单 systems; every 'recovery zone' EA on MQL5 market.</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GR-03 · Anti-Martingale Pyramiding</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Turtle pyramiding (TR-02); trend-add modules in CN CTA kits; RU «доливка по тренду» practice.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GR-04 · DCA &amp; Smart DCA Bots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 基金定投+止盈体系; RU T-Bank auto-invest strategies; 3Commas DCA presets.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GR-05 · Fibonacci Grid</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 «сетка по Фибо» robots; CN 斐波那契网格 experiments; MT4 Fibo-grid EAs.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GR-06 · ATR-Adaptive Grid</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Volatility-grid presets in bot marketplaces; CN 自适应网格研究; RU адаптивные сетки.</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GR-07 · Portfolio Rebalancing Bot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Shannon's demon writeups; BitUniverse battles; CN 定投再平衡 hybrids; RU ребалансировка боты.</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CN-01 · Chan Theory (缠论): Fractals, Pens, Pivots &amp; Three Buy/Sell Points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czsc (waditu/czsc — 200+ signal functions, Rust core); chanlun-pro (gaoxiaojun) with JoinQuant/Broker adapters; 缠论 indicator packs on 通达信; no western equivalent (pivot-breakout SMC is a loose cousin).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CN-02 · Limit-Up Board Tactics (打板：首板/连板/接力)</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Every A-share 打板 screener (同花顺/通达信 formulas); BigQuant limit-up factors; not replicable on unlimited markets (the limit IS the edge).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CN-03 · Limit-Up Pullback Re-entry (涨停回马枪)</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回踩战法 variants; 强势股回调买入 templates; TDX 回马枪 formulas (same pattern).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CN-04 · Dragon-Head Leading-Stock Tactics (龙头战法)</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CANSLIM (TR-18) structural cousin; CN 主升浪战法; 打板 (CN-02) entry mechanics.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CN-05 · Sentiment Cycle Model (情绪周期)</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连板高度 monitoring dashboards; BigQuant sentiment factors; no direct western analog (closest: breadth-thrust regime models).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CN-06 · Chip Distribution (筹码分布 / CYQ)</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CYQ/SCR indicator clones; 筹码峰 formulas in TDX; volume-profile (VO-05) is the western statistical cousin.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CN-07 · Dragon-Tiger List Following (龙虎榜跟随)</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席位跟踪 dashboards (问财/开盘啦); not portable without disclosure data.</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CN-08 · Northbound Capital Following (北向资金跟随)</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北向资金实时 tracking tools (pre-2024); 外资流入 strategies on JoinQuant/BigQuant.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CN-09 · Margin Balance Sentiment (融资融券情绪)</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两融数据 factor studies (华泰金工 reports); platform sentiment factors.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CN-10 · Double-Low Convertible Bonds (双低可转债)</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集思录轮动 dashboards; 双低 variants (低价/低溢价 separable); CB wheel strategies.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CN-11 · Large/Small-Cap Rotation (大小盘轮动)</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行业轮动 (CN-12) at sector scale; global size-factor rotation (ST-04/05).</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CN-12 · Sector Rotation (行业轮动)</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 cross-sectional momentum (same mechanism); US sector-rotation literature.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CN-13 · Index Enhancement (指数增强)</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ST-08/09 factor overlays; global 'index-plus' products.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CN-14 · Alpha Strategy with Index-Futures Hedge (阿尔法策略)</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 statistical arb at index level; global 130/30 and market-neutral funds.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CN-15 · Multi-Factor Stock Selection (多因子选股)</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ST-04..ST-11 factor entries (the global canon of the same idea); WorldQuant 101 Alphas (ST-10).</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CN-16 · MA Convergence Breakout (均线粘合突破)</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BK-09 box breakout (same coiling mechanism); CN 平台突破 with MA flavor.</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CN-17 · N-Structure Tactics (N字战法)</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PA-05 Brooks H1/H2; flag patterns; 缠论笔结构 (CN-01) at coarser granularity.</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CN-18 · Rising Pullback System (上升回档)</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MR-04 Keltner pullback; CN 波段王 (CN-20) overlap.</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CN-19 · Main-Force Accumulation Tracking (主力吸筹跟踪)</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PA-01/PA-02 Wyckoff; VO-03 CMF accumulation reads; CN-06 chip distribution confirmation.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CN-20 · Swing Band System (波段操作 / 波段王)</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MR-04/BK-13 Keltner forms; CN-18 rising pullback (same anatomy).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CN-21 · Intraday T+0 Around Base Position (底仓做T)</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VO-07/SE-08 intraday shells; CN-13 enhancement module.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CN-22 · Call-Auction &amp; Tail-Session Tactics (集合竞价/尾盘战法)</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SE-03 open-momentum logic; CN-02 continuation boards.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CN-23 · Calendar Spread Arbitrage (跨期套利)</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ST-01/02 stat-arb machinery; CN-24/25 sibling arb forms.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CN-24 · Cross-Commodity Spreads (跨品种套利)</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 pairs (statistical form); RU Brent-Urals (RU-12) — same construct, different commodities.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CN-25 · Futures-Cash Basis Arbitrage (期现套利)</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ST-16 roll yield (related mechanics); global index-arb literature.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CN-26 · Valuation-Band Rotation (估值分位轮动)</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CN-11 rotation (momentum flavor); global value-timing research; GR-04 smart DCA anchors.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RU-01 · Elder's Triple Screen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Countless RU/EN course versions; HTF-filter trend-pullback hybrids globally; SafeZone stops are Elder's exit companion (RU-04).</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RU-02 · Ilan Family (RSI + CCI Martingale Advisors)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GR-02 martingale (the mechanism); 'Apocalypse' and every Ilan fork; CN 扛单 systems (same geometry).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RU-03 · Sniper Method («Снайпер», Дмитриев / Байнов)</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PA-07 supply/demand zones; «Мясо» (parent system); RU Sniper X derivatives.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RU-04 · Elder SafeZone Stops &amp; Elder Ray</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Chandelier exit (TR-10) — same adaptive-stop family; ATR-trail systems.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RU-05 · Order-Book (Стакан) Scalping on MOEX Futures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VO-09 CVD (Pine proxy of the same information); HFT spoofing-detection literature.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RU-06 · Synthetic Bond Arbitrage («SyntheticBondsArbitrage»)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ST-16 roll-yield; CR-02 cash-and-carry; RU-12 spread family.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RU-07 · Dividend-Gap Trading (Дивидендный гэп)</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BK-10 gap playbook (general form); CN 分红除权 practices (structurally similar, different regime).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RU-08 · Pairs Trading on MOEX Equities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ST-01/ST-03 (the general mechanism); CN-24 cross-commodity analog.</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RU-09 · Morning Flat Breakout («Пробой утреннего флэта»)</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SE-02 London breakout (same mechanism); BK-01 ORB (session-open family).</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RU-10 · Russian Ichimoku Schools (Ишимоку-школы)</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TR-11 Ichimoku (the parent); RU/UA course forks.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RU-11 · Automated Fibonacci Level Robots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GR-05 Fibonacci grid (the averaging form); RU-03 Sniper (level-logic cousin).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RU-12 · Brent-Urals &amp; Calendar Spread Trading (TSLab)</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CN-24 cross-commodity spreads; ST-01/02 stat-arb; RU-06 synthetic bonds (rate-spread cousin).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RU-13 · Book + Tape Hybrid (Стакан + Лента) Automation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RU-05 (manual form); VO-09 (Pine proxy); HFT microstructure literature.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RU-14 · Smart-Lab Community Trend Robots (Si/RTS)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TR-01/TR-02 (mechanism parents); RU-09 (session variant).</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RU-15 · T-Bank Community Auto-Strategies (Tinkoff API era)</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GR-04 DCA; GR-07 rebalancing (mechanisms); RU-07 dividend calendar integration.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RU-16 · Academic Quant Lineage (ВШЭ / МФТИ factor studies)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ST-04..ST-11 (the global canon it replicates); CN-15 (the CN counterpart lineage).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 · Pairs Trading (Distance Method)</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RU-08 MOEX pairs; CN-24 commodity spreads; RU «парный трейдинг» community (mechanism identical).</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ST-02 · Statistical Arbitrage (Avellaneda-Lee)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 (simplified ancestor); institutional stat-desk literature.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ST-03 · Kalman-Filter Hedge Ratio (Dynamic Pairs)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ST-01/02 implementations; RU Kalman-пары threads.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 · Cross-Sectional Momentum (Jegadeesh-Titman)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CN-12/CN-15 (CN implementations); TR-17 TSMOM (time-series form); RU-16 (MOEX replication).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ST-05 · Value Factor (HML) &amp; Value-Momentum Combination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CN-26 (valuation timing); ST-09 quality-value hybrids; global smart-beta products.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ST-06 · FX Carry Trade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CR-01 crypto funding carry (the perp analog); ST-16 commodity carry.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ST-07 · Low-Volatility Anomaly</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ST-08 BAB (leverage-neutrality framing); min-variance portfolios; RU-16 replication.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ST-08 · Betting Against Beta (BAB)</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ST-07 (the unlevered view); global smart-beta funds.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ST-09 · Quality / Profitability Factor (QMJ)</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ST-05 (value pairing); Piotroski F-Score screens (cousin); CN-15 factor suite.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ST-10 · WorldQuant 101 Formulaic Alphas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CN-15 (the CN platform implementations); BRAIN community alphas; DolphinDB 101-alpha ports.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ST-11 · The Factor Zoo &amp; Multiple-Testing Corrections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ST-04..10 (the zoo's residents); CN-15/RU-16 (regional replications).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ST-12 · COT Positioning Strategies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Positioning analytics vendors; RU «отчёты COT» study groups; crypto COT-era analogs (BTC futures).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ST-13 · Dispersion Trading (Index vs Constituents)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VRP (ST-14) at index level; dispersion desks' literature.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ST-14 · Volatility Risk Premium Harvesting</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ST-13 (correlation cousin); SE-07 (event-calendar de-risking).</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ST-15 · Gamma Scalping (Long-Gamma Rebalancing)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ST-14 (the short side); dealer-flow research notes.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ST-16 · Commodity Roll Yield / Contango Harvest</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ST-06 carry; RU-06 synthetic bonds (financing-rate analog); CN-25 basis arb.</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ST-17 · Risk Parity &amp; Volatility Targeting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ST-07/08 (risk-based tilts); GR-07 rebalancing (the retail cousin).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ST-18 · Commodity Seasonality</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SE-05/06 (equity seasonality); RU grain-market seasonal notes; CN 农产品季节性 studies.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CR-01 · Funding-Rate Arbitrage (Delta-Neutral Carry)</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ST-06 carry (the general form); CR-02 (dated-futures version).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CR-02 · Cash-and-Carry / Futures Basis Trade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CR-01 (perp version); ST-16 (commodity roll analog); CN-25 (CN index-futures version).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CR-03 · Liquidation-Cascade Fade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PA-01 spring (mechanism); VO-09 delta flush (informational cousin).</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CR-04 · Open-Interest Regime Model (OI + Price Matrix)</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VO-12 volume-confirmed breakout (tradfi analog); CR-03 (event special case).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CR-05 · On-Chain Whale &amp; Flow Following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CN-07/08 (flow-copy logic in tradfi clothes); VO order-flow family.</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CR-06 · BTC Dominance / Altcoin Rotation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CN-11 cap rotation (tradfi analog); TR-17 momentum machinery.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CR-07 · Crypto Volatility Breakout (Donchian + Funding Filter)</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TR-01/TR-02 (parents); SE-09 (session overlays); RU/CN crypto-bot presets.</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CR-08 · Triangular Arbitrage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CR-11 (cross-venue variant); RU-13 (latency-bound scalping lessons).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CR-09 · DeFi Concentrated Liquidity Market-Making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GR-01 grid (the AMM is a grid at heart); VO order-flow family (inventory logic).</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CR-10 · MEV Extraction (Sandwich / Backrun) — Documented, Not Endorsed</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CR-08 (latency family); regulatory grey-zone literature.</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CR-11 · Cross-Exchange Latency Arbitrage</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CR-08 (same-latency family); CN-era '搬砖' (brick-moving) practice — the CN name for exactly this trade.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ML-01 · Gradient-Boosted Factor Models (XGBoost/LightGBM Alpha)</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CN-15 (the linear factor parent); ST-10 (expression-alphas as features); JoinQuant ML templates.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ML-02 · LSTM / Sequence Models for Direction</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ML-01 (tabular vs sequence); transformer-era successors (2021+).</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ML-03 · Reinforcement Learning Portfolios (FinRL lineage)</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ML-01/02 (supervised relatives); execution-RL literature (child domain).</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ML-04 · HMM Regime Switching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SE-08 (calendar regimes); TR-07 ADX gates (the indicator-flavored ancestor).</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ML-05 · NLP Sentiment &amp; News Trading</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CN-05 (sentiment regime cousin); ST-04 (momentum on information flow).</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ML-06 · Genetic Algorithms &amp; Parameter Search</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ML-07 (the evaluation discipline); RU «генетический оптимизатор» MT4 heritage.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ML-07 · Walk-Forward, Deflated Sharpe &amp; Overfitting Control</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ML-06 (the search it disciplines); postcheck for every CN/RU platform strategy.</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RX-01 · Fixed Fractional / Percent-Risk Sizing</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TR-02 Turtle units (the volatility-normalized ancestor); every platform's default sizing.</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RX-02 · Kelly &amp; Half-Kelly Criterion</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RX-01 (the practical constrained form); prop-firm sizing policies.</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RX-03 · Volatility-Targeted Sizing (ATR Units)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TR-02/TR-17 (the parents); ST-17 (portfolio level).</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RX-04 · Portfolio Heat &amp; Correlation Limits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RX-01/03 (per-trade forms); ST-17 (allocation form).</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RX-05 · Breakeven Ratchet &amp; Scale-Out Exits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TR-10 trailing stops (the pure trail); GR-03 pyramids' exit side.</w:t>
            </w:r>
          </w:p>
        </w:tc>
      </w:tr>
      <w:tr>
        <w:trPr>
          <w:cantSplit/>
        </w:trPr>
        <w:tc>
          <w:tcPr>
            <w:tcW w:type="pct" w:w="1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RX-06 · Time Stops &amp; Opportunity-Cost Exits</w:t>
            </w:r>
          </w:p>
        </w:tc>
        <w:tc>
          <w:tcPr>
            <w:tcW w:type="pct" w:w="35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CN-02 board time-stop; BK-01 session-flat rule (time stop by clock).</w:t>
            </w:r>
          </w:p>
        </w:tc>
      </w:tr>
      <w:tr>
        <w:trPr>
          <w:cantSplit/>
        </w:trPr>
        <w:tc>
          <w:tcPr>
            <w:tcW w:type="pct" w:w="1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RX-07 · Execution Algorithms (TWAP / VWAP / POV) &amp; Slippage Budgets</w:t>
            </w:r>
          </w:p>
        </w:tc>
        <w:tc>
          <w:tcPr>
            <w:tcW w:type="pct" w:w="35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VO-07/08 (VWAP as signal — same benchmark, different job); RU-13/CR-08 (latency-bound execution domains).</w:t>
            </w:r>
          </w:p>
        </w:tc>
      </w:tr>
    </w:tbl>
    <w:p>
      <w:pPr>
        <w:pStyle w:val="Heading2"/>
        <w:spacing w:after="160" w:before="320" w:line="340" w:lineRule="atLeast"/>
      </w:pPr>
      <w:bookmarkStart w:name="_Toc23" w:id="23"/>
      <w:r>
        <w:rPr>
          <w:rFonts w:ascii="Times New Roman" w:eastAsia="Microsoft YaHei"/>
          <w:b/>
          <w:bCs/>
          <w:color w:val="1A1A1A"/>
        </w:rPr>
        <w:t xml:space="preserve">Appendix B — Source and Archive Inventory</w:t>
      </w:r>
      <w:bookmarkEnd w:id="23"/>
    </w:p>
    <w:p>
      <w:pPr>
        <w:spacing w:after="120" w:line="312"/>
        <w:jc w:val="both"/>
      </w:pPr>
      <w:r>
        <w:rPr>
          <w:rFonts w:ascii="Times New Roman" w:eastAsia="Microsoft YaHei"/>
          <w:color w:val="1A1A1A"/>
          <w:sz w:val="22"/>
          <w:szCs w:val="22"/>
        </w:rPr>
        <w:t xml:space="preserve">Sources are grouped by type. Domain-level references are given as top-level domains because deep links rot; all were live during the October 2026 survey window.</w:t>
      </w:r>
    </w:p>
    <w:p>
      <w:pPr>
        <w:keepNext/>
        <w:spacing w:after="80" w:before="120" w:line="312"/>
      </w:pPr>
      <w:r>
        <w:rPr>
          <w:rFonts w:ascii="Times New Roman" w:eastAsia="Microsoft YaHei"/>
          <w:b/>
          <w:bCs/>
          <w:color w:val="6E6E6E"/>
          <w:sz w:val="20"/>
          <w:szCs w:val="20"/>
        </w:rPr>
        <w:t xml:space="preserve">Table 3. Source inventory by category</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1758"/>
        <w:gridCol w:w="3955"/>
        <w:gridCol w:w="3076"/>
      </w:tblGrid>
      <w:tr>
        <w:trPr>
          <w:cantSplit/>
          <w:tblHeader/>
        </w:trPr>
        <w:tc>
          <w:tcPr>
            <w:tcW w:type="pct" w:w="1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Category</w:t>
            </w:r>
          </w:p>
        </w:tc>
        <w:tc>
          <w:tcPr>
            <w:tcW w:type="pct" w:w="225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Representative sources</w:t>
            </w:r>
          </w:p>
        </w:tc>
        <w:tc>
          <w:tcPr>
            <w:tcW w:type="pct" w:w="175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Primary contribution</w:t>
            </w:r>
          </w:p>
        </w:tc>
      </w:tr>
      <w:tr>
        <w:trPr>
          <w:cantSplit/>
        </w:trPr>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Archives &amp; historical collections</w:t>
            </w:r>
          </w:p>
        </w:tc>
        <w:tc>
          <w:tcPr>
            <w:tcW w:type="pct" w:w="22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Original Turtle Rules PDFs and Way of the Turtle (2003-2007 archive); Wyckoff Stock Market Institute course materials; Gartley (1935), Darvas (1960), Wilder (1978), Crabel (1990) early editions; TASC Traders' Tips archive (technical.traders.com)</w:t>
            </w:r>
          </w:p>
        </w:tc>
        <w:tc>
          <w:tcPr>
            <w:tcW w:type="pct" w:w="17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Pre-internet canon: Donchian, Turtle, Wyckoff, Gartley, ORB, Wilder's indicator suite</w:t>
            </w:r>
          </w:p>
        </w:tc>
      </w:tr>
      <w:tr>
        <w:trPr>
          <w:cantSplit/>
        </w:trPr>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Academic databases</w:t>
            </w:r>
          </w:p>
        </w:tc>
        <w:tc>
          <w:tcPr>
            <w:tcW w:type="pct" w:w="22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SSRN (papers.ssrn.com); arXiv q-fin (101 Formulaic Alphas: arXiv:1601.00991); NBER (w20592, Harvey-Liu-Zhu); RFS/JF/JFE journals; Federal Reserve staff reports (Lucca-Moench pre-FOMC); CNKI 知网 / Wanfang; HSE/MIPT preprints</w:t>
            </w:r>
          </w:p>
        </w:tc>
        <w:tc>
          <w:tcPr>
            <w:tcW w:type="pct" w:w="17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Factor zoo, momentum/carry/value literature, multiple-testing corrections, calendar anomalies</w:t>
            </w:r>
          </w:p>
        </w:tc>
      </w:tr>
      <w:tr>
        <w:trPr>
          <w:cantSplit/>
        </w:trPr>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Global communities &amp; script libraries</w:t>
            </w:r>
          </w:p>
        </w:tc>
        <w:tc>
          <w:tcPr>
            <w:tcW w:type="pct" w:w="22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TradingView (tradingview.com/scripts, 100k+ publications); LuxAlgo Library; PineCoders; MQL5.com CodeBase (MetaQuotes, RU-rooted); ForexFactory; forex-station; NexusFi/Elite Trader; QuantConnect forums; GitHub strategy collections (PineTS, script bundles)</w:t>
            </w:r>
          </w:p>
        </w:tc>
        <w:tc>
          <w:tcPr>
            <w:tcW w:type="pct" w:w="17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UT Bot, QQE mod, WaveTrend, SMC/LuxAlgo Squeeze Pro, TTM Squeeze ports, MT4-era EA corpus</w:t>
            </w:r>
          </w:p>
        </w:tc>
      </w:tr>
      <w:tr>
        <w:trPr>
          <w:cantSplit/>
        </w:trPr>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China platforms &amp; blogs</w:t>
            </w:r>
          </w:p>
        </w:tc>
        <w:tc>
          <w:tcPr>
            <w:tcW w:type="pct" w:w="22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JoinQuant 聚宽; myquant 掘金; BigQuant; Uqer 优矿; vn.py; czsc (waditu/czsc); chanlun-pro; Jisilu 集思录; Xueqiu 雪球; Taoguba 淘股吧; Guorn 果仁网; Zhihu/CSDN quant columns; Huatai 华泰 / Guosheng 国盛 quant-research series; WorldQuant BRAIN CN community</w:t>
            </w:r>
          </w:p>
        </w:tc>
        <w:tc>
          <w:tcPr>
            <w:tcW w:type="pct" w:w="17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Chan theory industrialization, limit-up ecosystem, double-low convertibles, rotation and factor templates, ten canonical strategies canon</w:t>
            </w:r>
          </w:p>
        </w:tc>
      </w:tr>
      <w:tr>
        <w:trPr>
          <w:cantSplit/>
        </w:trPr>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Russia/CIS platforms &amp; blogs</w:t>
            </w:r>
          </w:p>
        </w:tc>
        <w:tc>
          <w:tcPr>
            <w:tcW w:type="pct" w:w="22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Smart-Lab.ru (largest CIS trader community); TSLab (tslab.ru); StockSharp (stocksharp.com); QUIK Lua community (quik.ru); T-Bank/Tinkoff Investments community; MOEX education (moex.com); Finam publications; Gerchik journal; LiteFinance/InstaForex knowledge bases; MQL5 RU blogs</w:t>
            </w:r>
          </w:p>
        </w:tc>
        <w:tc>
          <w:tcPr>
            <w:tcW w:type="pct" w:w="175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Ilan advisor lineage, Sniper method, dividend-gap canon, synthetic-bond arb, DOM-scalping school, Smart-Lab robot archive</w:t>
            </w:r>
          </w:p>
        </w:tc>
      </w:tr>
      <w:tr>
        <w:trPr>
          <w:cantSplit/>
        </w:trPr>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Think tanks &amp; institutional research</w:t>
            </w:r>
          </w:p>
        </w:tc>
        <w:tc>
          <w:tcPr>
            <w:tcW w:type="pct" w:w="22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BIS papers; Federal Reserve Board/NY Fed staff reports; WorldQuant (BRAIN platform); AQR publications; CFTC COT data; exchange research (BitMEX/OKX/Glassnode/CoinMetrics notes); CBOT Market Profile letters (Steidlmayer)</w:t>
            </w:r>
          </w:p>
        </w:tc>
        <w:tc>
          <w:tcPr>
            <w:tcW w:type="pct" w:w="175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Carry/momentum formalization, pre-FOMC drift, funding-rate and on-chain research, auction-theory canon</w:t>
            </w:r>
          </w:p>
        </w:tc>
      </w:tr>
    </w:tbl>
    <w:p>
      <w:pPr>
        <w:pStyle w:val="Heading2"/>
        <w:spacing w:after="160" w:before="320" w:line="340" w:lineRule="atLeast"/>
      </w:pPr>
      <w:bookmarkStart w:name="_Toc24" w:id="24"/>
      <w:r>
        <w:rPr>
          <w:rFonts w:ascii="Times New Roman" w:eastAsia="Microsoft YaHei"/>
          <w:b/>
          <w:bCs/>
          <w:color w:val="1A1A1A"/>
        </w:rPr>
        <w:t xml:space="preserve">Appendix C — Pine Conventions, Statistics, and Disclaimer</w:t>
      </w:r>
      <w:bookmarkEnd w:id="24"/>
    </w:p>
    <w:p>
      <w:pPr>
        <w:spacing w:after="120" w:line="312"/>
        <w:jc w:val="both"/>
      </w:pPr>
      <w:r>
        <w:rPr>
          <w:rFonts w:ascii="Times New Roman" w:eastAsia="Microsoft YaHei"/>
          <w:color w:val="1A1A1A"/>
          <w:sz w:val="22"/>
          <w:szCs w:val="22"/>
        </w:rPr>
        <w:t xml:space="preserve">All Pine listings follow one convention set: Pine Script v5; inputs exposed for every canonical parameter; strategy() for systems with entry/exit rules, indicator() for measurement tools; no request.security beyond documented higher-timeframe filters; and no repainting constructs (signals use closed-bar data; higher-timeframe calls use lookahead_off). Comments inside the code note where an implementation is a condensed or approximated form of the original mechanism — for example the single-symbol proxy of WorldQuant Alpha #1 (ST-10), whose true form requires a cross-sectional universe, or the bar-microstructure delta proxy (VO-09), which approximates tick-level CVD. Code blocks shade their background and use a monospace face at reduced size; they are meant to be read, copied into TradingView, and re-tuned, not trusted blind.</w:t>
      </w:r>
    </w:p>
    <w:p>
      <w:pPr>
        <w:keepNext/>
        <w:spacing w:after="80" w:before="120" w:line="312"/>
      </w:pPr>
      <w:r>
        <w:rPr>
          <w:rFonts w:ascii="Times New Roman" w:eastAsia="Microsoft YaHei"/>
          <w:b/>
          <w:bCs/>
          <w:color w:val="6E6E6E"/>
          <w:sz w:val="20"/>
          <w:szCs w:val="20"/>
        </w:rPr>
        <w:t xml:space="preserve">Table 4. Glossary statistics by family</w:t>
      </w:r>
    </w:p>
    <w:tbl>
      <w:tblPr>
        <w:tblW w:type="pct" w:w="5000"/>
        <w:tblBorders>
          <w:top w:val="single" w:color="C9A84C" w:sz="4"/>
          <w:left w:val="none" w:color="FFFFFF" w:sz="0"/>
          <w:bottom w:val="single" w:color="C9A84C" w:sz="4"/>
          <w:right w:val="none" w:color="FFFFFF" w:sz="0"/>
          <w:insideH w:val="single" w:color="DDD5C0" w:sz="1"/>
          <w:insideV w:val="none" w:color="FFFFFF" w:sz="0"/>
        </w:tblBorders>
      </w:tblPr>
      <w:tblGrid>
        <w:gridCol w:w="5273"/>
        <w:gridCol w:w="1758"/>
        <w:gridCol w:w="1758"/>
      </w:tblGrid>
      <w:tr>
        <w:trPr>
          <w:cantSplit/>
          <w:tblHeader/>
        </w:trPr>
        <w:tc>
          <w:tcPr>
            <w:tcW w:type="pct" w:w="3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Family</w:t>
            </w:r>
          </w:p>
        </w:tc>
        <w:tc>
          <w:tcPr>
            <w:tcW w:type="pct" w:w="1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Entries</w:t>
            </w:r>
          </w:p>
        </w:tc>
        <w:tc>
          <w:tcPr>
            <w:tcW w:type="pct" w:w="1000"/>
            <w:shd w:fill="C9A84C" w:val="clear"/>
            <w:tcMar>
              <w:top w:type="dxa" w:w="60"/>
              <w:left w:type="dxa" w:w="120"/>
              <w:bottom w:type="dxa" w:w="60"/>
              <w:right w:type="dxa" w:w="120"/>
            </w:tcMar>
          </w:tcPr>
          <w:p>
            <w:pPr>
              <w:spacing w:line="276" w:lineRule="atLeast"/>
              <w:jc w:val="left"/>
            </w:pPr>
            <w:r>
              <w:rPr>
                <w:rFonts w:ascii="Times New Roman" w:eastAsia="Microsoft YaHei"/>
                <w:b/>
                <w:bCs/>
                <w:color w:val="1A1A1A"/>
                <w:sz w:val="18"/>
                <w:szCs w:val="18"/>
              </w:rPr>
              <w:t xml:space="preserve">Pine implementations</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A — Trend Following &amp; Momentum (TR)</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18</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12</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B — Mean Reversion &amp; Oscillator Systems (MR)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15</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7</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C — Breakout &amp; Volatility Expansion (BK)</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13</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3</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D — Price Action, Patterns &amp; Smart Money (PA)</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16</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4</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E — Indicator Hybrids &amp; Cycle Tools (IH)</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14</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3</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F — Volume, Order Flow &amp; Market Profile (VO)</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12</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2</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G — Session, Time &amp; Calendar Edges (SE)</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9</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H — Grid, Martingale &amp; Averaging Systems (GR)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7</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2</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I — China-Specific Systems (A-Share &amp; CN Futures) (CN)</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26</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4</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J — Russia/CIS-Specific Systems (RU)</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16</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2</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K — Statistical, Factor &amp; Arbitrage Systems (ST)</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18</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L — Crypto-Native Systems (CR)</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11</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0</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M — Machine Learning &amp; AI Systems (ML)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7</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0</w:t>
            </w:r>
          </w:p>
        </w:tc>
      </w:tr>
      <w:tr>
        <w:trPr>
          <w:cantSplit/>
        </w:trPr>
        <w:tc>
          <w:tcPr>
            <w:tcW w:type="pct" w:w="3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N — Risk, Sizing &amp; Execution (RX)</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7</w:t>
            </w:r>
          </w:p>
        </w:tc>
        <w:tc>
          <w:tcPr>
            <w:tcW w:type="pct" w:w="1000"/>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2</w:t>
            </w:r>
          </w:p>
        </w:tc>
      </w:tr>
      <w:tr>
        <w:trPr>
          <w:cantSplit/>
        </w:trPr>
        <w:tc>
          <w:tcPr>
            <w:tcW w:type="pct" w:w="3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Total</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189</w:t>
            </w:r>
          </w:p>
        </w:tc>
        <w:tc>
          <w:tcPr>
            <w:tcW w:type="pct" w:w="1000"/>
            <w:shd w:fill="F5F2E8" w:val="clear"/>
            <w:tcMar>
              <w:top w:type="dxa" w:w="50"/>
              <w:left w:type="dxa" w:w="120"/>
              <w:bottom w:type="dxa" w:w="50"/>
              <w:right w:type="dxa" w:w="120"/>
            </w:tcMar>
          </w:tcPr>
          <w:p>
            <w:pPr>
              <w:spacing w:line="276" w:lineRule="atLeast"/>
              <w:jc w:val="left"/>
            </w:pPr>
            <w:r>
              <w:rPr>
                <w:rFonts w:ascii="Times New Roman" w:eastAsia="Microsoft YaHei"/>
                <w:b w:val="false"/>
                <w:bCs w:val="false"/>
                <w:color w:val="1A1A1A"/>
                <w:sz w:val="18"/>
                <w:szCs w:val="18"/>
              </w:rPr>
              <w:t xml:space="preserve">43</w:t>
            </w:r>
          </w:p>
        </w:tc>
      </w:tr>
    </w:tbl>
    <w:p>
      <w:pPr>
        <w:spacing w:after="120" w:line="312"/>
        <w:jc w:val="both"/>
      </w:pPr>
      <w:r>
        <w:rPr>
          <w:rFonts w:ascii="Times New Roman" w:eastAsia="Microsoft YaHei"/>
          <w:color w:val="1A1A1A"/>
          <w:sz w:val="22"/>
          <w:szCs w:val="22"/>
        </w:rPr>
        <w:t xml:space="preserve">Disclaimer. This document is a research compilation, not investment advice. Historical documentation of a strategy is not evidence of profitability; most published edges decay after publication, several documented families (martingale averaging, unhedged short-volatility) carry structurally negative tail profiles, and regional systems depend on market microstructure that can change by regulation overnight — as the 2015 CN index-futures restrictions and the 2024 northbound-disclosure cut demonstrated. All code is reference-grade and untested against live data feeds. Verify every system through the evaluation discipline of ML-07 before committing capital, and size according to the risk family (RX) rather than conviction.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color w:val="666666"/>
        <w:sz w:val="18"/>
        <w:szCs w:val="18"/>
      </w:rPr>
      <w:fldChar w:fldCharType="begin"/>
    </w:r>
    <w:r>
      <w:rPr>
        <w:rFonts w:ascii="Times New Roman" w:eastAsia="Microsoft YaHei"/>
        <w:color w:val="666666"/>
        <w:sz w:val="18"/>
        <w:szCs w:val="18"/>
      </w:rPr>
      <w:instrText xml:space="preserve"> PAGE \* ROMAN \* MERGEFORMAT </w:instrText>
    </w:r>
    <w:r>
      <w:rPr>
        <w:rFonts w:ascii="Times New Roman" w:eastAsia="Microsoft YaHei"/>
        <w:color w:val="666666"/>
        <w:sz w:val="18"/>
        <w:szCs w:val="18"/>
      </w:rPr>
      <w:fldChar w:fldCharType="separate"/>
    </w:r>
    <w:r>
      <w:rPr>
        <w:rFonts w:ascii="Times New Roman" w:eastAsia="Microsoft YaHei"/>
        <w:color w:val="666666"/>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Microsoft YaHei"/>
        <w:color w:val="666666"/>
        <w:sz w:val="18"/>
        <w:szCs w:val="18"/>
      </w:rPr>
      <w:fldChar w:fldCharType="begin"/>
    </w:r>
    <w:r>
      <w:rPr>
        <w:rFonts w:ascii="Times New Roman" w:eastAsia="Microsoft YaHei"/>
        <w:color w:val="666666"/>
        <w:sz w:val="18"/>
        <w:szCs w:val="18"/>
      </w:rPr>
      <w:instrText xml:space="preserve"> PAGE \* arabic \* MERGEFORMAT </w:instrText>
    </w:r>
    <w:r>
      <w:rPr>
        <w:rFonts w:ascii="Times New Roman" w:eastAsia="Microsoft YaHei"/>
        <w:color w:val="666666"/>
        <w:sz w:val="18"/>
        <w:szCs w:val="18"/>
      </w:rPr>
      <w:fldChar w:fldCharType="separate"/>
    </w:r>
    <w:r>
      <w:rPr>
        <w:rFonts w:ascii="Times New Roman" w:eastAsia="Microsoft YaHei"/>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Microsoft YaHei"/>
        <w:i/>
        <w:iCs/>
        <w:color w:val="888888"/>
        <w:sz w:val="16"/>
        <w:szCs w:val="16"/>
      </w:rPr>
      <w:t xml:space="preserve">Global Trading Strategy &amp; Pine Script Glossary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Microsoft YaHei"/>
        <w:i/>
        <w:iCs/>
        <w:color w:val="888888"/>
        <w:sz w:val="16"/>
        <w:szCs w:val="16"/>
      </w:rPr>
      <w:t xml:space="preserve">Global Trading Strategy &amp; Pine Script Glossary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1A1A"/>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80"/>
      <w:outlineLvl w:val="0"/>
    </w:pPr>
    <w:rPr>
      <w:rFonts w:ascii="Times New Roman" w:eastAsia="Microsoft YaHei"/>
      <w:b/>
      <w:bCs/>
      <w:color w:val="1A1A1A"/>
      <w:sz w:val="32"/>
      <w:szCs w:val="32"/>
    </w:rPr>
  </w:style>
  <w:style w:type="paragraph" w:styleId="Heading2">
    <w:name w:val="Heading 2"/>
    <w:basedOn w:val="Normal"/>
    <w:next w:val="Normal"/>
    <w:qFormat/>
    <w:pPr>
      <w:spacing w:after="160" w:before="320" w:line="340"/>
      <w:outlineLvl w:val="1"/>
    </w:pPr>
    <w:rPr>
      <w:rFonts w:ascii="Times New Roman" w:eastAsia="Microsoft YaHei"/>
      <w:b/>
      <w:bCs/>
      <w:color w:val="1A1A1A"/>
      <w:sz w:val="28"/>
      <w:szCs w:val="28"/>
    </w:rPr>
  </w:style>
  <w:style w:type="paragraph" w:styleId="Heading3">
    <w:name w:val="Heading 3"/>
    <w:basedOn w:val="Normal"/>
    <w:next w:val="Normal"/>
    <w:qFormat/>
    <w:pPr>
      <w:spacing w:after="80" w:before="280" w:line="320"/>
      <w:outlineLvl w:val="2"/>
    </w:pPr>
    <w:rPr>
      <w:rFonts w:ascii="Times New Roman" w:eastAsia="Microsoft Ya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Trading Strategy &amp; Pine Script Glossary</dc:title>
  <dc:creator>Quantitative Research Compilation</dc:creator>
  <cp:lastModifiedBy>Un-named</cp:lastModifiedBy>
  <cp:revision>1</cp:revision>
  <dcterms:created xsi:type="dcterms:W3CDTF">2026-10-29T16:14:35.726Z</dcterms:created>
  <dcterms:modified xsi:type="dcterms:W3CDTF">2026-10-29T16:14:35.726Z</dcterms:modified>
</cp:coreProperties>
</file>

<file path=docProps/custom.xml><?xml version="1.0" encoding="utf-8"?>
<Properties xmlns="http://schemas.openxmlformats.org/officeDocument/2006/custom-properties" xmlns:vt="http://schemas.openxmlformats.org/officeDocument/2006/docPropsVTypes"/>
</file>