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96681" w14:textId="77777777" w:rsidR="0026117E" w:rsidRPr="007D71EE" w:rsidRDefault="0026117E" w:rsidP="0026117E">
      <w:pPr>
        <w:spacing w:after="0" w:line="240" w:lineRule="auto"/>
        <w:rPr>
          <w:b/>
          <w:sz w:val="32"/>
          <w:szCs w:val="32"/>
          <w:u w:val="single"/>
        </w:rPr>
      </w:pPr>
      <w:bookmarkStart w:id="0" w:name="_GoBack"/>
      <w:bookmarkEnd w:id="0"/>
      <w:proofErr w:type="spellStart"/>
      <w:r w:rsidRPr="007D71EE">
        <w:rPr>
          <w:b/>
          <w:sz w:val="32"/>
          <w:szCs w:val="32"/>
          <w:u w:val="single"/>
        </w:rPr>
        <w:t>Etravirine</w:t>
      </w:r>
      <w:proofErr w:type="spellEnd"/>
      <w:r w:rsidRPr="007D71EE">
        <w:rPr>
          <w:b/>
          <w:sz w:val="32"/>
          <w:szCs w:val="32"/>
          <w:u w:val="single"/>
        </w:rPr>
        <w:t xml:space="preserve"> (ETV) </w:t>
      </w:r>
    </w:p>
    <w:p w14:paraId="066E4F70" w14:textId="77777777" w:rsidR="0026117E" w:rsidRDefault="0026117E" w:rsidP="0026117E">
      <w:pPr>
        <w:spacing w:after="0" w:line="240" w:lineRule="auto"/>
        <w:rPr>
          <w:sz w:val="24"/>
          <w:szCs w:val="24"/>
        </w:rPr>
      </w:pPr>
      <w:r>
        <w:rPr>
          <w:sz w:val="24"/>
          <w:szCs w:val="24"/>
        </w:rPr>
        <w:t>3rd line drug information for the Clinician</w:t>
      </w:r>
    </w:p>
    <w:p w14:paraId="50EA36BB" w14:textId="77777777" w:rsidR="0026117E" w:rsidRDefault="0026117E" w:rsidP="0026117E">
      <w:pPr>
        <w:spacing w:after="0" w:line="240" w:lineRule="auto"/>
        <w:rPr>
          <w:rFonts w:cs="Times New Roman"/>
          <w:sz w:val="24"/>
          <w:szCs w:val="24"/>
        </w:rPr>
      </w:pPr>
    </w:p>
    <w:p w14:paraId="444282DE" w14:textId="77777777" w:rsidR="003A74F2" w:rsidRPr="0051192E" w:rsidRDefault="003A74F2" w:rsidP="0051192E">
      <w:pPr>
        <w:spacing w:after="0" w:line="240" w:lineRule="auto"/>
        <w:rPr>
          <w:rFonts w:cs="Times New Roman"/>
          <w:sz w:val="24"/>
          <w:szCs w:val="24"/>
        </w:rPr>
      </w:pPr>
      <w:r w:rsidRPr="0026117E">
        <w:rPr>
          <w:rFonts w:cs="Times New Roman"/>
          <w:b/>
          <w:sz w:val="24"/>
          <w:szCs w:val="24"/>
        </w:rPr>
        <w:t>Class:</w:t>
      </w:r>
      <w:r w:rsidR="0026117E">
        <w:rPr>
          <w:rFonts w:cs="Times New Roman"/>
          <w:sz w:val="24"/>
          <w:szCs w:val="24"/>
        </w:rPr>
        <w:t xml:space="preserve"> </w:t>
      </w:r>
      <w:r w:rsidR="005A00B1" w:rsidRPr="0051192E">
        <w:rPr>
          <w:rFonts w:cs="Times New Roman"/>
          <w:sz w:val="24"/>
          <w:szCs w:val="24"/>
        </w:rPr>
        <w:t>Non-nucleoside reverse transcriptase inhibitor (NNRTI)</w:t>
      </w:r>
    </w:p>
    <w:p w14:paraId="46A35DCF" w14:textId="77777777" w:rsidR="00F53241" w:rsidRPr="0051192E" w:rsidRDefault="00F53241" w:rsidP="0051192E">
      <w:pPr>
        <w:spacing w:after="0" w:line="240" w:lineRule="auto"/>
        <w:rPr>
          <w:rFonts w:cs="Times New Roman"/>
          <w:sz w:val="24"/>
          <w:szCs w:val="24"/>
        </w:rPr>
      </w:pPr>
    </w:p>
    <w:p w14:paraId="04529BE7" w14:textId="77777777" w:rsidR="003A74F2" w:rsidRPr="00295965" w:rsidRDefault="0026117E" w:rsidP="0051192E">
      <w:pPr>
        <w:spacing w:after="0" w:line="240" w:lineRule="auto"/>
        <w:rPr>
          <w:rFonts w:cs="Times New Roman"/>
          <w:b/>
          <w:sz w:val="24"/>
          <w:szCs w:val="24"/>
        </w:rPr>
      </w:pPr>
      <w:r w:rsidRPr="00295965">
        <w:rPr>
          <w:rFonts w:cs="Times New Roman"/>
          <w:b/>
          <w:sz w:val="24"/>
          <w:szCs w:val="24"/>
        </w:rPr>
        <w:t>Dose:</w:t>
      </w:r>
      <w:r w:rsidR="003A74F2" w:rsidRPr="00295965">
        <w:rPr>
          <w:rFonts w:cs="Times New Roman"/>
          <w:b/>
          <w:sz w:val="24"/>
          <w:szCs w:val="24"/>
        </w:rPr>
        <w:t xml:space="preserve"> </w:t>
      </w:r>
    </w:p>
    <w:p w14:paraId="7033AE41" w14:textId="77777777" w:rsidR="003A74F2" w:rsidRPr="0051192E" w:rsidRDefault="003A74F2" w:rsidP="0051192E">
      <w:pPr>
        <w:spacing w:after="0" w:line="240" w:lineRule="auto"/>
        <w:rPr>
          <w:rFonts w:cs="Times New Roman"/>
          <w:sz w:val="24"/>
          <w:szCs w:val="24"/>
        </w:rPr>
      </w:pPr>
      <w:r w:rsidRPr="0051192E">
        <w:rPr>
          <w:rFonts w:cs="Times New Roman"/>
          <w:sz w:val="24"/>
          <w:szCs w:val="24"/>
        </w:rPr>
        <w:t xml:space="preserve">1. Adults: </w:t>
      </w:r>
      <w:r w:rsidR="00F53241" w:rsidRPr="0051192E">
        <w:rPr>
          <w:rFonts w:cs="Times New Roman"/>
          <w:sz w:val="24"/>
          <w:szCs w:val="24"/>
        </w:rPr>
        <w:t>200</w:t>
      </w:r>
      <w:r w:rsidR="00957D7C">
        <w:rPr>
          <w:rFonts w:cs="Times New Roman"/>
          <w:sz w:val="24"/>
          <w:szCs w:val="24"/>
        </w:rPr>
        <w:t xml:space="preserve">mg </w:t>
      </w:r>
      <w:proofErr w:type="spellStart"/>
      <w:r w:rsidR="00957D7C">
        <w:rPr>
          <w:rFonts w:cs="Times New Roman"/>
          <w:sz w:val="24"/>
          <w:szCs w:val="24"/>
        </w:rPr>
        <w:t>bd</w:t>
      </w:r>
      <w:proofErr w:type="spellEnd"/>
      <w:r w:rsidR="00957D7C">
        <w:rPr>
          <w:rFonts w:cs="Times New Roman"/>
          <w:sz w:val="24"/>
          <w:szCs w:val="24"/>
        </w:rPr>
        <w:t xml:space="preserve"> </w:t>
      </w:r>
      <w:proofErr w:type="spellStart"/>
      <w:r w:rsidR="00957D7C">
        <w:rPr>
          <w:rFonts w:cs="Times New Roman"/>
          <w:sz w:val="24"/>
          <w:szCs w:val="24"/>
        </w:rPr>
        <w:t>p.o.</w:t>
      </w:r>
      <w:proofErr w:type="spellEnd"/>
      <w:r w:rsidRPr="0051192E">
        <w:rPr>
          <w:rFonts w:cs="Times New Roman"/>
          <w:sz w:val="24"/>
          <w:szCs w:val="24"/>
        </w:rPr>
        <w:t xml:space="preserve"> </w:t>
      </w:r>
      <w:r w:rsidR="00957D7C">
        <w:rPr>
          <w:rFonts w:cs="Times New Roman"/>
          <w:sz w:val="24"/>
          <w:szCs w:val="24"/>
        </w:rPr>
        <w:t xml:space="preserve">(2x100mg tablets) after food </w:t>
      </w:r>
      <w:r w:rsidR="003202E1" w:rsidRPr="0051192E">
        <w:rPr>
          <w:rFonts w:cs="Times New Roman"/>
          <w:sz w:val="24"/>
          <w:szCs w:val="24"/>
        </w:rPr>
        <w:t>taken whole or dispersed in a glass of water.</w:t>
      </w:r>
    </w:p>
    <w:p w14:paraId="09B0DC71" w14:textId="77777777" w:rsidR="00295965" w:rsidRDefault="003A74F2" w:rsidP="0051192E">
      <w:pPr>
        <w:spacing w:after="0" w:line="240" w:lineRule="auto"/>
        <w:rPr>
          <w:rFonts w:cs="Times New Roman"/>
          <w:sz w:val="24"/>
          <w:szCs w:val="24"/>
        </w:rPr>
      </w:pPr>
      <w:r w:rsidRPr="00957D7C">
        <w:rPr>
          <w:rFonts w:cs="Times New Roman"/>
          <w:sz w:val="24"/>
          <w:szCs w:val="24"/>
        </w:rPr>
        <w:t>2. Children and Adolescents</w:t>
      </w:r>
      <w:r w:rsidR="003202E1" w:rsidRPr="00957D7C">
        <w:rPr>
          <w:rFonts w:cs="Times New Roman"/>
          <w:sz w:val="24"/>
          <w:szCs w:val="24"/>
        </w:rPr>
        <w:t xml:space="preserve"> </w:t>
      </w:r>
      <w:r w:rsidR="00957D7C">
        <w:rPr>
          <w:rFonts w:cs="Times New Roman"/>
          <w:sz w:val="24"/>
          <w:szCs w:val="24"/>
        </w:rPr>
        <w:t xml:space="preserve">(approved for </w:t>
      </w:r>
      <w:r w:rsidR="00944F81" w:rsidRPr="0051192E">
        <w:rPr>
          <w:rFonts w:cs="Times New Roman"/>
          <w:sz w:val="24"/>
          <w:szCs w:val="24"/>
        </w:rPr>
        <w:t xml:space="preserve">6-18 years of </w:t>
      </w:r>
      <w:r w:rsidR="00916AE0" w:rsidRPr="0051192E">
        <w:rPr>
          <w:rFonts w:cs="Times New Roman"/>
          <w:sz w:val="24"/>
          <w:szCs w:val="24"/>
        </w:rPr>
        <w:t>age</w:t>
      </w:r>
      <w:r w:rsidR="00295965">
        <w:rPr>
          <w:rFonts w:cs="Times New Roman"/>
          <w:sz w:val="24"/>
          <w:szCs w:val="24"/>
        </w:rPr>
        <w:t xml:space="preserve">; &gt; 16 kg): </w:t>
      </w:r>
    </w:p>
    <w:p w14:paraId="61059305" w14:textId="77777777" w:rsidR="00295965" w:rsidRDefault="00295965" w:rsidP="0051192E">
      <w:pPr>
        <w:spacing w:after="0" w:line="240" w:lineRule="auto"/>
        <w:rPr>
          <w:rFonts w:cs="Times New Roman"/>
          <w:sz w:val="24"/>
          <w:szCs w:val="24"/>
        </w:rPr>
      </w:pPr>
      <w:r>
        <w:rPr>
          <w:rFonts w:cs="Times New Roman"/>
          <w:sz w:val="24"/>
          <w:szCs w:val="24"/>
        </w:rPr>
        <w:t xml:space="preserve">16-20 kg: </w:t>
      </w:r>
      <w:r>
        <w:rPr>
          <w:rFonts w:cs="Times New Roman"/>
          <w:sz w:val="24"/>
          <w:szCs w:val="24"/>
        </w:rPr>
        <w:tab/>
        <w:t xml:space="preserve">100 mg </w:t>
      </w:r>
      <w:proofErr w:type="spellStart"/>
      <w:r>
        <w:rPr>
          <w:rFonts w:cs="Times New Roman"/>
          <w:sz w:val="24"/>
          <w:szCs w:val="24"/>
        </w:rPr>
        <w:t>bd</w:t>
      </w:r>
      <w:proofErr w:type="spellEnd"/>
    </w:p>
    <w:p w14:paraId="2DE61AF5" w14:textId="77777777" w:rsidR="00295965" w:rsidRDefault="00295965" w:rsidP="0051192E">
      <w:pPr>
        <w:spacing w:after="0" w:line="240" w:lineRule="auto"/>
        <w:rPr>
          <w:rFonts w:cs="Times New Roman"/>
          <w:sz w:val="24"/>
          <w:szCs w:val="24"/>
        </w:rPr>
      </w:pPr>
      <w:r>
        <w:rPr>
          <w:rFonts w:cs="Times New Roman"/>
          <w:sz w:val="24"/>
          <w:szCs w:val="24"/>
        </w:rPr>
        <w:t xml:space="preserve">20-25 kg: </w:t>
      </w:r>
      <w:r>
        <w:rPr>
          <w:rFonts w:cs="Times New Roman"/>
          <w:sz w:val="24"/>
          <w:szCs w:val="24"/>
        </w:rPr>
        <w:tab/>
        <w:t xml:space="preserve">125 mg </w:t>
      </w:r>
      <w:proofErr w:type="spellStart"/>
      <w:r>
        <w:rPr>
          <w:rFonts w:cs="Times New Roman"/>
          <w:sz w:val="24"/>
          <w:szCs w:val="24"/>
        </w:rPr>
        <w:t>bd</w:t>
      </w:r>
      <w:proofErr w:type="spellEnd"/>
    </w:p>
    <w:p w14:paraId="6FA4F14F" w14:textId="77777777" w:rsidR="00295965" w:rsidRDefault="00295965" w:rsidP="0051192E">
      <w:pPr>
        <w:spacing w:after="0" w:line="240" w:lineRule="auto"/>
        <w:rPr>
          <w:rFonts w:cs="Times New Roman"/>
          <w:sz w:val="24"/>
          <w:szCs w:val="24"/>
        </w:rPr>
      </w:pPr>
      <w:r>
        <w:rPr>
          <w:rFonts w:cs="Times New Roman"/>
          <w:sz w:val="24"/>
          <w:szCs w:val="24"/>
        </w:rPr>
        <w:t xml:space="preserve">25-30 kg:  </w:t>
      </w:r>
      <w:r>
        <w:rPr>
          <w:rFonts w:cs="Times New Roman"/>
          <w:sz w:val="24"/>
          <w:szCs w:val="24"/>
        </w:rPr>
        <w:tab/>
        <w:t xml:space="preserve">150 mg </w:t>
      </w:r>
      <w:proofErr w:type="spellStart"/>
      <w:r>
        <w:rPr>
          <w:rFonts w:cs="Times New Roman"/>
          <w:sz w:val="24"/>
          <w:szCs w:val="24"/>
        </w:rPr>
        <w:t>bd</w:t>
      </w:r>
      <w:proofErr w:type="spellEnd"/>
    </w:p>
    <w:p w14:paraId="25CA4868" w14:textId="77777777" w:rsidR="00295965" w:rsidRDefault="00295965" w:rsidP="0051192E">
      <w:pPr>
        <w:spacing w:after="0" w:line="240" w:lineRule="auto"/>
        <w:rPr>
          <w:rFonts w:cs="Times New Roman"/>
          <w:sz w:val="24"/>
          <w:szCs w:val="24"/>
        </w:rPr>
      </w:pPr>
      <w:r>
        <w:rPr>
          <w:rFonts w:cs="Times New Roman"/>
          <w:sz w:val="24"/>
          <w:szCs w:val="24"/>
        </w:rPr>
        <w:t xml:space="preserve">&gt;30 kg: </w:t>
      </w:r>
      <w:r>
        <w:rPr>
          <w:rFonts w:cs="Times New Roman"/>
          <w:sz w:val="24"/>
          <w:szCs w:val="24"/>
        </w:rPr>
        <w:tab/>
        <w:t xml:space="preserve">200 mg </w:t>
      </w:r>
      <w:proofErr w:type="spellStart"/>
      <w:r>
        <w:rPr>
          <w:rFonts w:cs="Times New Roman"/>
          <w:sz w:val="24"/>
          <w:szCs w:val="24"/>
        </w:rPr>
        <w:t>bd</w:t>
      </w:r>
      <w:proofErr w:type="spellEnd"/>
    </w:p>
    <w:p w14:paraId="5C48760D" w14:textId="77777777" w:rsidR="00295965" w:rsidRDefault="00295965" w:rsidP="0051192E">
      <w:pPr>
        <w:spacing w:after="0" w:line="240" w:lineRule="auto"/>
        <w:rPr>
          <w:rFonts w:cs="Times New Roman"/>
          <w:sz w:val="24"/>
          <w:szCs w:val="24"/>
        </w:rPr>
      </w:pPr>
    </w:p>
    <w:p w14:paraId="62E5BA5F" w14:textId="77777777" w:rsidR="005C0328" w:rsidRPr="00EA0D1F" w:rsidRDefault="005C0328" w:rsidP="005C0328">
      <w:pPr>
        <w:spacing w:after="0" w:line="240" w:lineRule="auto"/>
        <w:rPr>
          <w:rFonts w:cs="Times New Roman"/>
          <w:b/>
          <w:sz w:val="24"/>
          <w:szCs w:val="24"/>
        </w:rPr>
      </w:pPr>
      <w:r w:rsidRPr="00EA0D1F">
        <w:rPr>
          <w:rFonts w:cs="Times New Roman"/>
          <w:b/>
          <w:sz w:val="24"/>
          <w:szCs w:val="24"/>
        </w:rPr>
        <w:t xml:space="preserve">Side effects: </w:t>
      </w:r>
    </w:p>
    <w:p w14:paraId="222BACB3" w14:textId="77777777" w:rsidR="005C0328" w:rsidRPr="0051192E" w:rsidRDefault="005C0328" w:rsidP="005C0328">
      <w:pPr>
        <w:spacing w:after="0" w:line="240" w:lineRule="auto"/>
        <w:rPr>
          <w:rFonts w:cs="Times New Roman"/>
          <w:sz w:val="24"/>
          <w:szCs w:val="24"/>
        </w:rPr>
      </w:pPr>
      <w:r>
        <w:rPr>
          <w:rFonts w:cs="Times New Roman"/>
          <w:b/>
          <w:sz w:val="24"/>
          <w:szCs w:val="24"/>
        </w:rPr>
        <w:t>Most c</w:t>
      </w:r>
      <w:r w:rsidRPr="00374907">
        <w:rPr>
          <w:rFonts w:cs="Times New Roman"/>
          <w:b/>
          <w:sz w:val="24"/>
          <w:szCs w:val="24"/>
        </w:rPr>
        <w:t>ommon adverse effects:</w:t>
      </w:r>
      <w:r>
        <w:rPr>
          <w:rFonts w:cs="Times New Roman"/>
          <w:sz w:val="24"/>
          <w:szCs w:val="24"/>
        </w:rPr>
        <w:t xml:space="preserve"> </w:t>
      </w:r>
      <w:r w:rsidRPr="005C0328">
        <w:rPr>
          <w:rFonts w:cs="Times New Roman"/>
          <w:sz w:val="24"/>
          <w:szCs w:val="24"/>
        </w:rPr>
        <w:t>Rash</w:t>
      </w:r>
      <w:r w:rsidRPr="0051192E">
        <w:rPr>
          <w:rFonts w:cs="Times New Roman"/>
          <w:sz w:val="24"/>
          <w:szCs w:val="24"/>
        </w:rPr>
        <w:t xml:space="preserve"> common (9%) in first 2-4 weeks, usually mild. The patient can continue treatment</w:t>
      </w:r>
      <w:r>
        <w:rPr>
          <w:rFonts w:cs="Times New Roman"/>
          <w:sz w:val="24"/>
          <w:szCs w:val="24"/>
        </w:rPr>
        <w:t xml:space="preserve"> if the </w:t>
      </w:r>
      <w:r w:rsidRPr="0051192E">
        <w:rPr>
          <w:rFonts w:cs="Times New Roman"/>
          <w:sz w:val="24"/>
          <w:szCs w:val="24"/>
        </w:rPr>
        <w:t xml:space="preserve">rash is not associated with hypersensitivity signs; the rash usually </w:t>
      </w:r>
      <w:r>
        <w:rPr>
          <w:rFonts w:cs="Times New Roman"/>
          <w:sz w:val="24"/>
          <w:szCs w:val="24"/>
        </w:rPr>
        <w:t xml:space="preserve">resolves within 1-2 weeks (rash </w:t>
      </w:r>
      <w:r w:rsidRPr="0051192E">
        <w:rPr>
          <w:rFonts w:cs="Times New Roman"/>
          <w:sz w:val="24"/>
          <w:szCs w:val="24"/>
        </w:rPr>
        <w:t>is more common in women than men)</w:t>
      </w:r>
      <w:r>
        <w:rPr>
          <w:rFonts w:cs="Times New Roman"/>
          <w:sz w:val="24"/>
          <w:szCs w:val="24"/>
        </w:rPr>
        <w:t xml:space="preserve">, </w:t>
      </w:r>
      <w:r w:rsidRPr="0051192E">
        <w:rPr>
          <w:rFonts w:cs="Times New Roman"/>
          <w:sz w:val="24"/>
          <w:szCs w:val="24"/>
        </w:rPr>
        <w:t xml:space="preserve">nausea, </w:t>
      </w:r>
      <w:r>
        <w:rPr>
          <w:rFonts w:cs="Times New Roman"/>
          <w:sz w:val="24"/>
          <w:szCs w:val="24"/>
        </w:rPr>
        <w:t xml:space="preserve">diarrhea, </w:t>
      </w:r>
      <w:proofErr w:type="spellStart"/>
      <w:r w:rsidRPr="0051192E">
        <w:rPr>
          <w:rFonts w:cs="Times New Roman"/>
          <w:sz w:val="24"/>
          <w:szCs w:val="24"/>
        </w:rPr>
        <w:t>gynaecomastia</w:t>
      </w:r>
      <w:proofErr w:type="spellEnd"/>
      <w:r w:rsidRPr="0051192E">
        <w:rPr>
          <w:rFonts w:cs="Times New Roman"/>
          <w:sz w:val="24"/>
          <w:szCs w:val="24"/>
        </w:rPr>
        <w:t>.</w:t>
      </w:r>
    </w:p>
    <w:p w14:paraId="008D0EDF" w14:textId="77777777" w:rsidR="005C0328" w:rsidRDefault="005C0328" w:rsidP="005C0328">
      <w:pPr>
        <w:spacing w:after="0" w:line="240" w:lineRule="auto"/>
        <w:rPr>
          <w:rFonts w:cs="Times New Roman"/>
          <w:b/>
          <w:bCs/>
          <w:sz w:val="24"/>
          <w:szCs w:val="24"/>
        </w:rPr>
      </w:pPr>
      <w:r w:rsidRPr="00374907">
        <w:rPr>
          <w:rFonts w:cs="Times New Roman"/>
          <w:b/>
          <w:sz w:val="24"/>
          <w:szCs w:val="24"/>
        </w:rPr>
        <w:t>Most significant adverse effects</w:t>
      </w:r>
      <w:r>
        <w:rPr>
          <w:rFonts w:cs="Times New Roman"/>
          <w:b/>
          <w:sz w:val="24"/>
          <w:szCs w:val="24"/>
        </w:rPr>
        <w:t xml:space="preserve">: </w:t>
      </w:r>
    </w:p>
    <w:p w14:paraId="3E802B32" w14:textId="77777777" w:rsidR="005C0328" w:rsidRPr="005C0328" w:rsidRDefault="005C0328" w:rsidP="005C0328">
      <w:pPr>
        <w:spacing w:after="0" w:line="240" w:lineRule="auto"/>
        <w:rPr>
          <w:rFonts w:cs="Times New Roman"/>
          <w:bCs/>
          <w:sz w:val="24"/>
          <w:szCs w:val="24"/>
        </w:rPr>
      </w:pPr>
      <w:r>
        <w:rPr>
          <w:rFonts w:cs="Times New Roman"/>
          <w:b/>
          <w:bCs/>
          <w:sz w:val="24"/>
          <w:szCs w:val="24"/>
        </w:rPr>
        <w:t>-</w:t>
      </w:r>
      <w:r w:rsidR="003A74F2" w:rsidRPr="005C0328">
        <w:rPr>
          <w:rFonts w:cs="Times New Roman"/>
          <w:bCs/>
          <w:sz w:val="24"/>
          <w:szCs w:val="24"/>
        </w:rPr>
        <w:t>Severe Skin and Hypersensitivity Reactions</w:t>
      </w:r>
      <w:r w:rsidR="003A74F2" w:rsidRPr="0051192E">
        <w:rPr>
          <w:rFonts w:cs="Times New Roman"/>
          <w:b/>
          <w:bCs/>
          <w:sz w:val="24"/>
          <w:szCs w:val="24"/>
        </w:rPr>
        <w:t xml:space="preserve"> </w:t>
      </w:r>
      <w:r w:rsidR="00E26CD3" w:rsidRPr="0051192E">
        <w:rPr>
          <w:rFonts w:cs="Times New Roman"/>
          <w:sz w:val="24"/>
          <w:szCs w:val="24"/>
        </w:rPr>
        <w:t>in 1.3</w:t>
      </w:r>
      <w:r w:rsidR="003A74F2" w:rsidRPr="0051192E">
        <w:rPr>
          <w:rFonts w:cs="Times New Roman"/>
          <w:sz w:val="24"/>
          <w:szCs w:val="24"/>
        </w:rPr>
        <w:t xml:space="preserve">%, </w:t>
      </w:r>
      <w:r w:rsidR="003A74F2" w:rsidRPr="0051192E">
        <w:rPr>
          <w:rFonts w:cs="Times New Roman"/>
          <w:bCs/>
          <w:sz w:val="24"/>
          <w:szCs w:val="24"/>
        </w:rPr>
        <w:t>(</w:t>
      </w:r>
      <w:r w:rsidR="003A74F2" w:rsidRPr="0051192E">
        <w:rPr>
          <w:rFonts w:cs="Times New Roman"/>
          <w:sz w:val="24"/>
          <w:szCs w:val="24"/>
        </w:rPr>
        <w:t>potentially life-threatening/ fatal</w:t>
      </w:r>
      <w:proofErr w:type="gramStart"/>
      <w:r w:rsidR="003A74F2" w:rsidRPr="0051192E">
        <w:rPr>
          <w:rFonts w:cs="Times New Roman"/>
          <w:sz w:val="24"/>
          <w:szCs w:val="24"/>
        </w:rPr>
        <w:t xml:space="preserve">) </w:t>
      </w:r>
      <w:r>
        <w:rPr>
          <w:rFonts w:cs="Times New Roman"/>
          <w:sz w:val="24"/>
          <w:szCs w:val="24"/>
        </w:rPr>
        <w:t>,</w:t>
      </w:r>
      <w:proofErr w:type="gramEnd"/>
      <w:r>
        <w:rPr>
          <w:rFonts w:cs="Times New Roman"/>
          <w:sz w:val="24"/>
          <w:szCs w:val="24"/>
        </w:rPr>
        <w:t xml:space="preserve"> </w:t>
      </w:r>
      <w:r w:rsidR="003A74F2" w:rsidRPr="0051192E">
        <w:rPr>
          <w:rFonts w:cs="Times New Roman"/>
          <w:sz w:val="24"/>
          <w:szCs w:val="24"/>
        </w:rPr>
        <w:t>Stevens-Johnson syndrome</w:t>
      </w:r>
      <w:r>
        <w:rPr>
          <w:rFonts w:cs="Times New Roman"/>
          <w:sz w:val="24"/>
          <w:szCs w:val="24"/>
        </w:rPr>
        <w:t xml:space="preserve">, </w:t>
      </w:r>
      <w:r w:rsidR="003A74F2" w:rsidRPr="0051192E">
        <w:rPr>
          <w:rFonts w:cs="Times New Roman"/>
          <w:sz w:val="24"/>
          <w:szCs w:val="24"/>
        </w:rPr>
        <w:t xml:space="preserve">Toxic epidermal </w:t>
      </w:r>
      <w:proofErr w:type="spellStart"/>
      <w:r w:rsidR="003A74F2" w:rsidRPr="0051192E">
        <w:rPr>
          <w:rFonts w:cs="Times New Roman"/>
          <w:sz w:val="24"/>
          <w:szCs w:val="24"/>
        </w:rPr>
        <w:t>necrolysis</w:t>
      </w:r>
      <w:proofErr w:type="spellEnd"/>
      <w:r>
        <w:rPr>
          <w:rFonts w:cs="Times New Roman"/>
          <w:b/>
          <w:bCs/>
          <w:sz w:val="24"/>
          <w:szCs w:val="24"/>
        </w:rPr>
        <w:t xml:space="preserve">, </w:t>
      </w:r>
      <w:r w:rsidR="00E26CD3" w:rsidRPr="0051192E">
        <w:rPr>
          <w:rFonts w:cs="Times New Roman"/>
          <w:sz w:val="24"/>
          <w:szCs w:val="24"/>
        </w:rPr>
        <w:t xml:space="preserve">Erythema </w:t>
      </w:r>
      <w:proofErr w:type="spellStart"/>
      <w:r w:rsidR="00E26CD3" w:rsidRPr="0051192E">
        <w:rPr>
          <w:rFonts w:cs="Times New Roman"/>
          <w:sz w:val="24"/>
          <w:szCs w:val="24"/>
        </w:rPr>
        <w:t>multiforme</w:t>
      </w:r>
      <w:proofErr w:type="spellEnd"/>
    </w:p>
    <w:p w14:paraId="5606011E" w14:textId="77777777" w:rsidR="003A74F2" w:rsidRDefault="005C0328" w:rsidP="005C0328">
      <w:pPr>
        <w:spacing w:after="0" w:line="240" w:lineRule="auto"/>
        <w:rPr>
          <w:rFonts w:cs="Times New Roman"/>
          <w:sz w:val="24"/>
          <w:szCs w:val="24"/>
        </w:rPr>
      </w:pPr>
      <w:r>
        <w:rPr>
          <w:rFonts w:cs="Times New Roman"/>
          <w:b/>
          <w:bCs/>
          <w:sz w:val="24"/>
          <w:szCs w:val="24"/>
        </w:rPr>
        <w:t xml:space="preserve">- </w:t>
      </w:r>
      <w:r w:rsidR="003A74F2" w:rsidRPr="0051192E">
        <w:rPr>
          <w:rFonts w:cs="Times New Roman"/>
          <w:sz w:val="24"/>
          <w:szCs w:val="24"/>
        </w:rPr>
        <w:t>Hypersensitivity reactions: rash + constitutional findings (fever, general malaise, fatigue, muscle/joint aches, blisters, oral lesions, conjunctivitis, facial edema, hepatitis, eosinophilia, angioedema)</w:t>
      </w:r>
      <w:r>
        <w:rPr>
          <w:rFonts w:cs="Times New Roman"/>
          <w:sz w:val="24"/>
          <w:szCs w:val="24"/>
        </w:rPr>
        <w:t xml:space="preserve"> possibly with hepatic failure. </w:t>
      </w:r>
    </w:p>
    <w:p w14:paraId="3F65CD0A" w14:textId="77777777" w:rsidR="005C0328" w:rsidRDefault="005C0328" w:rsidP="0051192E">
      <w:pPr>
        <w:spacing w:after="0" w:line="240" w:lineRule="auto"/>
        <w:rPr>
          <w:rFonts w:cs="Times New Roman"/>
          <w:sz w:val="24"/>
          <w:szCs w:val="24"/>
        </w:rPr>
      </w:pPr>
      <w:r>
        <w:rPr>
          <w:rFonts w:cs="Times New Roman"/>
          <w:sz w:val="24"/>
          <w:szCs w:val="24"/>
        </w:rPr>
        <w:t>-</w:t>
      </w:r>
      <w:proofErr w:type="spellStart"/>
      <w:r>
        <w:rPr>
          <w:rFonts w:cs="Times New Roman"/>
          <w:sz w:val="24"/>
          <w:szCs w:val="24"/>
        </w:rPr>
        <w:t>Rhabdomyolysis</w:t>
      </w:r>
      <w:proofErr w:type="spellEnd"/>
    </w:p>
    <w:p w14:paraId="66BAF36F" w14:textId="77777777" w:rsidR="00172ED4" w:rsidRDefault="00172ED4" w:rsidP="0051192E">
      <w:pPr>
        <w:spacing w:after="0" w:line="240" w:lineRule="auto"/>
        <w:rPr>
          <w:rFonts w:cs="Times New Roman"/>
          <w:b/>
          <w:sz w:val="24"/>
          <w:szCs w:val="24"/>
        </w:rPr>
      </w:pPr>
    </w:p>
    <w:p w14:paraId="746A6B43" w14:textId="2D19D094" w:rsidR="003A74F2" w:rsidRPr="00172ED4" w:rsidRDefault="003A74F2" w:rsidP="0051192E">
      <w:pPr>
        <w:spacing w:after="0" w:line="240" w:lineRule="auto"/>
        <w:rPr>
          <w:rFonts w:cs="Times New Roman"/>
          <w:sz w:val="24"/>
          <w:szCs w:val="24"/>
        </w:rPr>
      </w:pPr>
      <w:r w:rsidRPr="0051192E">
        <w:rPr>
          <w:rFonts w:cs="Times New Roman"/>
          <w:b/>
          <w:sz w:val="24"/>
          <w:szCs w:val="24"/>
        </w:rPr>
        <w:t xml:space="preserve">NB: Discontinue </w:t>
      </w:r>
      <w:r w:rsidR="00A31B67" w:rsidRPr="0051192E">
        <w:rPr>
          <w:rFonts w:cs="Times New Roman"/>
          <w:b/>
          <w:sz w:val="24"/>
          <w:szCs w:val="24"/>
        </w:rPr>
        <w:t>ETV</w:t>
      </w:r>
      <w:r w:rsidRPr="0051192E">
        <w:rPr>
          <w:rFonts w:cs="Times New Roman"/>
          <w:b/>
          <w:sz w:val="24"/>
          <w:szCs w:val="24"/>
        </w:rPr>
        <w:t xml:space="preserve"> immediately </w:t>
      </w:r>
      <w:r w:rsidR="00916AE0" w:rsidRPr="0051192E">
        <w:rPr>
          <w:rFonts w:cs="Times New Roman"/>
          <w:b/>
          <w:sz w:val="24"/>
          <w:szCs w:val="24"/>
        </w:rPr>
        <w:t>if severe skin reactions occur.</w:t>
      </w:r>
      <w:r w:rsidRPr="0051192E">
        <w:rPr>
          <w:rFonts w:cs="Times New Roman"/>
          <w:b/>
          <w:sz w:val="24"/>
          <w:szCs w:val="24"/>
        </w:rPr>
        <w:tab/>
      </w:r>
    </w:p>
    <w:p w14:paraId="31A1DF5A" w14:textId="0F7DC353" w:rsidR="00D72BD0" w:rsidRPr="0051192E" w:rsidRDefault="00D72BD0" w:rsidP="0051192E">
      <w:pPr>
        <w:spacing w:after="0" w:line="240" w:lineRule="auto"/>
        <w:rPr>
          <w:rFonts w:cs="Times New Roman"/>
          <w:bCs/>
          <w:sz w:val="24"/>
          <w:szCs w:val="24"/>
        </w:rPr>
      </w:pPr>
      <w:r w:rsidRPr="00172ED4">
        <w:rPr>
          <w:rFonts w:cs="Times New Roman"/>
          <w:bCs/>
          <w:sz w:val="24"/>
          <w:szCs w:val="24"/>
        </w:rPr>
        <w:t xml:space="preserve">If you diagnose any other adverse drug reactions, please report to the Pharmacovigilance centre at College of </w:t>
      </w:r>
      <w:r w:rsidR="00172ED4" w:rsidRPr="00172ED4">
        <w:rPr>
          <w:rFonts w:cs="Times New Roman"/>
          <w:bCs/>
          <w:sz w:val="24"/>
          <w:szCs w:val="24"/>
        </w:rPr>
        <w:t>Medicine.</w:t>
      </w:r>
    </w:p>
    <w:p w14:paraId="2A025CD5" w14:textId="77777777" w:rsidR="00D72BD0" w:rsidRPr="0051192E" w:rsidRDefault="00D72BD0" w:rsidP="0051192E">
      <w:pPr>
        <w:spacing w:after="0" w:line="240" w:lineRule="auto"/>
        <w:rPr>
          <w:rFonts w:cs="Times New Roman"/>
          <w:bCs/>
          <w:sz w:val="24"/>
          <w:szCs w:val="24"/>
        </w:rPr>
      </w:pPr>
    </w:p>
    <w:p w14:paraId="37B028C0" w14:textId="77777777" w:rsidR="005C0328" w:rsidRPr="005C0328" w:rsidRDefault="006D1621" w:rsidP="0051192E">
      <w:pPr>
        <w:spacing w:after="0" w:line="240" w:lineRule="auto"/>
        <w:rPr>
          <w:rFonts w:cs="Times New Roman"/>
          <w:bCs/>
          <w:i/>
          <w:sz w:val="24"/>
          <w:szCs w:val="24"/>
        </w:rPr>
      </w:pPr>
      <w:r w:rsidRPr="005C0328">
        <w:rPr>
          <w:rFonts w:cs="Times New Roman"/>
          <w:bCs/>
          <w:i/>
          <w:sz w:val="24"/>
          <w:szCs w:val="24"/>
        </w:rPr>
        <w:t>Other important information</w:t>
      </w:r>
      <w:r w:rsidR="00A576F8" w:rsidRPr="005C0328">
        <w:rPr>
          <w:rFonts w:cs="Times New Roman"/>
          <w:bCs/>
          <w:i/>
          <w:sz w:val="24"/>
          <w:szCs w:val="24"/>
        </w:rPr>
        <w:t xml:space="preserve">: </w:t>
      </w:r>
      <w:r w:rsidR="00A576F8" w:rsidRPr="005C0328">
        <w:rPr>
          <w:rFonts w:cs="Times New Roman"/>
          <w:bCs/>
          <w:i/>
          <w:sz w:val="24"/>
          <w:szCs w:val="24"/>
        </w:rPr>
        <w:tab/>
      </w:r>
    </w:p>
    <w:p w14:paraId="7C1831A0" w14:textId="77777777" w:rsidR="00A576F8" w:rsidRPr="005C0328" w:rsidRDefault="00A576F8" w:rsidP="0051192E">
      <w:pPr>
        <w:spacing w:after="0" w:line="240" w:lineRule="auto"/>
        <w:rPr>
          <w:rFonts w:cs="Times New Roman"/>
          <w:bCs/>
          <w:i/>
          <w:sz w:val="24"/>
          <w:szCs w:val="24"/>
        </w:rPr>
      </w:pPr>
      <w:r w:rsidRPr="005C0328">
        <w:rPr>
          <w:rFonts w:cs="Times New Roman"/>
          <w:bCs/>
          <w:i/>
          <w:sz w:val="24"/>
          <w:szCs w:val="24"/>
        </w:rPr>
        <w:t xml:space="preserve">1. Patients with Hepatitis B and/or C infection can be given </w:t>
      </w:r>
      <w:r w:rsidR="00A31B67" w:rsidRPr="005C0328">
        <w:rPr>
          <w:rFonts w:cs="Times New Roman"/>
          <w:bCs/>
          <w:i/>
          <w:sz w:val="24"/>
          <w:szCs w:val="24"/>
        </w:rPr>
        <w:t>ETV</w:t>
      </w:r>
      <w:r w:rsidR="005C0328">
        <w:rPr>
          <w:rFonts w:cs="Times New Roman"/>
          <w:bCs/>
          <w:i/>
          <w:sz w:val="24"/>
          <w:szCs w:val="24"/>
        </w:rPr>
        <w:t xml:space="preserve"> with monitoring of </w:t>
      </w:r>
      <w:r w:rsidRPr="005C0328">
        <w:rPr>
          <w:rFonts w:cs="Times New Roman"/>
          <w:bCs/>
          <w:i/>
          <w:sz w:val="24"/>
          <w:szCs w:val="24"/>
        </w:rPr>
        <w:t>LFTs</w:t>
      </w:r>
      <w:r w:rsidR="005C0328">
        <w:rPr>
          <w:rFonts w:cs="Times New Roman"/>
          <w:bCs/>
          <w:i/>
          <w:sz w:val="24"/>
          <w:szCs w:val="24"/>
        </w:rPr>
        <w:t xml:space="preserve"> (if possible)</w:t>
      </w:r>
    </w:p>
    <w:p w14:paraId="4734CC33" w14:textId="77777777" w:rsidR="00A576F8" w:rsidRPr="005C0328" w:rsidRDefault="00A576F8" w:rsidP="0051192E">
      <w:pPr>
        <w:spacing w:after="0" w:line="240" w:lineRule="auto"/>
        <w:rPr>
          <w:rFonts w:cs="Times New Roman"/>
          <w:bCs/>
          <w:i/>
          <w:sz w:val="24"/>
          <w:szCs w:val="24"/>
        </w:rPr>
      </w:pPr>
      <w:r w:rsidRPr="005C0328">
        <w:rPr>
          <w:rFonts w:cs="Times New Roman"/>
          <w:bCs/>
          <w:i/>
          <w:sz w:val="24"/>
          <w:szCs w:val="24"/>
        </w:rPr>
        <w:t xml:space="preserve">2. No dosage adjustment is necessary for patients with mild to moderate hepatic </w:t>
      </w:r>
      <w:r w:rsidRPr="005C0328">
        <w:rPr>
          <w:rFonts w:cs="Times New Roman"/>
          <w:bCs/>
          <w:i/>
          <w:sz w:val="24"/>
          <w:szCs w:val="24"/>
        </w:rPr>
        <w:tab/>
        <w:t>impairment but requires monitoring of LFTs</w:t>
      </w:r>
    </w:p>
    <w:p w14:paraId="4F8A8AC8" w14:textId="77777777" w:rsidR="00A576F8" w:rsidRPr="005C0328" w:rsidRDefault="00A576F8" w:rsidP="0051192E">
      <w:pPr>
        <w:spacing w:after="0" w:line="240" w:lineRule="auto"/>
        <w:rPr>
          <w:rFonts w:cs="Times New Roman"/>
          <w:bCs/>
          <w:i/>
          <w:sz w:val="24"/>
          <w:szCs w:val="24"/>
        </w:rPr>
      </w:pPr>
      <w:r w:rsidRPr="005C0328">
        <w:rPr>
          <w:rFonts w:cs="Times New Roman"/>
          <w:bCs/>
          <w:i/>
          <w:sz w:val="24"/>
          <w:szCs w:val="24"/>
        </w:rPr>
        <w:t>3. Etravirine has negligible renal excretion therefore no dosage adjustm</w:t>
      </w:r>
      <w:r w:rsidR="005C0328">
        <w:rPr>
          <w:rFonts w:cs="Times New Roman"/>
          <w:bCs/>
          <w:i/>
          <w:sz w:val="24"/>
          <w:szCs w:val="24"/>
        </w:rPr>
        <w:t xml:space="preserve">ent is necessary for </w:t>
      </w:r>
      <w:r w:rsidRPr="005C0328">
        <w:rPr>
          <w:rFonts w:cs="Times New Roman"/>
          <w:bCs/>
          <w:i/>
          <w:sz w:val="24"/>
          <w:szCs w:val="24"/>
        </w:rPr>
        <w:t xml:space="preserve">patients </w:t>
      </w:r>
      <w:r w:rsidR="006D1621" w:rsidRPr="005C0328">
        <w:rPr>
          <w:rFonts w:cs="Times New Roman"/>
          <w:bCs/>
          <w:i/>
          <w:sz w:val="24"/>
          <w:szCs w:val="24"/>
        </w:rPr>
        <w:t xml:space="preserve">with </w:t>
      </w:r>
      <w:r w:rsidRPr="005C0328">
        <w:rPr>
          <w:rFonts w:cs="Times New Roman"/>
          <w:bCs/>
          <w:i/>
          <w:sz w:val="24"/>
          <w:szCs w:val="24"/>
        </w:rPr>
        <w:t>renal impairment including those on dialysis</w:t>
      </w:r>
    </w:p>
    <w:p w14:paraId="10FAF4B9" w14:textId="76807E47" w:rsidR="00F8550B" w:rsidRPr="00490D10" w:rsidRDefault="006D1621" w:rsidP="0051192E">
      <w:pPr>
        <w:spacing w:after="0" w:line="240" w:lineRule="auto"/>
        <w:rPr>
          <w:rFonts w:cs="Times New Roman"/>
          <w:bCs/>
          <w:i/>
          <w:sz w:val="24"/>
          <w:szCs w:val="24"/>
        </w:rPr>
      </w:pPr>
      <w:r w:rsidRPr="00490D10">
        <w:rPr>
          <w:rFonts w:cs="Times New Roman"/>
          <w:bCs/>
          <w:i/>
          <w:sz w:val="24"/>
          <w:szCs w:val="24"/>
        </w:rPr>
        <w:t xml:space="preserve">4. </w:t>
      </w:r>
      <w:r w:rsidR="00F8550B" w:rsidRPr="00490D10">
        <w:rPr>
          <w:rFonts w:cs="Times New Roman"/>
          <w:bCs/>
          <w:i/>
          <w:sz w:val="24"/>
          <w:szCs w:val="24"/>
        </w:rPr>
        <w:t xml:space="preserve">ETV can be given to pregnant women </w:t>
      </w:r>
      <w:r w:rsidR="003F15F3" w:rsidRPr="00490D10">
        <w:rPr>
          <w:rFonts w:cs="Times New Roman"/>
          <w:bCs/>
          <w:i/>
          <w:sz w:val="24"/>
          <w:szCs w:val="24"/>
        </w:rPr>
        <w:t>with monitoring o</w:t>
      </w:r>
      <w:r w:rsidR="00490D10" w:rsidRPr="00490D10">
        <w:rPr>
          <w:rFonts w:cs="Times New Roman"/>
          <w:bCs/>
          <w:i/>
          <w:sz w:val="24"/>
          <w:szCs w:val="24"/>
        </w:rPr>
        <w:t xml:space="preserve">f </w:t>
      </w:r>
      <w:proofErr w:type="spellStart"/>
      <w:r w:rsidR="00490D10" w:rsidRPr="00490D10">
        <w:rPr>
          <w:rFonts w:cs="Times New Roman"/>
          <w:bCs/>
          <w:i/>
          <w:sz w:val="24"/>
          <w:szCs w:val="24"/>
        </w:rPr>
        <w:t>foetal</w:t>
      </w:r>
      <w:proofErr w:type="spellEnd"/>
      <w:r w:rsidR="00490D10" w:rsidRPr="00490D10">
        <w:rPr>
          <w:rFonts w:cs="Times New Roman"/>
          <w:bCs/>
          <w:i/>
          <w:sz w:val="24"/>
          <w:szCs w:val="24"/>
        </w:rPr>
        <w:t xml:space="preserve"> outcomes, report any </w:t>
      </w:r>
      <w:r w:rsidR="00F8550B" w:rsidRPr="00490D10">
        <w:rPr>
          <w:rFonts w:cs="Times New Roman"/>
          <w:bCs/>
          <w:i/>
          <w:sz w:val="24"/>
          <w:szCs w:val="24"/>
        </w:rPr>
        <w:t xml:space="preserve">adverse </w:t>
      </w:r>
      <w:proofErr w:type="spellStart"/>
      <w:r w:rsidR="00F8550B" w:rsidRPr="00490D10">
        <w:rPr>
          <w:rFonts w:cs="Times New Roman"/>
          <w:bCs/>
          <w:i/>
          <w:sz w:val="24"/>
          <w:szCs w:val="24"/>
        </w:rPr>
        <w:t>foetal</w:t>
      </w:r>
      <w:proofErr w:type="spellEnd"/>
      <w:r w:rsidR="00F8550B" w:rsidRPr="00490D10">
        <w:rPr>
          <w:rFonts w:cs="Times New Roman"/>
          <w:bCs/>
          <w:i/>
          <w:sz w:val="24"/>
          <w:szCs w:val="24"/>
        </w:rPr>
        <w:t xml:space="preserve"> outcomes to the Pharmacovigilance centre at Co</w:t>
      </w:r>
      <w:r w:rsidR="00172ED4">
        <w:rPr>
          <w:rFonts w:cs="Times New Roman"/>
          <w:bCs/>
          <w:i/>
          <w:sz w:val="24"/>
          <w:szCs w:val="24"/>
        </w:rPr>
        <w:t>llege of Medicine.</w:t>
      </w:r>
    </w:p>
    <w:p w14:paraId="068B1D6D" w14:textId="5B469706" w:rsidR="006D1621" w:rsidRPr="005C0328" w:rsidRDefault="00F8550B" w:rsidP="0051192E">
      <w:pPr>
        <w:spacing w:after="0" w:line="240" w:lineRule="auto"/>
        <w:rPr>
          <w:rFonts w:cs="Times New Roman"/>
          <w:bCs/>
          <w:i/>
          <w:sz w:val="24"/>
          <w:szCs w:val="24"/>
        </w:rPr>
      </w:pPr>
      <w:r w:rsidRPr="00490D10">
        <w:rPr>
          <w:rFonts w:cs="Times New Roman"/>
          <w:bCs/>
          <w:i/>
          <w:sz w:val="24"/>
          <w:szCs w:val="24"/>
        </w:rPr>
        <w:t>5. Breast-feeding women can be given ETV though it is not</w:t>
      </w:r>
      <w:r w:rsidR="00172ED4">
        <w:rPr>
          <w:rFonts w:cs="Times New Roman"/>
          <w:bCs/>
          <w:i/>
          <w:sz w:val="24"/>
          <w:szCs w:val="24"/>
        </w:rPr>
        <w:t xml:space="preserve"> known if ETV is secreted into </w:t>
      </w:r>
      <w:r w:rsidRPr="00490D10">
        <w:rPr>
          <w:rFonts w:cs="Times New Roman"/>
          <w:bCs/>
          <w:i/>
          <w:sz w:val="24"/>
          <w:szCs w:val="24"/>
        </w:rPr>
        <w:t>breast milk</w:t>
      </w:r>
    </w:p>
    <w:p w14:paraId="21F48543" w14:textId="77777777" w:rsidR="00A576F8" w:rsidRDefault="00A576F8" w:rsidP="0051192E">
      <w:pPr>
        <w:spacing w:after="0" w:line="240" w:lineRule="auto"/>
        <w:rPr>
          <w:rFonts w:cs="Times New Roman"/>
          <w:bCs/>
          <w:sz w:val="24"/>
          <w:szCs w:val="24"/>
        </w:rPr>
      </w:pPr>
    </w:p>
    <w:p w14:paraId="52637CC8" w14:textId="77777777" w:rsidR="00172ED4" w:rsidRPr="0051192E" w:rsidRDefault="00172ED4" w:rsidP="0051192E">
      <w:pPr>
        <w:spacing w:after="0" w:line="240" w:lineRule="auto"/>
        <w:rPr>
          <w:rFonts w:cs="Times New Roman"/>
          <w:bCs/>
          <w:sz w:val="24"/>
          <w:szCs w:val="24"/>
        </w:rPr>
      </w:pPr>
    </w:p>
    <w:p w14:paraId="3CA92AB0" w14:textId="77777777" w:rsidR="003A74F2" w:rsidRPr="0051192E" w:rsidRDefault="003A74F2" w:rsidP="0051192E">
      <w:pPr>
        <w:spacing w:after="0" w:line="240" w:lineRule="auto"/>
        <w:rPr>
          <w:rFonts w:cs="Times New Roman"/>
          <w:sz w:val="24"/>
          <w:szCs w:val="24"/>
        </w:rPr>
      </w:pPr>
      <w:r w:rsidRPr="0051192E">
        <w:rPr>
          <w:rFonts w:cs="Times New Roman"/>
          <w:b/>
          <w:sz w:val="24"/>
          <w:szCs w:val="24"/>
        </w:rPr>
        <w:t>Drug-Drug Interactions:</w:t>
      </w:r>
    </w:p>
    <w:p w14:paraId="40D7897D" w14:textId="459AE30F" w:rsidR="00004BF5" w:rsidRPr="0051192E" w:rsidRDefault="00A31B67" w:rsidP="0051192E">
      <w:pPr>
        <w:spacing w:after="0" w:line="240" w:lineRule="auto"/>
        <w:rPr>
          <w:rFonts w:cs="Times New Roman"/>
          <w:sz w:val="24"/>
          <w:szCs w:val="24"/>
        </w:rPr>
      </w:pPr>
      <w:r w:rsidRPr="0051192E">
        <w:rPr>
          <w:rFonts w:cs="Times New Roman"/>
          <w:sz w:val="24"/>
          <w:szCs w:val="24"/>
        </w:rPr>
        <w:t>ETV</w:t>
      </w:r>
      <w:r w:rsidR="00F8550B" w:rsidRPr="0051192E">
        <w:rPr>
          <w:rFonts w:cs="Times New Roman"/>
          <w:sz w:val="24"/>
          <w:szCs w:val="24"/>
        </w:rPr>
        <w:t xml:space="preserve"> is a substrate as well as </w:t>
      </w:r>
      <w:r w:rsidR="00A576F8" w:rsidRPr="0051192E">
        <w:rPr>
          <w:rFonts w:cs="Times New Roman"/>
          <w:sz w:val="24"/>
          <w:szCs w:val="24"/>
        </w:rPr>
        <w:t>an inducer and inhibitor of the Cytochro</w:t>
      </w:r>
      <w:r w:rsidR="00172ED4">
        <w:rPr>
          <w:rFonts w:cs="Times New Roman"/>
          <w:sz w:val="24"/>
          <w:szCs w:val="24"/>
        </w:rPr>
        <w:t xml:space="preserve">me P450 enzyme system </w:t>
      </w:r>
      <w:r w:rsidR="00916AE0" w:rsidRPr="0051192E">
        <w:rPr>
          <w:rFonts w:cs="Times New Roman"/>
          <w:sz w:val="24"/>
          <w:szCs w:val="24"/>
        </w:rPr>
        <w:t>in the liver</w:t>
      </w:r>
      <w:r w:rsidR="00A576F8" w:rsidRPr="0051192E">
        <w:rPr>
          <w:rFonts w:cs="Times New Roman"/>
          <w:sz w:val="24"/>
          <w:szCs w:val="24"/>
        </w:rPr>
        <w:t xml:space="preserve">. Therefore it will interact with many drugs that are metabolized by these enzymes. </w:t>
      </w:r>
    </w:p>
    <w:p w14:paraId="27C25B4D" w14:textId="77777777" w:rsidR="006D1621" w:rsidRPr="0051192E" w:rsidRDefault="006D1621" w:rsidP="0051192E">
      <w:pPr>
        <w:spacing w:after="0" w:line="240" w:lineRule="auto"/>
        <w:rPr>
          <w:rFonts w:cs="Times New Roman"/>
          <w:sz w:val="24"/>
          <w:szCs w:val="24"/>
        </w:rPr>
      </w:pPr>
    </w:p>
    <w:p w14:paraId="6635591C" w14:textId="77777777" w:rsidR="00A31B67" w:rsidRPr="0051192E" w:rsidRDefault="00A31B67" w:rsidP="0051192E">
      <w:pPr>
        <w:spacing w:after="0" w:line="240" w:lineRule="auto"/>
        <w:rPr>
          <w:rFonts w:cs="Times New Roman"/>
          <w:sz w:val="24"/>
          <w:szCs w:val="24"/>
        </w:rPr>
      </w:pPr>
      <w:r w:rsidRPr="0051192E">
        <w:rPr>
          <w:rFonts w:cs="Times New Roman"/>
          <w:sz w:val="24"/>
          <w:szCs w:val="24"/>
        </w:rPr>
        <w:t>Potential Important Drug-Drug Interactions with ETV:</w:t>
      </w:r>
    </w:p>
    <w:tbl>
      <w:tblPr>
        <w:tblStyle w:val="TableGrid"/>
        <w:tblW w:w="0" w:type="auto"/>
        <w:tblLook w:val="04A0" w:firstRow="1" w:lastRow="0" w:firstColumn="1" w:lastColumn="0" w:noHBand="0" w:noVBand="1"/>
      </w:tblPr>
      <w:tblGrid>
        <w:gridCol w:w="4788"/>
        <w:gridCol w:w="4788"/>
      </w:tblGrid>
      <w:tr w:rsidR="00A31B67" w:rsidRPr="0051192E" w14:paraId="0D1B841E" w14:textId="77777777" w:rsidTr="00A31B67">
        <w:tc>
          <w:tcPr>
            <w:tcW w:w="4788" w:type="dxa"/>
          </w:tcPr>
          <w:p w14:paraId="27A87398" w14:textId="77777777" w:rsidR="00A31B67" w:rsidRPr="0051192E" w:rsidRDefault="00A31B67" w:rsidP="0051192E">
            <w:pPr>
              <w:rPr>
                <w:rFonts w:cs="Times New Roman"/>
                <w:sz w:val="24"/>
                <w:szCs w:val="24"/>
              </w:rPr>
            </w:pPr>
            <w:r w:rsidRPr="0051192E">
              <w:rPr>
                <w:rFonts w:cs="Times New Roman"/>
                <w:sz w:val="24"/>
                <w:szCs w:val="24"/>
              </w:rPr>
              <w:t>Drug name (Drug class)</w:t>
            </w:r>
          </w:p>
        </w:tc>
        <w:tc>
          <w:tcPr>
            <w:tcW w:w="4788" w:type="dxa"/>
          </w:tcPr>
          <w:p w14:paraId="046761B1" w14:textId="77777777" w:rsidR="00A31B67" w:rsidRPr="0051192E" w:rsidRDefault="00A31B67" w:rsidP="0051192E">
            <w:pPr>
              <w:rPr>
                <w:rFonts w:cs="Times New Roman"/>
                <w:sz w:val="24"/>
                <w:szCs w:val="24"/>
              </w:rPr>
            </w:pPr>
            <w:r w:rsidRPr="0051192E">
              <w:rPr>
                <w:rFonts w:cs="Times New Roman"/>
                <w:sz w:val="24"/>
                <w:szCs w:val="24"/>
              </w:rPr>
              <w:t>Effect</w:t>
            </w:r>
          </w:p>
        </w:tc>
      </w:tr>
      <w:tr w:rsidR="00590EBE" w:rsidRPr="0051192E" w14:paraId="1196C9A8" w14:textId="77777777" w:rsidTr="00A31B67">
        <w:tc>
          <w:tcPr>
            <w:tcW w:w="4788" w:type="dxa"/>
          </w:tcPr>
          <w:p w14:paraId="73A82AF1" w14:textId="77777777" w:rsidR="00590EBE" w:rsidRPr="0051192E" w:rsidRDefault="00590EBE" w:rsidP="0051192E">
            <w:pPr>
              <w:rPr>
                <w:rFonts w:cs="Times New Roman"/>
                <w:sz w:val="24"/>
                <w:szCs w:val="24"/>
              </w:rPr>
            </w:pPr>
            <w:r w:rsidRPr="0051192E">
              <w:rPr>
                <w:rFonts w:cs="Times New Roman"/>
                <w:sz w:val="24"/>
                <w:szCs w:val="24"/>
              </w:rPr>
              <w:t xml:space="preserve">Rifampicin and </w:t>
            </w:r>
            <w:proofErr w:type="spellStart"/>
            <w:r w:rsidRPr="0051192E">
              <w:rPr>
                <w:rFonts w:cs="Times New Roman"/>
                <w:sz w:val="24"/>
                <w:szCs w:val="24"/>
              </w:rPr>
              <w:t>rifabutin</w:t>
            </w:r>
            <w:proofErr w:type="spellEnd"/>
          </w:p>
        </w:tc>
        <w:tc>
          <w:tcPr>
            <w:tcW w:w="4788" w:type="dxa"/>
          </w:tcPr>
          <w:p w14:paraId="15845AA9" w14:textId="77777777" w:rsidR="00590EBE" w:rsidRPr="0051192E" w:rsidRDefault="00590EBE" w:rsidP="0051192E">
            <w:pPr>
              <w:pStyle w:val="Default"/>
              <w:rPr>
                <w:rFonts w:asciiTheme="minorHAnsi" w:hAnsiTheme="minorHAnsi"/>
              </w:rPr>
            </w:pPr>
            <w:r w:rsidRPr="0051192E">
              <w:rPr>
                <w:rFonts w:asciiTheme="minorHAnsi" w:hAnsiTheme="minorHAnsi" w:cstheme="minorBidi"/>
              </w:rPr>
              <w:t xml:space="preserve">↓ </w:t>
            </w:r>
            <w:r w:rsidR="00004BF5" w:rsidRPr="0051192E">
              <w:rPr>
                <w:rFonts w:asciiTheme="minorHAnsi" w:hAnsiTheme="minorHAnsi"/>
              </w:rPr>
              <w:t>ETV</w:t>
            </w:r>
            <w:r w:rsidRPr="0051192E">
              <w:rPr>
                <w:rFonts w:asciiTheme="minorHAnsi" w:hAnsiTheme="minorHAnsi"/>
              </w:rPr>
              <w:t xml:space="preserve">, </w:t>
            </w:r>
            <w:r w:rsidR="00004BF5" w:rsidRPr="0051192E">
              <w:rPr>
                <w:rFonts w:asciiTheme="minorHAnsi" w:hAnsiTheme="minorHAnsi"/>
              </w:rPr>
              <w:t>co-administration may cause significant decreases in ETV plasma concentrations and loss of therapeutic effect of ETV</w:t>
            </w:r>
          </w:p>
        </w:tc>
      </w:tr>
      <w:tr w:rsidR="006D1621" w:rsidRPr="0051192E" w14:paraId="60DF6869" w14:textId="77777777" w:rsidTr="00A31B67">
        <w:tc>
          <w:tcPr>
            <w:tcW w:w="4788" w:type="dxa"/>
          </w:tcPr>
          <w:p w14:paraId="60C2F7B6" w14:textId="644FE616" w:rsidR="006D1621" w:rsidRPr="0051192E" w:rsidRDefault="006D1621" w:rsidP="00172ED4">
            <w:pPr>
              <w:rPr>
                <w:rFonts w:cs="Times New Roman"/>
                <w:sz w:val="24"/>
                <w:szCs w:val="24"/>
              </w:rPr>
            </w:pPr>
            <w:r w:rsidRPr="0051192E">
              <w:rPr>
                <w:rFonts w:cs="Times New Roman"/>
                <w:sz w:val="24"/>
                <w:szCs w:val="24"/>
              </w:rPr>
              <w:t>Antifungals e</w:t>
            </w:r>
            <w:r w:rsidR="00172ED4">
              <w:rPr>
                <w:rFonts w:cs="Times New Roman"/>
                <w:sz w:val="24"/>
                <w:szCs w:val="24"/>
              </w:rPr>
              <w:t>.</w:t>
            </w:r>
            <w:r w:rsidRPr="0051192E">
              <w:rPr>
                <w:rFonts w:cs="Times New Roman"/>
                <w:sz w:val="24"/>
                <w:szCs w:val="24"/>
              </w:rPr>
              <w:t>g</w:t>
            </w:r>
            <w:r w:rsidR="00172ED4">
              <w:rPr>
                <w:rFonts w:cs="Times New Roman"/>
                <w:sz w:val="24"/>
                <w:szCs w:val="24"/>
              </w:rPr>
              <w:t>. fluconazole</w:t>
            </w:r>
            <w:r w:rsidRPr="0051192E">
              <w:rPr>
                <w:rFonts w:cs="Times New Roman"/>
                <w:sz w:val="24"/>
                <w:szCs w:val="24"/>
              </w:rPr>
              <w:t>, ketoconazole</w:t>
            </w:r>
          </w:p>
        </w:tc>
        <w:tc>
          <w:tcPr>
            <w:tcW w:w="4788" w:type="dxa"/>
          </w:tcPr>
          <w:p w14:paraId="32A5FE79" w14:textId="77777777" w:rsidR="006D1621" w:rsidRPr="0051192E" w:rsidRDefault="006D1621" w:rsidP="0051192E">
            <w:pPr>
              <w:pStyle w:val="Default"/>
              <w:rPr>
                <w:rFonts w:asciiTheme="minorHAnsi" w:hAnsiTheme="minorHAnsi"/>
              </w:rPr>
            </w:pPr>
            <w:r w:rsidRPr="0051192E">
              <w:rPr>
                <w:rFonts w:asciiTheme="minorHAnsi" w:hAnsiTheme="minorHAnsi" w:cstheme="minorBidi"/>
              </w:rPr>
              <w:t xml:space="preserve">↑ </w:t>
            </w:r>
            <w:r w:rsidRPr="0051192E">
              <w:rPr>
                <w:rFonts w:asciiTheme="minorHAnsi" w:hAnsiTheme="minorHAnsi"/>
              </w:rPr>
              <w:t>ETV, use with caution</w:t>
            </w:r>
          </w:p>
          <w:p w14:paraId="25203D61" w14:textId="77777777" w:rsidR="006D1621" w:rsidRPr="0051192E" w:rsidRDefault="006D1621" w:rsidP="0051192E">
            <w:pPr>
              <w:pStyle w:val="Default"/>
              <w:rPr>
                <w:rFonts w:asciiTheme="minorHAnsi" w:hAnsiTheme="minorHAnsi" w:cstheme="minorBidi"/>
              </w:rPr>
            </w:pPr>
          </w:p>
        </w:tc>
      </w:tr>
      <w:tr w:rsidR="00A31B67" w:rsidRPr="0051192E" w14:paraId="41A42341" w14:textId="77777777" w:rsidTr="00A31B67">
        <w:tc>
          <w:tcPr>
            <w:tcW w:w="4788" w:type="dxa"/>
          </w:tcPr>
          <w:p w14:paraId="75B56A7E" w14:textId="77777777" w:rsidR="00A31B67" w:rsidRPr="0051192E" w:rsidRDefault="00A31B67" w:rsidP="0051192E">
            <w:pPr>
              <w:rPr>
                <w:rFonts w:cs="Times New Roman"/>
                <w:sz w:val="24"/>
                <w:szCs w:val="24"/>
              </w:rPr>
            </w:pPr>
            <w:proofErr w:type="spellStart"/>
            <w:r w:rsidRPr="0051192E">
              <w:rPr>
                <w:rFonts w:cs="Times New Roman"/>
                <w:sz w:val="24"/>
                <w:szCs w:val="24"/>
              </w:rPr>
              <w:t>Antiarrhythmics</w:t>
            </w:r>
            <w:proofErr w:type="spellEnd"/>
            <w:r w:rsidRPr="0051192E">
              <w:rPr>
                <w:rFonts w:cs="Times New Roman"/>
                <w:sz w:val="24"/>
                <w:szCs w:val="24"/>
              </w:rPr>
              <w:t xml:space="preserve">: </w:t>
            </w:r>
          </w:p>
          <w:p w14:paraId="4BC3689F" w14:textId="77777777" w:rsidR="00A31B67" w:rsidRPr="0051192E" w:rsidRDefault="00A31B67" w:rsidP="0051192E">
            <w:pPr>
              <w:rPr>
                <w:rFonts w:cs="Times New Roman"/>
                <w:sz w:val="24"/>
                <w:szCs w:val="24"/>
              </w:rPr>
            </w:pPr>
            <w:proofErr w:type="gramStart"/>
            <w:r w:rsidRPr="0051192E">
              <w:rPr>
                <w:rFonts w:cs="Times New Roman"/>
                <w:sz w:val="24"/>
                <w:szCs w:val="24"/>
              </w:rPr>
              <w:t>e</w:t>
            </w:r>
            <w:proofErr w:type="gramEnd"/>
            <w:r w:rsidRPr="0051192E">
              <w:rPr>
                <w:rFonts w:cs="Times New Roman"/>
                <w:sz w:val="24"/>
                <w:szCs w:val="24"/>
              </w:rPr>
              <w:t>.g. amiodarone, Lignocaine (lidocaine)</w:t>
            </w:r>
          </w:p>
        </w:tc>
        <w:tc>
          <w:tcPr>
            <w:tcW w:w="4788" w:type="dxa"/>
          </w:tcPr>
          <w:p w14:paraId="2291778D" w14:textId="77777777" w:rsidR="00A31B67" w:rsidRPr="0051192E" w:rsidRDefault="00590EBE" w:rsidP="0051192E">
            <w:pPr>
              <w:rPr>
                <w:rFonts w:cs="Times New Roman"/>
                <w:sz w:val="24"/>
                <w:szCs w:val="24"/>
              </w:rPr>
            </w:pPr>
            <w:r w:rsidRPr="0051192E">
              <w:rPr>
                <w:rFonts w:cs="Times New Roman"/>
                <w:sz w:val="24"/>
                <w:szCs w:val="24"/>
              </w:rPr>
              <w:t>↓</w:t>
            </w:r>
            <w:r w:rsidR="00A31B67" w:rsidRPr="0051192E">
              <w:rPr>
                <w:rFonts w:cs="Times New Roman"/>
                <w:sz w:val="24"/>
                <w:szCs w:val="24"/>
              </w:rPr>
              <w:t xml:space="preserve"> levels of Antiarrhythmic</w:t>
            </w:r>
          </w:p>
        </w:tc>
      </w:tr>
      <w:tr w:rsidR="00A31B67" w:rsidRPr="0051192E" w14:paraId="0CB2284E" w14:textId="77777777" w:rsidTr="00A31B67">
        <w:tc>
          <w:tcPr>
            <w:tcW w:w="4788" w:type="dxa"/>
          </w:tcPr>
          <w:p w14:paraId="50E955F2" w14:textId="77777777" w:rsidR="00A31B67" w:rsidRPr="0051192E" w:rsidRDefault="00A31B67" w:rsidP="0051192E">
            <w:pPr>
              <w:rPr>
                <w:rFonts w:cs="Times New Roman"/>
                <w:sz w:val="24"/>
                <w:szCs w:val="24"/>
              </w:rPr>
            </w:pPr>
            <w:r w:rsidRPr="0051192E">
              <w:rPr>
                <w:rFonts w:cs="Times New Roman"/>
                <w:sz w:val="24"/>
                <w:szCs w:val="24"/>
              </w:rPr>
              <w:t>Clarithromycin</w:t>
            </w:r>
          </w:p>
        </w:tc>
        <w:tc>
          <w:tcPr>
            <w:tcW w:w="4788" w:type="dxa"/>
          </w:tcPr>
          <w:p w14:paraId="2292FCE2" w14:textId="77777777" w:rsidR="00590EBE" w:rsidRPr="0051192E" w:rsidRDefault="00590EBE" w:rsidP="0051192E">
            <w:pPr>
              <w:pStyle w:val="Default"/>
              <w:rPr>
                <w:rFonts w:asciiTheme="minorHAnsi" w:hAnsiTheme="minorHAnsi"/>
              </w:rPr>
            </w:pPr>
            <w:r w:rsidRPr="0051192E">
              <w:rPr>
                <w:rFonts w:asciiTheme="minorHAnsi" w:hAnsiTheme="minorHAnsi" w:cstheme="minorBidi"/>
              </w:rPr>
              <w:t xml:space="preserve">↑ </w:t>
            </w:r>
            <w:r w:rsidR="00004BF5" w:rsidRPr="0051192E">
              <w:rPr>
                <w:rFonts w:asciiTheme="minorHAnsi" w:hAnsiTheme="minorHAnsi"/>
              </w:rPr>
              <w:t>ETV</w:t>
            </w:r>
          </w:p>
          <w:p w14:paraId="7BFC2704" w14:textId="77777777" w:rsidR="00590EBE" w:rsidRPr="0051192E" w:rsidRDefault="00590EBE" w:rsidP="0051192E">
            <w:pPr>
              <w:pStyle w:val="Default"/>
              <w:rPr>
                <w:rFonts w:asciiTheme="minorHAnsi" w:hAnsiTheme="minorHAnsi"/>
              </w:rPr>
            </w:pPr>
            <w:r w:rsidRPr="0051192E">
              <w:rPr>
                <w:rFonts w:asciiTheme="minorHAnsi" w:hAnsiTheme="minorHAnsi" w:cstheme="minorBidi"/>
              </w:rPr>
              <w:t xml:space="preserve">↓ </w:t>
            </w:r>
            <w:r w:rsidRPr="0051192E">
              <w:rPr>
                <w:rFonts w:asciiTheme="minorHAnsi" w:hAnsiTheme="minorHAnsi"/>
              </w:rPr>
              <w:t xml:space="preserve">clarithromycin  - use azithromycin if treating </w:t>
            </w:r>
          </w:p>
          <w:p w14:paraId="1371B825" w14:textId="77777777" w:rsidR="00A31B67" w:rsidRPr="0051192E" w:rsidRDefault="00590EBE" w:rsidP="0051192E">
            <w:pPr>
              <w:pStyle w:val="Default"/>
              <w:rPr>
                <w:rFonts w:asciiTheme="minorHAnsi" w:hAnsiTheme="minorHAnsi"/>
              </w:rPr>
            </w:pPr>
            <w:r w:rsidRPr="0051192E">
              <w:rPr>
                <w:rFonts w:asciiTheme="minorHAnsi" w:hAnsiTheme="minorHAnsi"/>
                <w:i/>
                <w:iCs/>
              </w:rPr>
              <w:t xml:space="preserve">Mycobacterium </w:t>
            </w:r>
            <w:proofErr w:type="spellStart"/>
            <w:r w:rsidRPr="0051192E">
              <w:rPr>
                <w:rFonts w:asciiTheme="minorHAnsi" w:hAnsiTheme="minorHAnsi"/>
                <w:i/>
                <w:iCs/>
              </w:rPr>
              <w:t>avium</w:t>
            </w:r>
            <w:proofErr w:type="spellEnd"/>
            <w:r w:rsidRPr="0051192E">
              <w:rPr>
                <w:rFonts w:asciiTheme="minorHAnsi" w:hAnsiTheme="minorHAnsi"/>
                <w:i/>
                <w:iCs/>
              </w:rPr>
              <w:t xml:space="preserve"> </w:t>
            </w:r>
            <w:r w:rsidRPr="0051192E">
              <w:rPr>
                <w:rFonts w:asciiTheme="minorHAnsi" w:hAnsiTheme="minorHAnsi"/>
              </w:rPr>
              <w:t xml:space="preserve">complex (MAC) </w:t>
            </w:r>
          </w:p>
        </w:tc>
      </w:tr>
      <w:tr w:rsidR="00A31B67" w:rsidRPr="0051192E" w14:paraId="1C68F53C" w14:textId="77777777" w:rsidTr="00A31B67">
        <w:tc>
          <w:tcPr>
            <w:tcW w:w="4788" w:type="dxa"/>
          </w:tcPr>
          <w:p w14:paraId="29C0E90A" w14:textId="77777777" w:rsidR="00A31B67" w:rsidRPr="0051192E" w:rsidRDefault="00A31B67" w:rsidP="0051192E">
            <w:pPr>
              <w:rPr>
                <w:rFonts w:cs="Times New Roman"/>
                <w:sz w:val="24"/>
                <w:szCs w:val="24"/>
              </w:rPr>
            </w:pPr>
            <w:r w:rsidRPr="0051192E">
              <w:rPr>
                <w:rFonts w:cs="Times New Roman"/>
                <w:sz w:val="24"/>
                <w:szCs w:val="24"/>
              </w:rPr>
              <w:t>Warfarin</w:t>
            </w:r>
          </w:p>
        </w:tc>
        <w:tc>
          <w:tcPr>
            <w:tcW w:w="4788" w:type="dxa"/>
          </w:tcPr>
          <w:p w14:paraId="68B90104" w14:textId="77777777" w:rsidR="00A31B67" w:rsidRPr="0051192E" w:rsidRDefault="00590EBE" w:rsidP="0051192E">
            <w:pPr>
              <w:rPr>
                <w:rFonts w:cs="Times New Roman"/>
                <w:sz w:val="24"/>
                <w:szCs w:val="24"/>
              </w:rPr>
            </w:pPr>
            <w:r w:rsidRPr="0051192E">
              <w:rPr>
                <w:rFonts w:cs="Times New Roman"/>
                <w:sz w:val="24"/>
                <w:szCs w:val="24"/>
              </w:rPr>
              <w:t>↑</w:t>
            </w:r>
            <w:r w:rsidR="00A31B67" w:rsidRPr="0051192E">
              <w:rPr>
                <w:rFonts w:cs="Times New Roman"/>
                <w:sz w:val="24"/>
                <w:szCs w:val="24"/>
              </w:rPr>
              <w:t xml:space="preserve"> levels</w:t>
            </w:r>
            <w:r w:rsidRPr="0051192E">
              <w:rPr>
                <w:rFonts w:cs="Times New Roman"/>
                <w:sz w:val="24"/>
                <w:szCs w:val="24"/>
              </w:rPr>
              <w:t xml:space="preserve">, warfarin </w:t>
            </w:r>
            <w:r w:rsidR="00916AE0" w:rsidRPr="0051192E">
              <w:rPr>
                <w:rFonts w:cs="Times New Roman"/>
                <w:sz w:val="24"/>
                <w:szCs w:val="24"/>
              </w:rPr>
              <w:t xml:space="preserve">dose </w:t>
            </w:r>
            <w:r w:rsidRPr="0051192E">
              <w:rPr>
                <w:rFonts w:cs="Times New Roman"/>
                <w:sz w:val="24"/>
                <w:szCs w:val="24"/>
              </w:rPr>
              <w:t xml:space="preserve">may need to be reduced, monitor the INR closely </w:t>
            </w:r>
          </w:p>
        </w:tc>
      </w:tr>
      <w:tr w:rsidR="00A31B67" w:rsidRPr="0051192E" w14:paraId="054EA4FE" w14:textId="77777777" w:rsidTr="00004BF5">
        <w:trPr>
          <w:trHeight w:val="791"/>
        </w:trPr>
        <w:tc>
          <w:tcPr>
            <w:tcW w:w="4788" w:type="dxa"/>
          </w:tcPr>
          <w:p w14:paraId="0194BF2A" w14:textId="77777777" w:rsidR="00A31B67" w:rsidRPr="0051192E" w:rsidRDefault="00A31B67" w:rsidP="0051192E">
            <w:pPr>
              <w:rPr>
                <w:rFonts w:cs="Times New Roman"/>
                <w:sz w:val="24"/>
                <w:szCs w:val="24"/>
              </w:rPr>
            </w:pPr>
            <w:r w:rsidRPr="0051192E">
              <w:rPr>
                <w:rFonts w:cs="Times New Roman"/>
                <w:sz w:val="24"/>
                <w:szCs w:val="24"/>
              </w:rPr>
              <w:t>Anticonvulsants:</w:t>
            </w:r>
          </w:p>
          <w:p w14:paraId="427662DC" w14:textId="77777777" w:rsidR="00A31B67" w:rsidRPr="0051192E" w:rsidRDefault="00A31B67" w:rsidP="0051192E">
            <w:pPr>
              <w:rPr>
                <w:rFonts w:cs="Times New Roman"/>
                <w:sz w:val="24"/>
                <w:szCs w:val="24"/>
              </w:rPr>
            </w:pPr>
            <w:proofErr w:type="gramStart"/>
            <w:r w:rsidRPr="0051192E">
              <w:rPr>
                <w:rFonts w:cs="Times New Roman"/>
                <w:sz w:val="24"/>
                <w:szCs w:val="24"/>
              </w:rPr>
              <w:t>carbamazepine</w:t>
            </w:r>
            <w:proofErr w:type="gramEnd"/>
          </w:p>
          <w:p w14:paraId="52BB5907" w14:textId="77777777" w:rsidR="00A31B67" w:rsidRPr="0051192E" w:rsidRDefault="00A31B67" w:rsidP="0051192E">
            <w:pPr>
              <w:rPr>
                <w:rFonts w:cs="Times New Roman"/>
                <w:sz w:val="24"/>
                <w:szCs w:val="24"/>
              </w:rPr>
            </w:pPr>
            <w:proofErr w:type="spellStart"/>
            <w:proofErr w:type="gramStart"/>
            <w:r w:rsidRPr="0051192E">
              <w:rPr>
                <w:rFonts w:cs="Times New Roman"/>
                <w:sz w:val="24"/>
                <w:szCs w:val="24"/>
              </w:rPr>
              <w:t>phenobarbitone</w:t>
            </w:r>
            <w:proofErr w:type="spellEnd"/>
            <w:proofErr w:type="gramEnd"/>
            <w:r w:rsidRPr="0051192E">
              <w:rPr>
                <w:rFonts w:cs="Times New Roman"/>
                <w:sz w:val="24"/>
                <w:szCs w:val="24"/>
              </w:rPr>
              <w:t xml:space="preserve">, </w:t>
            </w:r>
            <w:r w:rsidR="00004BF5" w:rsidRPr="0051192E">
              <w:rPr>
                <w:rFonts w:cs="Times New Roman"/>
                <w:sz w:val="24"/>
                <w:szCs w:val="24"/>
              </w:rPr>
              <w:t>Phenytoin</w:t>
            </w:r>
          </w:p>
        </w:tc>
        <w:tc>
          <w:tcPr>
            <w:tcW w:w="4788" w:type="dxa"/>
          </w:tcPr>
          <w:p w14:paraId="7853554E" w14:textId="77777777" w:rsidR="00A31B67" w:rsidRPr="0051192E" w:rsidRDefault="00004BF5" w:rsidP="0051192E">
            <w:pPr>
              <w:rPr>
                <w:rFonts w:cs="Times New Roman"/>
                <w:sz w:val="24"/>
                <w:szCs w:val="24"/>
              </w:rPr>
            </w:pPr>
            <w:r w:rsidRPr="0051192E">
              <w:rPr>
                <w:rFonts w:cs="Times New Roman"/>
                <w:sz w:val="24"/>
                <w:szCs w:val="24"/>
              </w:rPr>
              <w:t>↓ ETV, should not be co-administered</w:t>
            </w:r>
          </w:p>
          <w:p w14:paraId="2FFC8387" w14:textId="77777777" w:rsidR="00A31B67" w:rsidRPr="0051192E" w:rsidRDefault="00A31B67" w:rsidP="0051192E">
            <w:pPr>
              <w:rPr>
                <w:rFonts w:cs="Times New Roman"/>
                <w:sz w:val="24"/>
                <w:szCs w:val="24"/>
              </w:rPr>
            </w:pPr>
          </w:p>
        </w:tc>
      </w:tr>
      <w:tr w:rsidR="00A31B67" w:rsidRPr="0051192E" w14:paraId="7AD8545B" w14:textId="77777777" w:rsidTr="00A31B67">
        <w:tc>
          <w:tcPr>
            <w:tcW w:w="4788" w:type="dxa"/>
          </w:tcPr>
          <w:p w14:paraId="351C5AAC" w14:textId="77777777" w:rsidR="00A31B67" w:rsidRPr="0051192E" w:rsidRDefault="00A31B67" w:rsidP="0051192E">
            <w:pPr>
              <w:rPr>
                <w:rFonts w:cs="Times New Roman"/>
                <w:sz w:val="24"/>
                <w:szCs w:val="24"/>
              </w:rPr>
            </w:pPr>
            <w:r w:rsidRPr="0051192E">
              <w:rPr>
                <w:rFonts w:cs="Times New Roman"/>
                <w:sz w:val="24"/>
                <w:szCs w:val="24"/>
              </w:rPr>
              <w:t>Corticosteroids</w:t>
            </w:r>
            <w:r w:rsidR="00004BF5" w:rsidRPr="0051192E">
              <w:rPr>
                <w:rFonts w:cs="Times New Roman"/>
                <w:sz w:val="24"/>
                <w:szCs w:val="24"/>
              </w:rPr>
              <w:t>: dexamethasone</w:t>
            </w:r>
          </w:p>
        </w:tc>
        <w:tc>
          <w:tcPr>
            <w:tcW w:w="4788" w:type="dxa"/>
          </w:tcPr>
          <w:p w14:paraId="1BCF4D61" w14:textId="77777777" w:rsidR="00A31B67" w:rsidRPr="0051192E" w:rsidRDefault="00004BF5" w:rsidP="0051192E">
            <w:pPr>
              <w:pStyle w:val="Default"/>
              <w:rPr>
                <w:rFonts w:asciiTheme="minorHAnsi" w:hAnsiTheme="minorHAnsi"/>
              </w:rPr>
            </w:pPr>
            <w:r w:rsidRPr="0051192E">
              <w:rPr>
                <w:rFonts w:asciiTheme="minorHAnsi" w:hAnsiTheme="minorHAnsi" w:cstheme="minorBidi"/>
              </w:rPr>
              <w:t xml:space="preserve">↓ </w:t>
            </w:r>
            <w:r w:rsidR="00916AE0" w:rsidRPr="0051192E">
              <w:rPr>
                <w:rFonts w:asciiTheme="minorHAnsi" w:hAnsiTheme="minorHAnsi"/>
              </w:rPr>
              <w:t>ETV</w:t>
            </w:r>
            <w:r w:rsidRPr="0051192E">
              <w:rPr>
                <w:rFonts w:asciiTheme="minorHAnsi" w:hAnsiTheme="minorHAnsi"/>
              </w:rPr>
              <w:t xml:space="preserve">, use alternative corticosteroid especially with long term use </w:t>
            </w:r>
          </w:p>
        </w:tc>
      </w:tr>
      <w:tr w:rsidR="00A31B67" w:rsidRPr="0051192E" w14:paraId="452142FA" w14:textId="77777777" w:rsidTr="00A31B67">
        <w:tc>
          <w:tcPr>
            <w:tcW w:w="4788" w:type="dxa"/>
          </w:tcPr>
          <w:p w14:paraId="58292A42" w14:textId="77777777" w:rsidR="00A31B67" w:rsidRPr="0051192E" w:rsidRDefault="00A31B67" w:rsidP="0051192E">
            <w:pPr>
              <w:rPr>
                <w:rFonts w:cs="Times New Roman"/>
                <w:sz w:val="24"/>
                <w:szCs w:val="24"/>
              </w:rPr>
            </w:pPr>
            <w:r w:rsidRPr="0051192E">
              <w:rPr>
                <w:rFonts w:cs="Times New Roman"/>
                <w:sz w:val="24"/>
                <w:szCs w:val="24"/>
              </w:rPr>
              <w:t>Benzodiazepines:</w:t>
            </w:r>
            <w:r w:rsidR="00004BF5" w:rsidRPr="0051192E">
              <w:rPr>
                <w:rFonts w:cs="Times New Roman"/>
                <w:sz w:val="24"/>
                <w:szCs w:val="24"/>
              </w:rPr>
              <w:t xml:space="preserve"> </w:t>
            </w:r>
            <w:r w:rsidRPr="0051192E">
              <w:rPr>
                <w:rFonts w:cs="Times New Roman"/>
                <w:sz w:val="24"/>
                <w:szCs w:val="24"/>
              </w:rPr>
              <w:t>diazepam</w:t>
            </w:r>
          </w:p>
        </w:tc>
        <w:tc>
          <w:tcPr>
            <w:tcW w:w="4788" w:type="dxa"/>
          </w:tcPr>
          <w:p w14:paraId="3E4701EA" w14:textId="77777777" w:rsidR="00A31B67" w:rsidRPr="0051192E" w:rsidRDefault="00004BF5" w:rsidP="0051192E">
            <w:pPr>
              <w:pStyle w:val="Default"/>
              <w:rPr>
                <w:rFonts w:asciiTheme="minorHAnsi" w:hAnsiTheme="minorHAnsi"/>
              </w:rPr>
            </w:pPr>
            <w:r w:rsidRPr="0051192E">
              <w:rPr>
                <w:rFonts w:asciiTheme="minorHAnsi" w:hAnsiTheme="minorHAnsi" w:cstheme="minorBidi"/>
              </w:rPr>
              <w:t xml:space="preserve">↑ </w:t>
            </w:r>
            <w:r w:rsidRPr="0051192E">
              <w:rPr>
                <w:rFonts w:asciiTheme="minorHAnsi" w:hAnsiTheme="minorHAnsi"/>
              </w:rPr>
              <w:t>diazepam</w:t>
            </w:r>
            <w:r w:rsidR="006D1621" w:rsidRPr="0051192E">
              <w:rPr>
                <w:rFonts w:asciiTheme="minorHAnsi" w:hAnsiTheme="minorHAnsi"/>
              </w:rPr>
              <w:t xml:space="preserve">, </w:t>
            </w:r>
            <w:r w:rsidRPr="0051192E">
              <w:rPr>
                <w:rFonts w:asciiTheme="minorHAnsi" w:hAnsiTheme="minorHAnsi"/>
              </w:rPr>
              <w:t>Reduce the dose of diazepam</w:t>
            </w:r>
          </w:p>
        </w:tc>
      </w:tr>
    </w:tbl>
    <w:p w14:paraId="281349E9" w14:textId="77777777" w:rsidR="003A74F2" w:rsidRPr="0051192E" w:rsidRDefault="003A74F2" w:rsidP="0051192E">
      <w:pPr>
        <w:spacing w:after="0" w:line="240" w:lineRule="auto"/>
        <w:rPr>
          <w:rFonts w:cs="Times New Roman"/>
          <w:sz w:val="24"/>
          <w:szCs w:val="24"/>
        </w:rPr>
      </w:pPr>
    </w:p>
    <w:p w14:paraId="0707485D" w14:textId="32F6A2BA" w:rsidR="00F8550B" w:rsidRPr="0051192E" w:rsidRDefault="00883B3A" w:rsidP="0051192E">
      <w:pPr>
        <w:spacing w:after="0" w:line="240" w:lineRule="auto"/>
        <w:rPr>
          <w:rFonts w:cs="Times New Roman"/>
          <w:sz w:val="24"/>
          <w:szCs w:val="24"/>
        </w:rPr>
      </w:pPr>
      <w:r w:rsidRPr="0051192E">
        <w:rPr>
          <w:rFonts w:cs="Times New Roman"/>
          <w:sz w:val="24"/>
          <w:szCs w:val="24"/>
        </w:rPr>
        <w:t>The following drugs can be co-prescribed with ETV: atorvastatin (though the dose of the statin may need to be increased, pravasta</w:t>
      </w:r>
      <w:r w:rsidR="00172ED4">
        <w:rPr>
          <w:rFonts w:cs="Times New Roman"/>
          <w:sz w:val="24"/>
          <w:szCs w:val="24"/>
        </w:rPr>
        <w:t>tin, sildenafil (V</w:t>
      </w:r>
      <w:r w:rsidRPr="0051192E">
        <w:rPr>
          <w:rFonts w:cs="Times New Roman"/>
          <w:sz w:val="24"/>
          <w:szCs w:val="24"/>
        </w:rPr>
        <w:t>iagra)</w:t>
      </w:r>
    </w:p>
    <w:p w14:paraId="3D6FCDA9" w14:textId="77777777" w:rsidR="00883B3A" w:rsidRPr="0051192E" w:rsidRDefault="00883B3A" w:rsidP="0051192E">
      <w:pPr>
        <w:spacing w:after="0" w:line="240" w:lineRule="auto"/>
        <w:rPr>
          <w:rFonts w:cs="Times New Roman"/>
          <w:sz w:val="24"/>
          <w:szCs w:val="24"/>
        </w:rPr>
      </w:pPr>
    </w:p>
    <w:p w14:paraId="053196E1" w14:textId="585C8357" w:rsidR="009D2B70" w:rsidRPr="0051192E" w:rsidRDefault="009D2B70" w:rsidP="0051192E">
      <w:pPr>
        <w:spacing w:after="0" w:line="240" w:lineRule="auto"/>
        <w:rPr>
          <w:rFonts w:cs="Times New Roman"/>
          <w:sz w:val="24"/>
          <w:szCs w:val="24"/>
        </w:rPr>
      </w:pPr>
      <w:r w:rsidRPr="00172ED4">
        <w:rPr>
          <w:rFonts w:cs="Times New Roman"/>
          <w:sz w:val="24"/>
          <w:szCs w:val="24"/>
        </w:rPr>
        <w:t xml:space="preserve">If you need to co-prescribe any other drugs with ETV, check for potential for dangerous interactions on the following website: </w:t>
      </w:r>
      <w:hyperlink r:id="rId8" w:history="1">
        <w:r w:rsidRPr="00172ED4">
          <w:rPr>
            <w:rStyle w:val="Hyperlink"/>
            <w:rFonts w:cs="Times New Roman"/>
            <w:sz w:val="24"/>
            <w:szCs w:val="24"/>
          </w:rPr>
          <w:t>http://www.hiv-druginteractions.org/</w:t>
        </w:r>
      </w:hyperlink>
      <w:r w:rsidRPr="00172ED4">
        <w:rPr>
          <w:rFonts w:cs="Times New Roman"/>
          <w:sz w:val="24"/>
          <w:szCs w:val="24"/>
        </w:rPr>
        <w:t xml:space="preserve"> or the British National </w:t>
      </w:r>
      <w:proofErr w:type="spellStart"/>
      <w:r w:rsidRPr="00172ED4">
        <w:rPr>
          <w:rFonts w:cs="Times New Roman"/>
          <w:sz w:val="24"/>
          <w:szCs w:val="24"/>
        </w:rPr>
        <w:t>Formularly</w:t>
      </w:r>
      <w:proofErr w:type="spellEnd"/>
      <w:r w:rsidRPr="00172ED4">
        <w:rPr>
          <w:rFonts w:cs="Times New Roman"/>
          <w:sz w:val="24"/>
          <w:szCs w:val="24"/>
        </w:rPr>
        <w:t xml:space="preserve"> or contact the Pharmacovigilance centre at College of Medicin</w:t>
      </w:r>
      <w:r w:rsidR="00172ED4" w:rsidRPr="00172ED4">
        <w:rPr>
          <w:rFonts w:cs="Times New Roman"/>
          <w:sz w:val="24"/>
          <w:szCs w:val="24"/>
        </w:rPr>
        <w:t>e.</w:t>
      </w:r>
    </w:p>
    <w:p w14:paraId="5A75D7FB" w14:textId="77777777" w:rsidR="002C166F" w:rsidRPr="0051192E" w:rsidRDefault="00883B3A" w:rsidP="0051192E">
      <w:pPr>
        <w:spacing w:after="0" w:line="240" w:lineRule="auto"/>
        <w:rPr>
          <w:rFonts w:cs="Times New Roman"/>
          <w:sz w:val="24"/>
          <w:szCs w:val="24"/>
        </w:rPr>
      </w:pPr>
      <w:r w:rsidRPr="0051192E">
        <w:rPr>
          <w:rFonts w:cs="Times New Roman"/>
          <w:sz w:val="24"/>
          <w:szCs w:val="24"/>
        </w:rPr>
        <w:t>Discourage patients from using herbal medicines</w:t>
      </w:r>
      <w:r w:rsidR="009D2B70" w:rsidRPr="0051192E">
        <w:rPr>
          <w:rFonts w:cs="Times New Roman"/>
          <w:sz w:val="24"/>
          <w:szCs w:val="24"/>
        </w:rPr>
        <w:t xml:space="preserve"> or drugs bought on the streets and at the market.</w:t>
      </w:r>
    </w:p>
    <w:p w14:paraId="70278B73" w14:textId="77777777" w:rsidR="00172ED4" w:rsidRDefault="00172ED4" w:rsidP="0051192E">
      <w:pPr>
        <w:spacing w:after="0" w:line="240" w:lineRule="auto"/>
        <w:rPr>
          <w:rFonts w:cs="Times New Roman"/>
          <w:sz w:val="24"/>
          <w:szCs w:val="24"/>
        </w:rPr>
      </w:pPr>
    </w:p>
    <w:p w14:paraId="381DBBBB" w14:textId="77777777" w:rsidR="00172ED4" w:rsidRDefault="00172ED4" w:rsidP="0051192E">
      <w:pPr>
        <w:spacing w:after="0" w:line="240" w:lineRule="auto"/>
        <w:rPr>
          <w:rFonts w:cs="Times New Roman"/>
          <w:sz w:val="24"/>
          <w:szCs w:val="24"/>
        </w:rPr>
      </w:pPr>
    </w:p>
    <w:p w14:paraId="67B7BFA3" w14:textId="77777777" w:rsidR="00172ED4" w:rsidRDefault="00172ED4" w:rsidP="0051192E">
      <w:pPr>
        <w:spacing w:after="0" w:line="240" w:lineRule="auto"/>
        <w:rPr>
          <w:rFonts w:cs="Times New Roman"/>
          <w:sz w:val="24"/>
          <w:szCs w:val="24"/>
        </w:rPr>
      </w:pPr>
    </w:p>
    <w:p w14:paraId="0F3FADBB" w14:textId="77777777" w:rsidR="00172ED4" w:rsidRDefault="00172ED4" w:rsidP="0051192E">
      <w:pPr>
        <w:spacing w:after="0" w:line="240" w:lineRule="auto"/>
        <w:rPr>
          <w:rFonts w:cs="Times New Roman"/>
          <w:sz w:val="24"/>
          <w:szCs w:val="24"/>
        </w:rPr>
      </w:pPr>
    </w:p>
    <w:p w14:paraId="18F8866C" w14:textId="77777777" w:rsidR="00172ED4" w:rsidRDefault="00172ED4" w:rsidP="0051192E">
      <w:pPr>
        <w:spacing w:after="0" w:line="240" w:lineRule="auto"/>
        <w:rPr>
          <w:rFonts w:cs="Times New Roman"/>
          <w:sz w:val="24"/>
          <w:szCs w:val="24"/>
        </w:rPr>
      </w:pPr>
    </w:p>
    <w:p w14:paraId="1149AC83" w14:textId="77777777" w:rsidR="00172ED4" w:rsidRDefault="00172ED4" w:rsidP="0051192E">
      <w:pPr>
        <w:spacing w:after="0" w:line="240" w:lineRule="auto"/>
        <w:rPr>
          <w:rFonts w:cs="Times New Roman"/>
          <w:sz w:val="24"/>
          <w:szCs w:val="24"/>
        </w:rPr>
      </w:pPr>
    </w:p>
    <w:p w14:paraId="526BD7CF" w14:textId="77777777" w:rsidR="00172ED4" w:rsidRDefault="00172ED4" w:rsidP="0051192E">
      <w:pPr>
        <w:spacing w:after="0" w:line="240" w:lineRule="auto"/>
        <w:rPr>
          <w:rFonts w:cs="Times New Roman"/>
          <w:sz w:val="24"/>
          <w:szCs w:val="24"/>
        </w:rPr>
      </w:pPr>
    </w:p>
    <w:p w14:paraId="512AA446" w14:textId="0656D8B9" w:rsidR="002C166F" w:rsidRPr="0051192E" w:rsidRDefault="002C166F" w:rsidP="0051192E">
      <w:pPr>
        <w:spacing w:after="0" w:line="240" w:lineRule="auto"/>
        <w:rPr>
          <w:rFonts w:cs="Times New Roman"/>
          <w:sz w:val="24"/>
          <w:szCs w:val="24"/>
        </w:rPr>
      </w:pPr>
      <w:r w:rsidRPr="0051192E">
        <w:rPr>
          <w:rFonts w:cs="Times New Roman"/>
          <w:sz w:val="24"/>
          <w:szCs w:val="24"/>
        </w:rPr>
        <w:lastRenderedPageBreak/>
        <w:t>WRITTEN INFORMATION TO BE GIVEN TO THE PATIENT</w:t>
      </w:r>
    </w:p>
    <w:p w14:paraId="6BECF8FA" w14:textId="77777777" w:rsidR="002C166F" w:rsidRPr="0051192E" w:rsidRDefault="002C166F" w:rsidP="0051192E">
      <w:pPr>
        <w:spacing w:after="0" w:line="240" w:lineRule="auto"/>
        <w:rPr>
          <w:rFonts w:cs="Times New Roman"/>
          <w:sz w:val="24"/>
          <w:szCs w:val="24"/>
        </w:rPr>
      </w:pPr>
    </w:p>
    <w:p w14:paraId="7D189011" w14:textId="77777777" w:rsidR="00883B3A" w:rsidRPr="00172ED4" w:rsidRDefault="00883B3A" w:rsidP="0051192E">
      <w:pPr>
        <w:spacing w:after="0" w:line="240" w:lineRule="auto"/>
        <w:rPr>
          <w:rFonts w:cs="Times New Roman"/>
          <w:b/>
          <w:sz w:val="24"/>
          <w:szCs w:val="24"/>
        </w:rPr>
      </w:pPr>
      <w:r w:rsidRPr="00172ED4">
        <w:rPr>
          <w:rFonts w:cs="Times New Roman"/>
          <w:b/>
          <w:sz w:val="24"/>
          <w:szCs w:val="24"/>
        </w:rPr>
        <w:t>ETRAVIRINE</w:t>
      </w:r>
    </w:p>
    <w:p w14:paraId="325BE91E" w14:textId="77777777" w:rsidR="00F8550B" w:rsidRPr="0051192E" w:rsidRDefault="00883B3A" w:rsidP="0051192E">
      <w:pPr>
        <w:spacing w:after="0" w:line="240" w:lineRule="auto"/>
        <w:rPr>
          <w:rFonts w:cs="Times New Roman"/>
          <w:sz w:val="24"/>
          <w:szCs w:val="24"/>
        </w:rPr>
      </w:pPr>
      <w:r w:rsidRPr="0051192E">
        <w:rPr>
          <w:rFonts w:cs="Times New Roman"/>
          <w:sz w:val="24"/>
          <w:szCs w:val="24"/>
        </w:rPr>
        <w:t>This is a pill used in combination with other pills to suppress HIV. It stops the virus from multiplying by blocking one of its enzymes called reverse transcriptase.</w:t>
      </w:r>
    </w:p>
    <w:p w14:paraId="0B0AF101" w14:textId="77777777" w:rsidR="00883B3A" w:rsidRPr="0051192E" w:rsidRDefault="00883B3A" w:rsidP="0051192E">
      <w:pPr>
        <w:spacing w:after="0" w:line="240" w:lineRule="auto"/>
        <w:rPr>
          <w:rFonts w:cs="Times New Roman"/>
          <w:sz w:val="24"/>
          <w:szCs w:val="24"/>
        </w:rPr>
      </w:pPr>
    </w:p>
    <w:p w14:paraId="02F16A63" w14:textId="77777777" w:rsidR="00172ED4" w:rsidRDefault="00883B3A" w:rsidP="0051192E">
      <w:pPr>
        <w:spacing w:after="0" w:line="240" w:lineRule="auto"/>
        <w:rPr>
          <w:rFonts w:cs="Times New Roman"/>
          <w:sz w:val="24"/>
          <w:szCs w:val="24"/>
        </w:rPr>
      </w:pPr>
      <w:r w:rsidRPr="0051192E">
        <w:rPr>
          <w:rFonts w:cs="Times New Roman"/>
          <w:sz w:val="24"/>
          <w:szCs w:val="24"/>
        </w:rPr>
        <w:t xml:space="preserve">Take 2 tablets twice daily </w:t>
      </w:r>
      <w:r w:rsidR="009E5BC2" w:rsidRPr="0051192E">
        <w:rPr>
          <w:rFonts w:cs="Times New Roman"/>
          <w:sz w:val="24"/>
          <w:szCs w:val="24"/>
        </w:rPr>
        <w:t>aft</w:t>
      </w:r>
      <w:r w:rsidR="00172ED4">
        <w:rPr>
          <w:rFonts w:cs="Times New Roman"/>
          <w:sz w:val="24"/>
          <w:szCs w:val="24"/>
        </w:rPr>
        <w:t>er eating food.</w:t>
      </w:r>
    </w:p>
    <w:p w14:paraId="3DCC6351" w14:textId="028B0DD8" w:rsidR="00F8550B" w:rsidRPr="0051192E" w:rsidRDefault="009E5BC2" w:rsidP="0051192E">
      <w:pPr>
        <w:spacing w:after="0" w:line="240" w:lineRule="auto"/>
        <w:rPr>
          <w:rFonts w:cs="Times New Roman"/>
          <w:sz w:val="24"/>
          <w:szCs w:val="24"/>
        </w:rPr>
      </w:pPr>
      <w:r w:rsidRPr="0051192E">
        <w:rPr>
          <w:rFonts w:cs="Times New Roman"/>
          <w:sz w:val="24"/>
          <w:szCs w:val="24"/>
        </w:rPr>
        <w:t xml:space="preserve">(Do </w:t>
      </w:r>
      <w:r w:rsidR="00883B3A" w:rsidRPr="0051192E">
        <w:rPr>
          <w:rFonts w:cs="Times New Roman"/>
          <w:sz w:val="24"/>
          <w:szCs w:val="24"/>
        </w:rPr>
        <w:t>not take this tablet on an empty stomach, it will not be absorbed properly and may result in a reduction in its power to treat HIV)</w:t>
      </w:r>
      <w:r w:rsidR="00E06C1D" w:rsidRPr="0051192E">
        <w:rPr>
          <w:rFonts w:cs="Times New Roman"/>
          <w:sz w:val="24"/>
          <w:szCs w:val="24"/>
        </w:rPr>
        <w:t>. Swallow the tablets whole with a glass of water. Do not chew the tablets. If you are unable to swallow the etravirine tablets whole, place the tablets in a glass containing a teaspoon of water. (If needed, add more water to cover the tablets.) Do not put the tablets</w:t>
      </w:r>
      <w:r w:rsidR="00423677" w:rsidRPr="0051192E">
        <w:rPr>
          <w:rFonts w:cs="Times New Roman"/>
          <w:sz w:val="24"/>
          <w:szCs w:val="24"/>
        </w:rPr>
        <w:t xml:space="preserve"> </w:t>
      </w:r>
      <w:r w:rsidR="00E06C1D" w:rsidRPr="0051192E">
        <w:rPr>
          <w:rFonts w:cs="Times New Roman"/>
          <w:sz w:val="24"/>
          <w:szCs w:val="24"/>
        </w:rPr>
        <w:t>in other liquids. Stir well until the water looks milky. At this step, you may add a small amount</w:t>
      </w:r>
      <w:r w:rsidR="00423677" w:rsidRPr="0051192E">
        <w:rPr>
          <w:rFonts w:cs="Times New Roman"/>
          <w:sz w:val="24"/>
          <w:szCs w:val="24"/>
        </w:rPr>
        <w:t xml:space="preserve"> </w:t>
      </w:r>
      <w:r w:rsidR="00E06C1D" w:rsidRPr="0051192E">
        <w:rPr>
          <w:rFonts w:cs="Times New Roman"/>
          <w:sz w:val="24"/>
          <w:szCs w:val="24"/>
        </w:rPr>
        <w:t>of water, orange juice, or milk to make the mixture easier to drink. Then drink the mixture</w:t>
      </w:r>
      <w:r w:rsidR="00423677" w:rsidRPr="0051192E">
        <w:rPr>
          <w:rFonts w:cs="Times New Roman"/>
          <w:sz w:val="24"/>
          <w:szCs w:val="24"/>
        </w:rPr>
        <w:t xml:space="preserve"> </w:t>
      </w:r>
      <w:r w:rsidR="00E06C1D" w:rsidRPr="0051192E">
        <w:rPr>
          <w:rFonts w:cs="Times New Roman"/>
          <w:sz w:val="24"/>
          <w:szCs w:val="24"/>
        </w:rPr>
        <w:t>right away. Rinse the glass with water, orange juice, or milk several times, and completely</w:t>
      </w:r>
      <w:r w:rsidR="00423677" w:rsidRPr="0051192E">
        <w:rPr>
          <w:rFonts w:cs="Times New Roman"/>
          <w:sz w:val="24"/>
          <w:szCs w:val="24"/>
        </w:rPr>
        <w:t xml:space="preserve"> swallow the rinse each time to make sure you take the entire dose of etravirine. Store the tablets in their bottle in a cool place.</w:t>
      </w:r>
    </w:p>
    <w:p w14:paraId="650AFDDB" w14:textId="77777777" w:rsidR="00883B3A" w:rsidRPr="0051192E" w:rsidRDefault="00883B3A" w:rsidP="0051192E">
      <w:pPr>
        <w:spacing w:after="0" w:line="240" w:lineRule="auto"/>
        <w:rPr>
          <w:rFonts w:cs="Times New Roman"/>
          <w:sz w:val="24"/>
          <w:szCs w:val="24"/>
        </w:rPr>
      </w:pPr>
    </w:p>
    <w:p w14:paraId="71B995D2" w14:textId="77777777" w:rsidR="00883B3A" w:rsidRPr="0051192E" w:rsidRDefault="00883B3A" w:rsidP="0051192E">
      <w:pPr>
        <w:spacing w:after="0" w:line="240" w:lineRule="auto"/>
        <w:rPr>
          <w:rFonts w:cs="Times New Roman"/>
          <w:sz w:val="24"/>
          <w:szCs w:val="24"/>
        </w:rPr>
      </w:pPr>
      <w:r w:rsidRPr="0051192E">
        <w:rPr>
          <w:rFonts w:cs="Times New Roman"/>
          <w:sz w:val="24"/>
          <w:szCs w:val="24"/>
        </w:rPr>
        <w:t xml:space="preserve">Some side effects of the </w:t>
      </w:r>
      <w:r w:rsidR="009E5BC2" w:rsidRPr="0051192E">
        <w:rPr>
          <w:rFonts w:cs="Times New Roman"/>
          <w:sz w:val="24"/>
          <w:szCs w:val="24"/>
        </w:rPr>
        <w:t xml:space="preserve">etravirine </w:t>
      </w:r>
      <w:r w:rsidRPr="0051192E">
        <w:rPr>
          <w:rFonts w:cs="Times New Roman"/>
          <w:sz w:val="24"/>
          <w:szCs w:val="24"/>
        </w:rPr>
        <w:t xml:space="preserve">may include </w:t>
      </w:r>
      <w:r w:rsidR="009E5BC2" w:rsidRPr="0051192E">
        <w:rPr>
          <w:rFonts w:cs="Times New Roman"/>
          <w:sz w:val="24"/>
          <w:szCs w:val="24"/>
        </w:rPr>
        <w:t>nausea, diarrhoea, abdominal pain, vomiting, headache and tingling, numbness, or pain in your hands or feet</w:t>
      </w:r>
      <w:r w:rsidR="00E06C1D" w:rsidRPr="0051192E">
        <w:rPr>
          <w:rFonts w:cs="Times New Roman"/>
          <w:sz w:val="24"/>
          <w:szCs w:val="24"/>
        </w:rPr>
        <w:t xml:space="preserve">. </w:t>
      </w:r>
      <w:r w:rsidR="009E5BC2" w:rsidRPr="0051192E">
        <w:rPr>
          <w:rFonts w:cs="Times New Roman"/>
          <w:sz w:val="24"/>
          <w:szCs w:val="24"/>
        </w:rPr>
        <w:t>Rash</w:t>
      </w:r>
      <w:r w:rsidR="00E06C1D" w:rsidRPr="0051192E">
        <w:rPr>
          <w:rFonts w:cs="Times New Roman"/>
          <w:sz w:val="24"/>
          <w:szCs w:val="24"/>
        </w:rPr>
        <w:t>es are</w:t>
      </w:r>
      <w:r w:rsidR="009E5BC2" w:rsidRPr="0051192E">
        <w:rPr>
          <w:rFonts w:cs="Times New Roman"/>
          <w:sz w:val="24"/>
          <w:szCs w:val="24"/>
        </w:rPr>
        <w:t xml:space="preserve"> common</w:t>
      </w:r>
      <w:r w:rsidR="00E06C1D" w:rsidRPr="0051192E">
        <w:rPr>
          <w:rFonts w:cs="Times New Roman"/>
          <w:sz w:val="24"/>
          <w:szCs w:val="24"/>
        </w:rPr>
        <w:t xml:space="preserve"> in first 2-4 weeks and are usually mild and resolve within 1-2 weeks without stopping treatment. </w:t>
      </w:r>
    </w:p>
    <w:p w14:paraId="77B57C44" w14:textId="77777777" w:rsidR="009E5BC2" w:rsidRPr="0051192E" w:rsidRDefault="00883B3A" w:rsidP="0051192E">
      <w:pPr>
        <w:spacing w:after="0" w:line="240" w:lineRule="auto"/>
        <w:rPr>
          <w:rFonts w:cs="Times New Roman"/>
          <w:sz w:val="24"/>
          <w:szCs w:val="24"/>
        </w:rPr>
      </w:pPr>
      <w:r w:rsidRPr="0051192E">
        <w:rPr>
          <w:rFonts w:cs="Times New Roman"/>
          <w:sz w:val="24"/>
          <w:szCs w:val="24"/>
        </w:rPr>
        <w:t xml:space="preserve">Report to your clinic </w:t>
      </w:r>
      <w:r w:rsidR="00E06C1D" w:rsidRPr="0051192E">
        <w:rPr>
          <w:rFonts w:cs="Times New Roman"/>
          <w:sz w:val="24"/>
          <w:szCs w:val="24"/>
        </w:rPr>
        <w:t xml:space="preserve">right away </w:t>
      </w:r>
      <w:r w:rsidRPr="0051192E">
        <w:rPr>
          <w:rFonts w:cs="Times New Roman"/>
          <w:sz w:val="24"/>
          <w:szCs w:val="24"/>
        </w:rPr>
        <w:t xml:space="preserve">if you develop </w:t>
      </w:r>
      <w:r w:rsidR="00E06C1D" w:rsidRPr="0051192E">
        <w:rPr>
          <w:rFonts w:cs="Times New Roman"/>
          <w:sz w:val="24"/>
          <w:szCs w:val="24"/>
        </w:rPr>
        <w:t xml:space="preserve">a </w:t>
      </w:r>
      <w:r w:rsidRPr="0051192E">
        <w:rPr>
          <w:rFonts w:cs="Times New Roman"/>
          <w:sz w:val="24"/>
          <w:szCs w:val="24"/>
        </w:rPr>
        <w:t xml:space="preserve">rash </w:t>
      </w:r>
      <w:r w:rsidR="00E06C1D" w:rsidRPr="0051192E">
        <w:rPr>
          <w:rFonts w:cs="Times New Roman"/>
          <w:sz w:val="24"/>
          <w:szCs w:val="24"/>
        </w:rPr>
        <w:t>along with any of the following symptoms</w:t>
      </w:r>
      <w:r w:rsidR="009E5BC2" w:rsidRPr="0051192E">
        <w:rPr>
          <w:rFonts w:cs="Times New Roman"/>
          <w:sz w:val="24"/>
          <w:szCs w:val="24"/>
        </w:rPr>
        <w:t>:</w:t>
      </w:r>
    </w:p>
    <w:p w14:paraId="086D3AF6" w14:textId="77777777" w:rsidR="00675CF2" w:rsidRPr="0051192E" w:rsidRDefault="009E5BC2" w:rsidP="0051192E">
      <w:pPr>
        <w:spacing w:after="0" w:line="240" w:lineRule="auto"/>
        <w:rPr>
          <w:rFonts w:cs="Times New Roman"/>
          <w:sz w:val="24"/>
          <w:szCs w:val="24"/>
        </w:rPr>
      </w:pPr>
      <w:r w:rsidRPr="0051192E">
        <w:rPr>
          <w:rFonts w:cs="Times New Roman"/>
          <w:sz w:val="24"/>
          <w:szCs w:val="24"/>
        </w:rPr>
        <w:t>Hives or sores in your mouth</w:t>
      </w:r>
      <w:r w:rsidR="00E06C1D" w:rsidRPr="0051192E">
        <w:rPr>
          <w:rFonts w:cs="Times New Roman"/>
          <w:sz w:val="24"/>
          <w:szCs w:val="24"/>
        </w:rPr>
        <w:t xml:space="preserve"> and around your eyes</w:t>
      </w:r>
      <w:r w:rsidR="00675CF2" w:rsidRPr="0051192E">
        <w:rPr>
          <w:rFonts w:cs="Times New Roman"/>
          <w:sz w:val="24"/>
          <w:szCs w:val="24"/>
        </w:rPr>
        <w:t>; blistering or peeling skin; trouble swallowing or breathing; s</w:t>
      </w:r>
      <w:r w:rsidRPr="0051192E">
        <w:rPr>
          <w:rFonts w:cs="Times New Roman"/>
          <w:sz w:val="24"/>
          <w:szCs w:val="24"/>
        </w:rPr>
        <w:t>welling of your face</w:t>
      </w:r>
      <w:r w:rsidR="00675CF2" w:rsidRPr="0051192E">
        <w:rPr>
          <w:rFonts w:cs="Times New Roman"/>
          <w:sz w:val="24"/>
          <w:szCs w:val="24"/>
        </w:rPr>
        <w:t>, eyes, lips, tongue, or throat; fever; y</w:t>
      </w:r>
      <w:r w:rsidRPr="0051192E">
        <w:rPr>
          <w:rFonts w:cs="Times New Roman"/>
          <w:sz w:val="24"/>
          <w:szCs w:val="24"/>
        </w:rPr>
        <w:t xml:space="preserve">ellowing of your skin or </w:t>
      </w:r>
      <w:r w:rsidR="00675CF2" w:rsidRPr="0051192E">
        <w:rPr>
          <w:rFonts w:cs="Times New Roman"/>
          <w:sz w:val="24"/>
          <w:szCs w:val="24"/>
        </w:rPr>
        <w:t>eyes (jaundice); dark-colored urine; a</w:t>
      </w:r>
      <w:r w:rsidRPr="0051192E">
        <w:rPr>
          <w:rFonts w:cs="Times New Roman"/>
          <w:sz w:val="24"/>
          <w:szCs w:val="24"/>
        </w:rPr>
        <w:t>bdominal pain (pain on the right side of your stomach area).</w:t>
      </w:r>
    </w:p>
    <w:p w14:paraId="617BA564" w14:textId="77777777" w:rsidR="00675CF2" w:rsidRPr="0051192E" w:rsidRDefault="00675CF2" w:rsidP="0051192E">
      <w:pPr>
        <w:spacing w:after="0" w:line="240" w:lineRule="auto"/>
        <w:rPr>
          <w:rFonts w:cs="Times New Roman"/>
          <w:sz w:val="24"/>
          <w:szCs w:val="24"/>
        </w:rPr>
      </w:pPr>
      <w:r w:rsidRPr="0051192E">
        <w:rPr>
          <w:rFonts w:cs="Times New Roman"/>
          <w:sz w:val="24"/>
          <w:szCs w:val="24"/>
        </w:rPr>
        <w:t>Your medicine may need to be stopped.</w:t>
      </w:r>
    </w:p>
    <w:p w14:paraId="03A2F0C1" w14:textId="77777777" w:rsidR="002D3A0D" w:rsidRPr="0051192E" w:rsidRDefault="002D3A0D" w:rsidP="0051192E">
      <w:pPr>
        <w:spacing w:after="0" w:line="240" w:lineRule="auto"/>
        <w:rPr>
          <w:rFonts w:cs="Times New Roman"/>
          <w:sz w:val="24"/>
          <w:szCs w:val="24"/>
        </w:rPr>
      </w:pPr>
      <w:r w:rsidRPr="0051192E">
        <w:rPr>
          <w:rFonts w:cs="Times New Roman"/>
          <w:sz w:val="24"/>
          <w:szCs w:val="24"/>
        </w:rPr>
        <w:t>Report to your clinic if you experience anything else that you think may be related to your taking this medicine.</w:t>
      </w:r>
    </w:p>
    <w:p w14:paraId="1CFAD0B7" w14:textId="77777777" w:rsidR="00E06C1D" w:rsidRPr="0051192E" w:rsidRDefault="00E06C1D" w:rsidP="0051192E">
      <w:pPr>
        <w:spacing w:after="0" w:line="240" w:lineRule="auto"/>
        <w:rPr>
          <w:rFonts w:cs="Times New Roman"/>
          <w:sz w:val="24"/>
          <w:szCs w:val="24"/>
        </w:rPr>
      </w:pPr>
    </w:p>
    <w:p w14:paraId="382EF497" w14:textId="2B9EBB97" w:rsidR="002D3A0D" w:rsidRPr="0051192E" w:rsidRDefault="002D3A0D" w:rsidP="0051192E">
      <w:pPr>
        <w:spacing w:after="0" w:line="240" w:lineRule="auto"/>
        <w:rPr>
          <w:rFonts w:cs="Times New Roman"/>
          <w:sz w:val="24"/>
          <w:szCs w:val="24"/>
        </w:rPr>
      </w:pPr>
      <w:r w:rsidRPr="0051192E">
        <w:rPr>
          <w:rFonts w:cs="Times New Roman"/>
          <w:sz w:val="24"/>
          <w:szCs w:val="24"/>
        </w:rPr>
        <w:t xml:space="preserve">Etravirine may affect the way your liver works especially the way it removes from the body poisons and medicines we take. It is very important that you take medicines and vitamins prescribed by the doctors and nurses in your clinic. Do not take herbal medicines or medicines sold on the streets or at the market while you are taking </w:t>
      </w:r>
      <w:proofErr w:type="spellStart"/>
      <w:r w:rsidR="00E06C1D" w:rsidRPr="0051192E">
        <w:rPr>
          <w:rFonts w:cs="Times New Roman"/>
          <w:sz w:val="24"/>
          <w:szCs w:val="24"/>
        </w:rPr>
        <w:t>Etravirine</w:t>
      </w:r>
      <w:proofErr w:type="spellEnd"/>
      <w:r w:rsidR="00883B3A" w:rsidRPr="0051192E">
        <w:rPr>
          <w:rFonts w:cs="Times New Roman"/>
          <w:sz w:val="24"/>
          <w:szCs w:val="24"/>
        </w:rPr>
        <w:t>.</w:t>
      </w:r>
    </w:p>
    <w:sectPr w:rsidR="002D3A0D" w:rsidRPr="0051192E" w:rsidSect="001B3A3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DD619" w14:textId="77777777" w:rsidR="007D71EE" w:rsidRDefault="007D71EE" w:rsidP="005F49A0">
      <w:pPr>
        <w:spacing w:after="0" w:line="240" w:lineRule="auto"/>
      </w:pPr>
      <w:r>
        <w:separator/>
      </w:r>
    </w:p>
  </w:endnote>
  <w:endnote w:type="continuationSeparator" w:id="0">
    <w:p w14:paraId="7587D1E0" w14:textId="77777777" w:rsidR="007D71EE" w:rsidRDefault="007D71EE" w:rsidP="005F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274997"/>
      <w:docPartObj>
        <w:docPartGallery w:val="Page Numbers (Bottom of Page)"/>
        <w:docPartUnique/>
      </w:docPartObj>
    </w:sdtPr>
    <w:sdtEndPr>
      <w:rPr>
        <w:noProof/>
      </w:rPr>
    </w:sdtEndPr>
    <w:sdtContent>
      <w:p w14:paraId="5C61F51A" w14:textId="77777777" w:rsidR="007D71EE" w:rsidRDefault="007D71EE">
        <w:pPr>
          <w:pStyle w:val="Footer"/>
          <w:jc w:val="right"/>
        </w:pPr>
        <w:r>
          <w:fldChar w:fldCharType="begin"/>
        </w:r>
        <w:r>
          <w:instrText xml:space="preserve"> PAGE   \* MERGEFORMAT </w:instrText>
        </w:r>
        <w:r>
          <w:fldChar w:fldCharType="separate"/>
        </w:r>
        <w:r w:rsidR="006D0380">
          <w:rPr>
            <w:noProof/>
          </w:rPr>
          <w:t>2</w:t>
        </w:r>
        <w:r>
          <w:rPr>
            <w:noProof/>
          </w:rPr>
          <w:fldChar w:fldCharType="end"/>
        </w:r>
      </w:p>
    </w:sdtContent>
  </w:sdt>
  <w:p w14:paraId="3504DB42" w14:textId="77777777" w:rsidR="007D71EE" w:rsidRDefault="007D71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98F28" w14:textId="77777777" w:rsidR="007D71EE" w:rsidRDefault="007D71EE" w:rsidP="005F49A0">
      <w:pPr>
        <w:spacing w:after="0" w:line="240" w:lineRule="auto"/>
      </w:pPr>
      <w:r>
        <w:separator/>
      </w:r>
    </w:p>
  </w:footnote>
  <w:footnote w:type="continuationSeparator" w:id="0">
    <w:p w14:paraId="2AA76CD3" w14:textId="77777777" w:rsidR="007D71EE" w:rsidRDefault="007D71EE" w:rsidP="005F49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6F7"/>
    <w:multiLevelType w:val="hybridMultilevel"/>
    <w:tmpl w:val="2BACC6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E1E0A"/>
    <w:multiLevelType w:val="hybridMultilevel"/>
    <w:tmpl w:val="197E4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45A20"/>
    <w:multiLevelType w:val="hybridMultilevel"/>
    <w:tmpl w:val="11C61BD4"/>
    <w:lvl w:ilvl="0" w:tplc="EC4008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84669"/>
    <w:multiLevelType w:val="hybridMultilevel"/>
    <w:tmpl w:val="3CD2A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B4"/>
    <w:rsid w:val="00004BF2"/>
    <w:rsid w:val="00004BF5"/>
    <w:rsid w:val="00020080"/>
    <w:rsid w:val="000735BC"/>
    <w:rsid w:val="0008162E"/>
    <w:rsid w:val="000965D8"/>
    <w:rsid w:val="000B265F"/>
    <w:rsid w:val="000E3EB4"/>
    <w:rsid w:val="000F6C9E"/>
    <w:rsid w:val="00127EAE"/>
    <w:rsid w:val="00140749"/>
    <w:rsid w:val="0014169B"/>
    <w:rsid w:val="00172ED4"/>
    <w:rsid w:val="00183EAF"/>
    <w:rsid w:val="001B025F"/>
    <w:rsid w:val="001B3A3A"/>
    <w:rsid w:val="001C6AFA"/>
    <w:rsid w:val="00213B8F"/>
    <w:rsid w:val="00226466"/>
    <w:rsid w:val="00227714"/>
    <w:rsid w:val="0024185E"/>
    <w:rsid w:val="00256ED9"/>
    <w:rsid w:val="002571D4"/>
    <w:rsid w:val="0026097B"/>
    <w:rsid w:val="0026117E"/>
    <w:rsid w:val="00286ED7"/>
    <w:rsid w:val="00287843"/>
    <w:rsid w:val="00291CCA"/>
    <w:rsid w:val="0029515E"/>
    <w:rsid w:val="00295965"/>
    <w:rsid w:val="002A0B5D"/>
    <w:rsid w:val="002C166F"/>
    <w:rsid w:val="002D3A0D"/>
    <w:rsid w:val="002D7BF2"/>
    <w:rsid w:val="002E6A71"/>
    <w:rsid w:val="003202E1"/>
    <w:rsid w:val="0036418A"/>
    <w:rsid w:val="00374907"/>
    <w:rsid w:val="003A0D07"/>
    <w:rsid w:val="003A4363"/>
    <w:rsid w:val="003A74F2"/>
    <w:rsid w:val="003A7671"/>
    <w:rsid w:val="003E071A"/>
    <w:rsid w:val="003F15F3"/>
    <w:rsid w:val="003F3BA0"/>
    <w:rsid w:val="00413866"/>
    <w:rsid w:val="00423677"/>
    <w:rsid w:val="004868AF"/>
    <w:rsid w:val="00490D10"/>
    <w:rsid w:val="004E52A2"/>
    <w:rsid w:val="0051192E"/>
    <w:rsid w:val="0051311D"/>
    <w:rsid w:val="00527418"/>
    <w:rsid w:val="00584C04"/>
    <w:rsid w:val="005906A1"/>
    <w:rsid w:val="00590EBE"/>
    <w:rsid w:val="005A00B1"/>
    <w:rsid w:val="005B0A66"/>
    <w:rsid w:val="005C0328"/>
    <w:rsid w:val="005D6F11"/>
    <w:rsid w:val="005F49A0"/>
    <w:rsid w:val="006309BC"/>
    <w:rsid w:val="00675CF2"/>
    <w:rsid w:val="00694195"/>
    <w:rsid w:val="006A1C4A"/>
    <w:rsid w:val="006C5435"/>
    <w:rsid w:val="006D0380"/>
    <w:rsid w:val="006D1621"/>
    <w:rsid w:val="00736854"/>
    <w:rsid w:val="0074004B"/>
    <w:rsid w:val="007D71EE"/>
    <w:rsid w:val="00815BF0"/>
    <w:rsid w:val="00835859"/>
    <w:rsid w:val="00883B3A"/>
    <w:rsid w:val="008B736A"/>
    <w:rsid w:val="008E101D"/>
    <w:rsid w:val="00916AE0"/>
    <w:rsid w:val="00944F81"/>
    <w:rsid w:val="00957D7C"/>
    <w:rsid w:val="009822E0"/>
    <w:rsid w:val="009A2DBD"/>
    <w:rsid w:val="009C381D"/>
    <w:rsid w:val="009D2B70"/>
    <w:rsid w:val="009E5BC2"/>
    <w:rsid w:val="00A21F91"/>
    <w:rsid w:val="00A31B67"/>
    <w:rsid w:val="00A576F8"/>
    <w:rsid w:val="00A87CCD"/>
    <w:rsid w:val="00AB4673"/>
    <w:rsid w:val="00B81274"/>
    <w:rsid w:val="00B85E02"/>
    <w:rsid w:val="00BB1F7F"/>
    <w:rsid w:val="00BD168D"/>
    <w:rsid w:val="00BE1F45"/>
    <w:rsid w:val="00C6752D"/>
    <w:rsid w:val="00C8793A"/>
    <w:rsid w:val="00C90716"/>
    <w:rsid w:val="00CA5DC1"/>
    <w:rsid w:val="00CB1F2D"/>
    <w:rsid w:val="00D51367"/>
    <w:rsid w:val="00D555BC"/>
    <w:rsid w:val="00D72BD0"/>
    <w:rsid w:val="00DF556C"/>
    <w:rsid w:val="00E06C1D"/>
    <w:rsid w:val="00E11BD3"/>
    <w:rsid w:val="00E2229B"/>
    <w:rsid w:val="00E26CD3"/>
    <w:rsid w:val="00E279CE"/>
    <w:rsid w:val="00E40B01"/>
    <w:rsid w:val="00E708EA"/>
    <w:rsid w:val="00E73120"/>
    <w:rsid w:val="00E93E13"/>
    <w:rsid w:val="00EA0D1F"/>
    <w:rsid w:val="00EB67C8"/>
    <w:rsid w:val="00ED339B"/>
    <w:rsid w:val="00F1529B"/>
    <w:rsid w:val="00F26523"/>
    <w:rsid w:val="00F53241"/>
    <w:rsid w:val="00F6358E"/>
    <w:rsid w:val="00F73655"/>
    <w:rsid w:val="00F7720F"/>
    <w:rsid w:val="00F85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2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7EAE"/>
    <w:rPr>
      <w:color w:val="0000FF"/>
      <w:u w:val="single"/>
    </w:rPr>
  </w:style>
  <w:style w:type="paragraph" w:styleId="BalloonText">
    <w:name w:val="Balloon Text"/>
    <w:basedOn w:val="Normal"/>
    <w:link w:val="BalloonTextChar"/>
    <w:uiPriority w:val="99"/>
    <w:semiHidden/>
    <w:unhideWhenUsed/>
    <w:rsid w:val="0029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15E"/>
    <w:rPr>
      <w:rFonts w:ascii="Tahoma" w:hAnsi="Tahoma" w:cs="Tahoma"/>
      <w:sz w:val="16"/>
      <w:szCs w:val="16"/>
    </w:rPr>
  </w:style>
  <w:style w:type="paragraph" w:customStyle="1" w:styleId="Default">
    <w:name w:val="Default"/>
    <w:rsid w:val="00A31B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358E"/>
    <w:pPr>
      <w:ind w:left="720"/>
      <w:contextualSpacing/>
    </w:pPr>
  </w:style>
  <w:style w:type="paragraph" w:styleId="Header">
    <w:name w:val="header"/>
    <w:basedOn w:val="Normal"/>
    <w:link w:val="HeaderChar"/>
    <w:uiPriority w:val="99"/>
    <w:unhideWhenUsed/>
    <w:rsid w:val="005F4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A0"/>
  </w:style>
  <w:style w:type="paragraph" w:styleId="Footer">
    <w:name w:val="footer"/>
    <w:basedOn w:val="Normal"/>
    <w:link w:val="FooterChar"/>
    <w:uiPriority w:val="99"/>
    <w:unhideWhenUsed/>
    <w:rsid w:val="005F4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A0"/>
  </w:style>
  <w:style w:type="character" w:styleId="CommentReference">
    <w:name w:val="annotation reference"/>
    <w:basedOn w:val="DefaultParagraphFont"/>
    <w:uiPriority w:val="99"/>
    <w:semiHidden/>
    <w:unhideWhenUsed/>
    <w:rsid w:val="0024185E"/>
    <w:rPr>
      <w:sz w:val="16"/>
      <w:szCs w:val="16"/>
    </w:rPr>
  </w:style>
  <w:style w:type="paragraph" w:styleId="CommentText">
    <w:name w:val="annotation text"/>
    <w:basedOn w:val="Normal"/>
    <w:link w:val="CommentTextChar"/>
    <w:uiPriority w:val="99"/>
    <w:semiHidden/>
    <w:unhideWhenUsed/>
    <w:rsid w:val="0024185E"/>
    <w:pPr>
      <w:spacing w:line="240" w:lineRule="auto"/>
    </w:pPr>
    <w:rPr>
      <w:sz w:val="20"/>
      <w:szCs w:val="20"/>
    </w:rPr>
  </w:style>
  <w:style w:type="character" w:customStyle="1" w:styleId="CommentTextChar">
    <w:name w:val="Comment Text Char"/>
    <w:basedOn w:val="DefaultParagraphFont"/>
    <w:link w:val="CommentText"/>
    <w:uiPriority w:val="99"/>
    <w:semiHidden/>
    <w:rsid w:val="0024185E"/>
    <w:rPr>
      <w:sz w:val="20"/>
      <w:szCs w:val="20"/>
    </w:rPr>
  </w:style>
  <w:style w:type="paragraph" w:styleId="CommentSubject">
    <w:name w:val="annotation subject"/>
    <w:basedOn w:val="CommentText"/>
    <w:next w:val="CommentText"/>
    <w:link w:val="CommentSubjectChar"/>
    <w:uiPriority w:val="99"/>
    <w:semiHidden/>
    <w:unhideWhenUsed/>
    <w:rsid w:val="0024185E"/>
    <w:rPr>
      <w:b/>
      <w:bCs/>
    </w:rPr>
  </w:style>
  <w:style w:type="character" w:customStyle="1" w:styleId="CommentSubjectChar">
    <w:name w:val="Comment Subject Char"/>
    <w:basedOn w:val="CommentTextChar"/>
    <w:link w:val="CommentSubject"/>
    <w:uiPriority w:val="99"/>
    <w:semiHidden/>
    <w:rsid w:val="0024185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7EAE"/>
    <w:rPr>
      <w:color w:val="0000FF"/>
      <w:u w:val="single"/>
    </w:rPr>
  </w:style>
  <w:style w:type="paragraph" w:styleId="BalloonText">
    <w:name w:val="Balloon Text"/>
    <w:basedOn w:val="Normal"/>
    <w:link w:val="BalloonTextChar"/>
    <w:uiPriority w:val="99"/>
    <w:semiHidden/>
    <w:unhideWhenUsed/>
    <w:rsid w:val="0029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15E"/>
    <w:rPr>
      <w:rFonts w:ascii="Tahoma" w:hAnsi="Tahoma" w:cs="Tahoma"/>
      <w:sz w:val="16"/>
      <w:szCs w:val="16"/>
    </w:rPr>
  </w:style>
  <w:style w:type="paragraph" w:customStyle="1" w:styleId="Default">
    <w:name w:val="Default"/>
    <w:rsid w:val="00A31B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358E"/>
    <w:pPr>
      <w:ind w:left="720"/>
      <w:contextualSpacing/>
    </w:pPr>
  </w:style>
  <w:style w:type="paragraph" w:styleId="Header">
    <w:name w:val="header"/>
    <w:basedOn w:val="Normal"/>
    <w:link w:val="HeaderChar"/>
    <w:uiPriority w:val="99"/>
    <w:unhideWhenUsed/>
    <w:rsid w:val="005F4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A0"/>
  </w:style>
  <w:style w:type="paragraph" w:styleId="Footer">
    <w:name w:val="footer"/>
    <w:basedOn w:val="Normal"/>
    <w:link w:val="FooterChar"/>
    <w:uiPriority w:val="99"/>
    <w:unhideWhenUsed/>
    <w:rsid w:val="005F4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A0"/>
  </w:style>
  <w:style w:type="character" w:styleId="CommentReference">
    <w:name w:val="annotation reference"/>
    <w:basedOn w:val="DefaultParagraphFont"/>
    <w:uiPriority w:val="99"/>
    <w:semiHidden/>
    <w:unhideWhenUsed/>
    <w:rsid w:val="0024185E"/>
    <w:rPr>
      <w:sz w:val="16"/>
      <w:szCs w:val="16"/>
    </w:rPr>
  </w:style>
  <w:style w:type="paragraph" w:styleId="CommentText">
    <w:name w:val="annotation text"/>
    <w:basedOn w:val="Normal"/>
    <w:link w:val="CommentTextChar"/>
    <w:uiPriority w:val="99"/>
    <w:semiHidden/>
    <w:unhideWhenUsed/>
    <w:rsid w:val="0024185E"/>
    <w:pPr>
      <w:spacing w:line="240" w:lineRule="auto"/>
    </w:pPr>
    <w:rPr>
      <w:sz w:val="20"/>
      <w:szCs w:val="20"/>
    </w:rPr>
  </w:style>
  <w:style w:type="character" w:customStyle="1" w:styleId="CommentTextChar">
    <w:name w:val="Comment Text Char"/>
    <w:basedOn w:val="DefaultParagraphFont"/>
    <w:link w:val="CommentText"/>
    <w:uiPriority w:val="99"/>
    <w:semiHidden/>
    <w:rsid w:val="0024185E"/>
    <w:rPr>
      <w:sz w:val="20"/>
      <w:szCs w:val="20"/>
    </w:rPr>
  </w:style>
  <w:style w:type="paragraph" w:styleId="CommentSubject">
    <w:name w:val="annotation subject"/>
    <w:basedOn w:val="CommentText"/>
    <w:next w:val="CommentText"/>
    <w:link w:val="CommentSubjectChar"/>
    <w:uiPriority w:val="99"/>
    <w:semiHidden/>
    <w:unhideWhenUsed/>
    <w:rsid w:val="0024185E"/>
    <w:rPr>
      <w:b/>
      <w:bCs/>
    </w:rPr>
  </w:style>
  <w:style w:type="character" w:customStyle="1" w:styleId="CommentSubjectChar">
    <w:name w:val="Comment Subject Char"/>
    <w:basedOn w:val="CommentTextChar"/>
    <w:link w:val="CommentSubject"/>
    <w:uiPriority w:val="99"/>
    <w:semiHidden/>
    <w:rsid w:val="002418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iv-druginteractions.org/"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4999</Characters>
  <Application>Microsoft Macintosh Word</Application>
  <DocSecurity>0</DocSecurity>
  <Lines>135</Lines>
  <Paragraphs>63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 TRUST</dc:creator>
  <cp:lastModifiedBy>Tom Heller</cp:lastModifiedBy>
  <cp:revision>2</cp:revision>
  <dcterms:created xsi:type="dcterms:W3CDTF">2017-01-10T12:01:00Z</dcterms:created>
  <dcterms:modified xsi:type="dcterms:W3CDTF">2017-01-10T12:01:00Z</dcterms:modified>
</cp:coreProperties>
</file>