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Agents for Smart CNC Factories</w:t>
      </w:r>
    </w:p>
    <w:p>
      <w:pPr>
        <w:pStyle w:val="Subtitle"/>
      </w:pPr>
      <w:r>
        <w:t>Chapter 1 A Review of Enabling Technologies and Industrial Applications</w:t>
      </w:r>
    </w:p>
    <w:p>
      <w:r>
        <w:t>Artificial intelligence (AI) agents offer a way to connect the information, analytical methods, and engineering tools used in smart factories. In computer numerical control (CNC) manufacturing, their potential extends from finding an applicable maintenance procedure to investigating production losses and preparing engineering changes. Their usefulness depends on the reliability of the complete system. A well-written answer must be supported by the correct records, reproducible calculations, and a clear account of who may authorize an operational change.</w:t>
      </w:r>
    </w:p>
    <w:p>
      <w:r>
        <w:t>This chapter reviews the technologies that can support AI agents for smart CNC factories. The term refers here to software agents designed to assist both the machining of components and the manufacture of complete CNC machine tools. The review is organized into three parts: model selection, adaptation, inference, and deployment; agent architectures, frameworks, and interoperability; and industrial applications, responsibilities, and example requests. The central argument is that model capability becomes useful in manufacturing when it is combined with applicable evidence, validated tools, and well-defined operational authority. The architectures discussed are conceptual and independent of any existing project.</w:t>
      </w:r>
    </w:p>
    <w:p>
      <w:pPr>
        <w:spacing w:before="240" w:after="120"/>
      </w:pPr>
      <w:r>
        <w:rPr>
          <w:b/>
          <w:sz w:val="26"/>
        </w:rPr>
        <w:t>Contents</w:t>
      </w:r>
    </w:p>
    <w:p>
      <w:pPr>
        <w:tabs>
          <w:tab w:pos="9202" w:val="right"/>
        </w:tabs>
        <w:spacing w:after="100" w:line="252" w:lineRule="auto"/>
      </w:pPr>
      <w:hyperlink w:anchor="section_1">
        <w:r>
          <w:rPr>
            <w:color w:val="000000"/>
          </w:rPr>
          <w:t>1.1  Introduction and Review Scope</w:t>
        </w:r>
      </w:hyperlink>
      <w:r>
        <w:tab/>
        <w:t>2</w:t>
      </w:r>
    </w:p>
    <w:p>
      <w:pPr>
        <w:tabs>
          <w:tab w:pos="9202" w:val="right"/>
        </w:tabs>
        <w:spacing w:after="100" w:line="252" w:lineRule="auto"/>
      </w:pPr>
      <w:hyperlink w:anchor="section_2">
        <w:r>
          <w:rPr>
            <w:color w:val="000000"/>
          </w:rPr>
          <w:t>1.2  Part One Models and Their Adaptation and Deployment</w:t>
        </w:r>
      </w:hyperlink>
      <w:r>
        <w:tab/>
        <w:t>3</w:t>
      </w:r>
    </w:p>
    <w:p>
      <w:pPr>
        <w:tabs>
          <w:tab w:pos="9202" w:val="right"/>
        </w:tabs>
        <w:spacing w:after="100" w:line="252" w:lineRule="auto"/>
      </w:pPr>
      <w:hyperlink w:anchor="section_3">
        <w:r>
          <w:rPr>
            <w:color w:val="000000"/>
          </w:rPr>
          <w:t>1.3  Part Two Agent Architectures and Interoperability</w:t>
        </w:r>
      </w:hyperlink>
      <w:r>
        <w:tab/>
        <w:t>16</w:t>
      </w:r>
    </w:p>
    <w:p>
      <w:pPr>
        <w:tabs>
          <w:tab w:pos="9202" w:val="right"/>
        </w:tabs>
        <w:spacing w:after="100" w:line="252" w:lineRule="auto"/>
      </w:pPr>
      <w:hyperlink w:anchor="section_4">
        <w:r>
          <w:rPr>
            <w:color w:val="000000"/>
          </w:rPr>
          <w:t>1.4  Part Three Industrial Applications and Agent Responsibilities</w:t>
        </w:r>
      </w:hyperlink>
      <w:r>
        <w:tab/>
        <w:t>22</w:t>
      </w:r>
    </w:p>
    <w:p>
      <w:pPr>
        <w:tabs>
          <w:tab w:pos="9202" w:val="right"/>
        </w:tabs>
        <w:spacing w:after="100" w:line="252" w:lineRule="auto"/>
      </w:pPr>
      <w:hyperlink w:anchor="section_5">
        <w:r>
          <w:rPr>
            <w:color w:val="000000"/>
          </w:rPr>
          <w:t>1.5  Research Gaps and Directions for Doctoral Study</w:t>
        </w:r>
      </w:hyperlink>
      <w:r>
        <w:tab/>
        <w:t>29</w:t>
      </w:r>
    </w:p>
    <w:p>
      <w:pPr>
        <w:tabs>
          <w:tab w:pos="9202" w:val="right"/>
        </w:tabs>
        <w:spacing w:after="100" w:line="252" w:lineRule="auto"/>
      </w:pPr>
      <w:hyperlink w:anchor="section_6">
        <w:r>
          <w:rPr>
            <w:color w:val="000000"/>
          </w:rPr>
          <w:t>1.6  Conclusions</w:t>
        </w:r>
      </w:hyperlink>
      <w:r>
        <w:tab/>
        <w:t>30</w:t>
      </w:r>
    </w:p>
    <w:p>
      <w:pPr>
        <w:tabs>
          <w:tab w:pos="9202" w:val="right"/>
        </w:tabs>
        <w:spacing w:after="100" w:line="252" w:lineRule="auto"/>
      </w:pPr>
      <w:hyperlink w:anchor="section_7">
        <w:r>
          <w:rPr>
            <w:color w:val="000000"/>
          </w:rPr>
          <w:t>1.7  Glossary</w:t>
        </w:r>
      </w:hyperlink>
      <w:r>
        <w:tab/>
        <w:t>31</w:t>
      </w:r>
    </w:p>
    <w:p>
      <w:pPr>
        <w:tabs>
          <w:tab w:pos="9202" w:val="right"/>
        </w:tabs>
        <w:spacing w:after="100" w:line="252" w:lineRule="auto"/>
      </w:pPr>
      <w:hyperlink w:anchor="section_8">
        <w:r>
          <w:rPr>
            <w:color w:val="000000"/>
          </w:rPr>
          <w:t>1.8  References</w:t>
        </w:r>
      </w:hyperlink>
      <w:r>
        <w:tab/>
        <w:t>31</w:t>
      </w:r>
    </w:p>
    <w:p>
      <w:r>
        <w:br w:type="page"/>
      </w:r>
    </w:p>
    <w:p>
      <w:bookmarkStart w:id="1" w:name="section_1"/>
      <w:pPr>
        <w:pStyle w:val="Heading1"/>
        <w:numPr>
          <w:ilvl w:val="0"/>
          <w:numId w:val="70"/>
        </w:numPr>
      </w:pPr>
      <w:r>
        <w:t>Introduction and Review Scope</w:t>
      </w:r>
      <w:bookmarkEnd w:id="1"/>
    </w:p>
    <w:p>
      <w:pPr>
        <w:pStyle w:val="Heading2"/>
        <w:numPr>
          <w:ilvl w:val="1"/>
          <w:numId w:val="70"/>
        </w:numPr>
      </w:pPr>
      <w:r>
        <w:t>Research Context and Terminology</w:t>
      </w:r>
    </w:p>
    <w:p>
      <w:r>
        <w:t>A large language model (LLM) generates token sequences in response to an input context. An AI agent combines a model with task state, external tools, and an execution policy to pursue a goal. In this setting, a tool may retrieve a document, query a database, perform an engineering calculation, or invoke a service in another application. The distinction between proposing an operation and executing it is fundamental: the model contributes a decision, while the surrounding software determines whether that decision is permitted and how it is carried out. ReAct provides an influential example of alternating model decisions with observations obtained through tools. Its evaluations establish results on language and interactive benchmarks, rather than evidence of CNC safety certification</w:t>
      </w:r>
      <w:r>
        <w:t xml:space="preserve"> [</w:t>
      </w:r>
      <w:hyperlink w:anchor="reference_66">
        <w:r>
          <w:rPr>
            <w:color w:val="000000"/>
          </w:rPr>
          <w:t>66</w:t>
        </w:r>
      </w:hyperlink>
      <w:r>
        <w:t>].</w:t>
      </w:r>
      <w:r/>
    </w:p>
    <w:p>
      <w:r>
        <w:t>Manufacturing applications bring together several forms of machine intelligence. Forecasting models estimate future demand, vision models identify apparent defects, and scheduling solvers search for feasible production plans. An LLM can interpret a maintenance question and help select which services to consult. Each function depends on different data and requires its own evaluation criteria and response times. Keeping these roles explicit makes it easier to select appropriate technologies and to identify whether an error originated in perception, prediction, retrieval, calculation, or language generation.</w:t>
      </w:r>
    </w:p>
    <w:p>
      <w:r>
        <w:t>The research problem addressed by this review is how heterogeneous models and deterministic tools can be combined without losing evidence, reproducibility, or operational control. The expression state of the art denotes important capabilities and research directions within this scope. Recency alone does not establish suitability: a recent model may be less appropriate than an established alternative, and a successful demonstration may still require substantial validation before deployment in a factory.</w:t>
      </w:r>
    </w:p>
    <w:p>
      <w:pPr>
        <w:pStyle w:val="Heading2"/>
        <w:numPr>
          <w:ilvl w:val="1"/>
          <w:numId w:val="70"/>
        </w:numPr>
      </w:pPr>
      <w:r>
        <w:t>Review Approach and Interpretation of Evidence</w:t>
      </w:r>
    </w:p>
    <w:p>
      <w:r>
        <w:t>The review considers publicly accessible material available through 11 September 2026, including research papers, preprints, technical reports, specifications, model cards, software documentation, practitioner articles, and vendor demonstrations. Foundational studies are retained where they explain methods that remain relevant to current systems. The approach is a structured critical narrative review. It does not claim the exhaustive search, screening, or coverage associated with a systematic literature review.</w:t>
      </w:r>
    </w:p>
    <w:p>
      <w:r>
        <w:t>Sources were selected for their relevance to model adaptation and serving, agent orchestration, industrial interoperability, or manufacturing tasks. The search themes included manufacturing agents based on LLMs, G-code generation, parametric CAD, graph-based fault diagnosis, retrieval, parameter-efficient adaptation, inference optimization, and agent communication. Primary developer documentation was used to establish framework relationships and protocol status. Research publications provided the basis for discussing methods, reported experiments, and the limits of the available evidence.</w:t>
      </w:r>
    </w:p>
    <w:p>
      <w:r>
        <w:t>The interpretation distinguishes four types of evidence. Research experiments support conclusions within the conditions reported by their authors. Developer documentation describes interfaces and intended capabilities. Vendor demonstrations illustrate particular workflows but generally provide limited independent comparison. The architectural recommendations developed in this chapter are analytical judgments that require validation in the intended factory. This distinction prevents an advertised feature or a proposed application from being treated as equivalent to an experimentally established result.</w:t>
      </w:r>
    </w:p>
    <w:p>
      <w:r>
        <w:t>The review also accounts for revisions to both publications and software. For example, the revised OGPAL fault-diagnosis study reports ranking performance using nDCG@20, whereas its earlier version reported a different metric. The discussion therefore refers to the revised study. Changes in the ACP and Microsoft Agent Framework ecosystems are treated similarly. Where only an indexed abstract was accessible, the reference and discussion identify this limitation and avoid claims that would require examination of the full experimental material</w:t>
      </w:r>
      <w:r>
        <w:t xml:space="preserve"> [</w:t>
      </w:r>
      <w:hyperlink w:anchor="reference_8">
        <w:r>
          <w:rPr>
            <w:color w:val="000000"/>
          </w:rPr>
          <w:t>8</w:t>
        </w:r>
      </w:hyperlink>
      <w:r>
        <w:t xml:space="preserve">, </w:t>
      </w:r>
      <w:hyperlink w:anchor="reference_46">
        <w:r>
          <w:rPr>
            <w:color w:val="000000"/>
          </w:rPr>
          <w:t>46</w:t>
        </w:r>
      </w:hyperlink>
      <w:r>
        <w:t xml:space="preserve">, </w:t>
      </w:r>
      <w:hyperlink w:anchor="reference_49">
        <w:r>
          <w:rPr>
            <w:color w:val="000000"/>
          </w:rPr>
          <w:t>49</w:t>
        </w:r>
      </w:hyperlink>
      <w:r>
        <w:t>].</w:t>
      </w:r>
      <w:r/>
    </w:p>
    <w:p>
      <w:bookmarkStart w:id="2" w:name="section_2"/>
      <w:pPr>
        <w:pStyle w:val="Heading1"/>
        <w:numPr>
          <w:ilvl w:val="0"/>
          <w:numId w:val="70"/>
        </w:numPr>
      </w:pPr>
      <w:r>
        <w:t>Part One Models and Their Adaptation and Deployment</w:t>
      </w:r>
      <w:bookmarkEnd w:id="2"/>
    </w:p>
    <w:p>
      <w:pPr>
        <w:pStyle w:val="Heading2"/>
        <w:numPr>
          <w:ilvl w:val="1"/>
          <w:numId w:val="70"/>
        </w:numPr>
      </w:pPr>
      <w:r>
        <w:t>Task Requirements and Model Selection</w:t>
      </w:r>
    </w:p>
    <w:p>
      <w:r>
        <w:t>Model selection begins with the output that the task requires. Manual search depends on finding the applicable source passage; production analysis depends on a correct calculation over authorized records. CAD assistance requires a valid parametric model that satisfies the specified geometric constraints, while maintenance forecasting requires predictions with meaningful uncertainty. These outcomes provide more relevant selection criteria than language benchmark scores alone.</w:t>
      </w:r>
    </w:p>
    <w:p>
      <w:r>
        <w:t>A practical starting portfolio consists of a capable general-purpose model, an embedding model, and a reranker when it demonstrably improves retrieval. Additional perception, prediction, or coding models can be introduced for tasks that justify their deployment and maintenance costs. This incremental approach makes the contribution of each model easier to measure. Assigning a separate model to every department, by contrast, can increase operational complexity before any task-specific benefit has been established.</w:t>
      </w:r>
    </w:p>
    <w:p>
      <w:r>
        <w:t>Dense models use their full parameter set during a forward pass, whereas mixture-of-experts (MoE) models activate a subset of expert parameters for each token. Selective activation can reduce computation relative to the total model size, although the other experts generally still require storage or movement between devices. Active parameter count is therefore an incomplete indicator of GPU memory demand. Under constrained deployment conditions, a smaller dense model may be preferable to a larger sparse model with similar active computation.</w:t>
      </w:r>
    </w:p>
    <w:p>
      <w:r>
        <w:t>The assessment should consider domain accuracy, tool-use reliability, structured outputs, multilingual performance, latency, memory demand, inference-kernel support, licensing, and reproducibility. Context length also requires careful interpretation. A model benefits from a long context only when it can identify and use the relevant information within it. For example, supplying a 100-page maintenance manual may reduce answer quality if an obsolete procedure is included without an applicability check.</w:t>
      </w:r>
    </w:p>
    <w:p>
      <w:pPr>
        <w:pStyle w:val="Heading2"/>
        <w:numPr>
          <w:ilvl w:val="1"/>
          <w:numId w:val="70"/>
        </w:numPr>
      </w:pPr>
      <w:r>
        <w:t>General Purpose and Specialized Model Candidates</w:t>
      </w:r>
    </w:p>
    <w:p>
      <w:r>
        <w:t>Table 1 identifies representative models for comparative evaluation. The selection covers general language and multimodal assistance as well as specialized coding tasks. These candidates are not ranked universally; their suitability depends on the workload, operating language, serving environment, and available evidence. Model cards and repositories establish the characteristics of the named artifacts, while the proposed factory roles represent the interpretation developed in this review.</w:t>
      </w:r>
    </w:p>
    <w:p>
      <w:pPr>
        <w:pStyle w:val="Caption"/>
      </w:pPr>
      <w:r>
        <w:t>Table 1 Representative Models for Language and Coding Tasks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2347"/>
        <w:gridCol w:w="2477"/>
        <w:gridCol w:w="2506"/>
      </w:tblGrid>
      <w:tr>
        <w:trPr>
          <w:cantSplit/>
          <w:tblHeader/>
        </w:trPr>
        <w:tc>
          <w:tcPr>
            <w:tcW w:type="dxa" w:w="1987"/>
            <w:vAlign w:val="center"/>
            <w:tcMar>
              <w:top w:w="75" w:type="dxa"/>
              <w:bottom w:w="75" w:type="dxa"/>
              <w:left w:w="85" w:type="dxa"/>
              <w:right w:w="85" w:type="dxa"/>
            </w:tcMar>
            <w:shd w:fill="394047"/>
          </w:tcPr>
          <w:p>
            <w:pPr>
              <w:keepNext/>
              <w:spacing w:after="0" w:line="252" w:lineRule="auto"/>
            </w:pPr>
            <w:r>
              <w:rPr>
                <w:b/>
                <w:color w:val="FFFFFF"/>
                <w:sz w:val="19"/>
              </w:rPr>
              <w:t>Candidate</w:t>
            </w:r>
          </w:p>
        </w:tc>
        <w:tc>
          <w:tcPr>
            <w:tcW w:type="dxa" w:w="2347"/>
            <w:vAlign w:val="center"/>
            <w:tcMar>
              <w:top w:w="75" w:type="dxa"/>
              <w:bottom w:w="75" w:type="dxa"/>
              <w:left w:w="85" w:type="dxa"/>
              <w:right w:w="85" w:type="dxa"/>
            </w:tcMar>
            <w:shd w:fill="394047"/>
          </w:tcPr>
          <w:p>
            <w:pPr>
              <w:keepNext/>
              <w:spacing w:after="0" w:line="252" w:lineRule="auto"/>
            </w:pPr>
            <w:r>
              <w:rPr>
                <w:b/>
                <w:color w:val="FFFFFF"/>
                <w:sz w:val="19"/>
              </w:rPr>
              <w:t>Appropriate role</w:t>
            </w:r>
          </w:p>
        </w:tc>
        <w:tc>
          <w:tcPr>
            <w:tcW w:type="dxa" w:w="2477"/>
            <w:vAlign w:val="center"/>
            <w:tcMar>
              <w:top w:w="75" w:type="dxa"/>
              <w:bottom w:w="75" w:type="dxa"/>
              <w:left w:w="85" w:type="dxa"/>
              <w:right w:w="85" w:type="dxa"/>
            </w:tcMar>
            <w:shd w:fill="394047"/>
          </w:tcPr>
          <w:p>
            <w:pPr>
              <w:keepNext/>
              <w:spacing w:after="0" w:line="252" w:lineRule="auto"/>
            </w:pPr>
            <w:r>
              <w:rPr>
                <w:b/>
                <w:color w:val="FFFFFF"/>
                <w:sz w:val="19"/>
              </w:rPr>
              <w:t>Why consider it</w:t>
            </w:r>
          </w:p>
        </w:tc>
        <w:tc>
          <w:tcPr>
            <w:tcW w:type="dxa" w:w="2506"/>
            <w:vAlign w:val="center"/>
            <w:tcMar>
              <w:top w:w="75" w:type="dxa"/>
              <w:bottom w:w="75" w:type="dxa"/>
              <w:left w:w="85" w:type="dxa"/>
              <w:right w:w="85" w:type="dxa"/>
            </w:tcMar>
            <w:shd w:fill="394047"/>
          </w:tcPr>
          <w:p>
            <w:pPr>
              <w:keepNext/>
              <w:spacing w:after="0" w:line="252" w:lineRule="auto"/>
            </w:pPr>
            <w:r>
              <w:rPr>
                <w:b/>
                <w:color w:val="FFFFFF"/>
                <w:sz w:val="19"/>
              </w:rPr>
              <w:t>Main qualification</w:t>
            </w:r>
          </w:p>
        </w:tc>
      </w:tr>
      <w:tr>
        <w:trPr>
          <w:cantSplit/>
        </w:trPr>
        <w:tc>
          <w:tcPr>
            <w:tcW w:type="dxa" w:w="1987"/>
            <w:vAlign w:val="center"/>
            <w:tcMar>
              <w:top w:w="75" w:type="dxa"/>
              <w:bottom w:w="75" w:type="dxa"/>
              <w:left w:w="85" w:type="dxa"/>
              <w:right w:w="85" w:type="dxa"/>
            </w:tcMar>
            <w:shd w:fill="FFFFFF"/>
          </w:tcPr>
          <w:p>
            <w:pPr>
              <w:keepNext/>
              <w:spacing w:after="0" w:line="252" w:lineRule="auto"/>
            </w:pPr>
            <w:r>
              <w:rPr>
                <w:sz w:val="19"/>
              </w:rPr>
              <w:t>Qwen3.5 27B</w:t>
            </w:r>
          </w:p>
        </w:tc>
        <w:tc>
          <w:tcPr>
            <w:tcW w:type="dxa" w:w="2347"/>
            <w:vAlign w:val="center"/>
            <w:tcMar>
              <w:top w:w="75" w:type="dxa"/>
              <w:bottom w:w="75" w:type="dxa"/>
              <w:left w:w="85" w:type="dxa"/>
              <w:right w:w="85" w:type="dxa"/>
            </w:tcMar>
            <w:shd w:fill="FFFFFF"/>
          </w:tcPr>
          <w:p>
            <w:pPr>
              <w:keepNext/>
              <w:spacing w:after="0" w:line="252" w:lineRule="auto"/>
            </w:pPr>
            <w:r>
              <w:rPr>
                <w:sz w:val="19"/>
              </w:rPr>
              <w:t>General conversation and visual document assistance</w:t>
            </w:r>
          </w:p>
        </w:tc>
        <w:tc>
          <w:tcPr>
            <w:tcW w:type="dxa" w:w="2477"/>
            <w:vAlign w:val="center"/>
            <w:tcMar>
              <w:top w:w="75" w:type="dxa"/>
              <w:bottom w:w="75" w:type="dxa"/>
              <w:left w:w="85" w:type="dxa"/>
              <w:right w:w="85" w:type="dxa"/>
            </w:tcMar>
            <w:shd w:fill="FFFFFF"/>
          </w:tcPr>
          <w:p>
            <w:pPr>
              <w:keepNext/>
              <w:spacing w:after="0" w:line="252" w:lineRule="auto"/>
            </w:pPr>
            <w:r>
              <w:rPr>
                <w:sz w:val="19"/>
              </w:rPr>
              <w:t>One multimodal candidate for text and image tasks</w:t>
            </w:r>
          </w:p>
        </w:tc>
        <w:tc>
          <w:tcPr>
            <w:tcW w:type="dxa" w:w="2506"/>
            <w:vAlign w:val="center"/>
            <w:tcMar>
              <w:top w:w="75" w:type="dxa"/>
              <w:bottom w:w="75" w:type="dxa"/>
              <w:left w:w="85" w:type="dxa"/>
              <w:right w:w="85" w:type="dxa"/>
            </w:tcMar>
            <w:shd w:fill="FFFFFF"/>
          </w:tcPr>
          <w:p>
            <w:pPr>
              <w:keepNext/>
              <w:spacing w:after="0" w:line="252" w:lineRule="auto"/>
            </w:pPr>
            <w:r>
              <w:rPr>
                <w:sz w:val="19"/>
              </w:rPr>
              <w:t>Validate drawings, tool calls, and domain terminology</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Gemma 3 27B instruction tuned</w:t>
            </w:r>
          </w:p>
        </w:tc>
        <w:tc>
          <w:tcPr>
            <w:tcW w:type="dxa" w:w="2347"/>
            <w:vAlign w:val="center"/>
            <w:tcMar>
              <w:top w:w="75" w:type="dxa"/>
              <w:bottom w:w="75" w:type="dxa"/>
              <w:left w:w="85" w:type="dxa"/>
              <w:right w:w="85" w:type="dxa"/>
            </w:tcMar>
            <w:shd w:fill="F3F4F5"/>
          </w:tcPr>
          <w:p>
            <w:pPr>
              <w:spacing w:after="0" w:line="252" w:lineRule="auto"/>
            </w:pPr>
            <w:r>
              <w:rPr>
                <w:sz w:val="19"/>
              </w:rPr>
              <w:t>Alternative general and multimodal baseline</w:t>
            </w:r>
          </w:p>
        </w:tc>
        <w:tc>
          <w:tcPr>
            <w:tcW w:type="dxa" w:w="2477"/>
            <w:vAlign w:val="center"/>
            <w:tcMar>
              <w:top w:w="75" w:type="dxa"/>
              <w:bottom w:w="75" w:type="dxa"/>
              <w:left w:w="85" w:type="dxa"/>
              <w:right w:w="85" w:type="dxa"/>
            </w:tcMar>
            <w:shd w:fill="F3F4F5"/>
          </w:tcPr>
          <w:p>
            <w:pPr>
              <w:spacing w:after="0" w:line="252" w:lineRule="auto"/>
            </w:pPr>
            <w:r>
              <w:rPr>
                <w:sz w:val="19"/>
              </w:rPr>
              <w:t>Independent model family for controlled comparisons</w:t>
            </w:r>
          </w:p>
        </w:tc>
        <w:tc>
          <w:tcPr>
            <w:tcW w:type="dxa" w:w="2506"/>
            <w:vAlign w:val="center"/>
            <w:tcMar>
              <w:top w:w="75" w:type="dxa"/>
              <w:bottom w:w="75" w:type="dxa"/>
              <w:left w:w="85" w:type="dxa"/>
              <w:right w:w="85" w:type="dxa"/>
            </w:tcMar>
            <w:shd w:fill="F3F4F5"/>
          </w:tcPr>
          <w:p>
            <w:pPr>
              <w:spacing w:after="0" w:line="252" w:lineRule="auto"/>
            </w:pPr>
            <w:r>
              <w:rPr>
                <w:sz w:val="19"/>
              </w:rPr>
              <w:t>Review Gemma terms and task-specific accuracy</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Qwen3 Coder 30B A3B Instruct</w:t>
            </w:r>
          </w:p>
        </w:tc>
        <w:tc>
          <w:tcPr>
            <w:tcW w:type="dxa" w:w="2347"/>
            <w:vAlign w:val="center"/>
            <w:tcMar>
              <w:top w:w="75" w:type="dxa"/>
              <w:bottom w:w="75" w:type="dxa"/>
              <w:left w:w="85" w:type="dxa"/>
              <w:right w:w="85" w:type="dxa"/>
            </w:tcMar>
            <w:shd w:fill="FFFFFF"/>
          </w:tcPr>
          <w:p>
            <w:pPr>
              <w:spacing w:after="0" w:line="252" w:lineRule="auto"/>
            </w:pPr>
            <w:r>
              <w:rPr>
                <w:sz w:val="19"/>
              </w:rPr>
              <w:t>Python, SQL, integration code, and tool use</w:t>
            </w:r>
          </w:p>
        </w:tc>
        <w:tc>
          <w:tcPr>
            <w:tcW w:type="dxa" w:w="2477"/>
            <w:vAlign w:val="center"/>
            <w:tcMar>
              <w:top w:w="75" w:type="dxa"/>
              <w:bottom w:w="75" w:type="dxa"/>
              <w:left w:w="85" w:type="dxa"/>
              <w:right w:w="85" w:type="dxa"/>
            </w:tcMar>
            <w:shd w:fill="FFFFFF"/>
          </w:tcPr>
          <w:p>
            <w:pPr>
              <w:spacing w:after="0" w:line="252" w:lineRule="auto"/>
            </w:pPr>
            <w:r>
              <w:rPr>
                <w:sz w:val="19"/>
              </w:rPr>
              <w:t>Coding-oriented MoE model</w:t>
            </w:r>
          </w:p>
        </w:tc>
        <w:tc>
          <w:tcPr>
            <w:tcW w:type="dxa" w:w="2506"/>
            <w:vAlign w:val="center"/>
            <w:tcMar>
              <w:top w:w="75" w:type="dxa"/>
              <w:bottom w:w="75" w:type="dxa"/>
              <w:left w:w="85" w:type="dxa"/>
              <w:right w:w="85" w:type="dxa"/>
            </w:tcMar>
            <w:shd w:fill="FFFFFF"/>
          </w:tcPr>
          <w:p>
            <w:pPr>
              <w:spacing w:after="0" w:line="252" w:lineRule="auto"/>
            </w:pPr>
            <w:r>
              <w:rPr>
                <w:sz w:val="19"/>
              </w:rPr>
              <w:t>About 30.5B total and 3.3B active parameters; memory follows total weights</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DeepSeek R1 family and distillations</w:t>
            </w:r>
          </w:p>
        </w:tc>
        <w:tc>
          <w:tcPr>
            <w:tcW w:type="dxa" w:w="2347"/>
            <w:vAlign w:val="center"/>
            <w:tcMar>
              <w:top w:w="75" w:type="dxa"/>
              <w:bottom w:w="75" w:type="dxa"/>
              <w:left w:w="85" w:type="dxa"/>
              <w:right w:w="85" w:type="dxa"/>
            </w:tcMar>
            <w:shd w:fill="F3F4F5"/>
          </w:tcPr>
          <w:p>
            <w:pPr>
              <w:spacing w:after="0" w:line="252" w:lineRule="auto"/>
            </w:pPr>
            <w:r>
              <w:rPr>
                <w:sz w:val="19"/>
              </w:rPr>
              <w:t>Difficult analytical and reasoning tasks</w:t>
            </w:r>
          </w:p>
        </w:tc>
        <w:tc>
          <w:tcPr>
            <w:tcW w:type="dxa" w:w="2477"/>
            <w:vAlign w:val="center"/>
            <w:tcMar>
              <w:top w:w="75" w:type="dxa"/>
              <w:bottom w:w="75" w:type="dxa"/>
              <w:left w:w="85" w:type="dxa"/>
              <w:right w:w="85" w:type="dxa"/>
            </w:tcMar>
            <w:shd w:fill="F3F4F5"/>
          </w:tcPr>
          <w:p>
            <w:pPr>
              <w:spacing w:after="0" w:line="252" w:lineRule="auto"/>
            </w:pPr>
            <w:r>
              <w:rPr>
                <w:sz w:val="19"/>
              </w:rPr>
              <w:t>Research on reasoning adaptation and smaller derived models</w:t>
            </w:r>
          </w:p>
        </w:tc>
        <w:tc>
          <w:tcPr>
            <w:tcW w:type="dxa" w:w="2506"/>
            <w:vAlign w:val="center"/>
            <w:tcMar>
              <w:top w:w="75" w:type="dxa"/>
              <w:bottom w:w="75" w:type="dxa"/>
              <w:left w:w="85" w:type="dxa"/>
              <w:right w:w="85" w:type="dxa"/>
            </w:tcMar>
            <w:shd w:fill="F3F4F5"/>
          </w:tcPr>
          <w:p>
            <w:pPr>
              <w:spacing w:after="0" w:line="252" w:lineRule="auto"/>
            </w:pPr>
            <w:r>
              <w:rPr>
                <w:sz w:val="19"/>
              </w:rPr>
              <w:t>Longer generation can increase cost and delay; test exact checkpoint</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Llama 3 SQLCoder 8B</w:t>
            </w:r>
          </w:p>
        </w:tc>
        <w:tc>
          <w:tcPr>
            <w:tcW w:type="dxa" w:w="2347"/>
            <w:vAlign w:val="center"/>
            <w:tcMar>
              <w:top w:w="75" w:type="dxa"/>
              <w:bottom w:w="75" w:type="dxa"/>
              <w:left w:w="85" w:type="dxa"/>
              <w:right w:w="85" w:type="dxa"/>
            </w:tcMar>
            <w:shd w:fill="FFFFFF"/>
          </w:tcPr>
          <w:p>
            <w:pPr>
              <w:spacing w:after="0" w:line="252" w:lineRule="auto"/>
            </w:pPr>
            <w:r>
              <w:rPr>
                <w:sz w:val="19"/>
              </w:rPr>
              <w:t>Natural-language database queries</w:t>
            </w:r>
          </w:p>
        </w:tc>
        <w:tc>
          <w:tcPr>
            <w:tcW w:type="dxa" w:w="2477"/>
            <w:vAlign w:val="center"/>
            <w:tcMar>
              <w:top w:w="75" w:type="dxa"/>
              <w:bottom w:w="75" w:type="dxa"/>
              <w:left w:w="85" w:type="dxa"/>
              <w:right w:w="85" w:type="dxa"/>
            </w:tcMar>
            <w:shd w:fill="FFFFFF"/>
          </w:tcPr>
          <w:p>
            <w:pPr>
              <w:spacing w:after="0" w:line="252" w:lineRule="auto"/>
            </w:pPr>
            <w:r>
              <w:rPr>
                <w:sz w:val="19"/>
              </w:rPr>
              <w:t>Specialized SQL-generation baseline</w:t>
            </w:r>
          </w:p>
        </w:tc>
        <w:tc>
          <w:tcPr>
            <w:tcW w:type="dxa" w:w="2506"/>
            <w:vAlign w:val="center"/>
            <w:tcMar>
              <w:top w:w="75" w:type="dxa"/>
              <w:bottom w:w="75" w:type="dxa"/>
              <w:left w:w="85" w:type="dxa"/>
              <w:right w:w="85" w:type="dxa"/>
            </w:tcMar>
            <w:shd w:fill="FFFFFF"/>
          </w:tcPr>
          <w:p>
            <w:pPr>
              <w:spacing w:after="0" w:line="252" w:lineRule="auto"/>
            </w:pPr>
            <w:r>
              <w:rPr>
                <w:sz w:val="19"/>
              </w:rPr>
              <w:t>Documented dialect focus includes Postgres, Redshift, and Snowflake</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IndustrialCoder</w:t>
            </w:r>
          </w:p>
        </w:tc>
        <w:tc>
          <w:tcPr>
            <w:tcW w:type="dxa" w:w="2347"/>
            <w:vAlign w:val="center"/>
            <w:tcMar>
              <w:top w:w="75" w:type="dxa"/>
              <w:bottom w:w="75" w:type="dxa"/>
              <w:left w:w="85" w:type="dxa"/>
              <w:right w:w="85" w:type="dxa"/>
            </w:tcMar>
            <w:shd w:fill="F3F4F5"/>
          </w:tcPr>
          <w:p>
            <w:pPr>
              <w:spacing w:after="0" w:line="252" w:lineRule="auto"/>
            </w:pPr>
            <w:r>
              <w:rPr>
                <w:sz w:val="19"/>
              </w:rPr>
              <w:t>Engineering software and industrial code experiments</w:t>
            </w:r>
          </w:p>
        </w:tc>
        <w:tc>
          <w:tcPr>
            <w:tcW w:type="dxa" w:w="2477"/>
            <w:vAlign w:val="center"/>
            <w:tcMar>
              <w:top w:w="75" w:type="dxa"/>
              <w:bottom w:w="75" w:type="dxa"/>
              <w:left w:w="85" w:type="dxa"/>
              <w:right w:w="85" w:type="dxa"/>
            </w:tcMar>
            <w:shd w:fill="F3F4F5"/>
          </w:tcPr>
          <w:p>
            <w:pPr>
              <w:spacing w:after="0" w:line="252" w:lineRule="auto"/>
            </w:pPr>
            <w:r>
              <w:rPr>
                <w:sz w:val="19"/>
              </w:rPr>
              <w:t>Developer repository covers several industrial coding domains</w:t>
            </w:r>
          </w:p>
        </w:tc>
        <w:tc>
          <w:tcPr>
            <w:tcW w:type="dxa" w:w="2506"/>
            <w:vAlign w:val="center"/>
            <w:tcMar>
              <w:top w:w="75" w:type="dxa"/>
              <w:bottom w:w="75" w:type="dxa"/>
              <w:left w:w="85" w:type="dxa"/>
              <w:right w:w="85" w:type="dxa"/>
            </w:tcMar>
            <w:shd w:fill="F3F4F5"/>
          </w:tcPr>
          <w:p>
            <w:pPr>
              <w:spacing w:after="0" w:line="252" w:lineRule="auto"/>
            </w:pPr>
            <w:r>
              <w:rPr>
                <w:sz w:val="19"/>
              </w:rPr>
              <w:t>Industrial coding results do not establish CNC machining competence</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GLLM research approach</w:t>
            </w:r>
          </w:p>
        </w:tc>
        <w:tc>
          <w:tcPr>
            <w:tcW w:type="dxa" w:w="2347"/>
            <w:vAlign w:val="center"/>
            <w:tcMar>
              <w:top w:w="75" w:type="dxa"/>
              <w:bottom w:w="75" w:type="dxa"/>
              <w:left w:w="85" w:type="dxa"/>
              <w:right w:w="85" w:type="dxa"/>
            </w:tcMar>
            <w:shd w:fill="FFFFFF"/>
          </w:tcPr>
          <w:p>
            <w:pPr>
              <w:spacing w:after="0" w:line="252" w:lineRule="auto"/>
            </w:pPr>
            <w:r>
              <w:rPr>
                <w:sz w:val="19"/>
              </w:rPr>
              <w:t>Controlled G-code drafting and repair</w:t>
            </w:r>
          </w:p>
        </w:tc>
        <w:tc>
          <w:tcPr>
            <w:tcW w:type="dxa" w:w="2477"/>
            <w:vAlign w:val="center"/>
            <w:tcMar>
              <w:top w:w="75" w:type="dxa"/>
              <w:bottom w:w="75" w:type="dxa"/>
              <w:left w:w="85" w:type="dxa"/>
              <w:right w:w="85" w:type="dxa"/>
            </w:tcMar>
            <w:shd w:fill="FFFFFF"/>
          </w:tcPr>
          <w:p>
            <w:pPr>
              <w:spacing w:after="0" w:line="252" w:lineRule="auto"/>
            </w:pPr>
            <w:r>
              <w:rPr>
                <w:sz w:val="19"/>
              </w:rPr>
              <w:t>Combines domain adaptation, retrieval, and validation</w:t>
            </w:r>
          </w:p>
        </w:tc>
        <w:tc>
          <w:tcPr>
            <w:tcW w:type="dxa" w:w="2506"/>
            <w:vAlign w:val="center"/>
            <w:tcMar>
              <w:top w:w="75" w:type="dxa"/>
              <w:bottom w:w="75" w:type="dxa"/>
              <w:left w:w="85" w:type="dxa"/>
              <w:right w:w="85" w:type="dxa"/>
            </w:tcMar>
            <w:shd w:fill="FFFFFF"/>
          </w:tcPr>
          <w:p>
            <w:pPr>
              <w:spacing w:after="0" w:line="252" w:lineRule="auto"/>
            </w:pPr>
            <w:r>
              <w:rPr>
                <w:sz w:val="19"/>
              </w:rPr>
              <w:t>Research prototype evaluated on a narrow geometry task set</w:t>
            </w:r>
          </w:p>
        </w:tc>
      </w:tr>
    </w:tbl>
    <w:p>
      <w:pPr>
        <w:spacing w:after="20"/>
      </w:pPr>
    </w:p>
    <w:p>
      <w:r>
        <w:t>Qwen3.5-27B is documented as a 27-billion-parameter multimodal model, with an Apache 2.0 license stated in its model card. Gemma 3 offers an alternative multimodal family that includes a 27B instruction-tuned model. Together, they provide candidates for comparing report generation, drawing interpretation, and multilingual assistance. Their documented capabilities support such evaluation, but they do not establish competence in tolerance validation, cutting-parameter selection, or manufacturing-plan release</w:t>
      </w:r>
      <w:r>
        <w:t xml:space="preserve"> [</w:t>
      </w:r>
      <w:hyperlink w:anchor="reference_25">
        <w:r>
          <w:rPr>
            <w:color w:val="000000"/>
          </w:rPr>
          <w:t>25</w:t>
        </w:r>
      </w:hyperlink>
      <w:r>
        <w:t xml:space="preserve">, </w:t>
      </w:r>
      <w:hyperlink w:anchor="reference_56">
        <w:r>
          <w:rPr>
            <w:color w:val="000000"/>
          </w:rPr>
          <w:t>56</w:t>
        </w:r>
      </w:hyperlink>
      <w:r>
        <w:t>].</w:t>
      </w:r>
      <w:r/>
    </w:p>
    <w:p>
      <w:r>
        <w:t>Qwen3-Coder-30B-A3B-Instruct offers a coding-oriented comparison. Its developer reports 30.5 billion total parameters and 3.3 billion activated parameters. Potential applications include API adapters, data transformations, structured tool calls, and engineering scripts. The active parameter count does not imply the storage demand of a 3.3B dense model. Where a general-purpose model already meets the coding requirements, sharing one endpoint may offer a simpler operational arrangement</w:t>
      </w:r>
      <w:r>
        <w:t xml:space="preserve"> [</w:t>
      </w:r>
      <w:hyperlink w:anchor="reference_54">
        <w:r>
          <w:rPr>
            <w:color w:val="000000"/>
          </w:rPr>
          <w:t>54</w:t>
        </w:r>
      </w:hyperlink>
      <w:r>
        <w:t>].</w:t>
      </w:r>
      <w:r/>
    </w:p>
    <w:p>
      <w:r>
        <w:t>DeepSeek-R1 contributes evidence on reinforcement learning for reasoning and on distillation into smaller models. For factory applications, it motivates evaluating whether additional inference computation or a specialized reasoning model improves difficult analytical tasks. This evaluation must identify the exact checkpoint and serving configuration. The original model, its distilled variants, and quantized conversions represent different experimental conditions, and a longer generated explanation should not be used as a proxy for accuracy</w:t>
      </w:r>
      <w:r>
        <w:t xml:space="preserve"> [</w:t>
      </w:r>
      <w:hyperlink w:anchor="reference_14">
        <w:r>
          <w:rPr>
            <w:color w:val="000000"/>
          </w:rPr>
          <w:t>14</w:t>
        </w:r>
      </w:hyperlink>
      <w:r>
        <w:t>].</w:t>
      </w:r>
      <w:r/>
    </w:p>
    <w:p>
      <w:r>
        <w:t>SQLCoder provides a specialized baseline when the database schema and SQL dialect fall within its documented scope. Its queries still require schema validation, access control, cost limits, and result checking. IndustrialCoder addresses a broader range of engineering software tasks, including hardware design, GPU programming, embedded systems, and CAD-related code. These domains differ from controller-specific machining cycles. The relevance of an industrial coding model therefore depends on its actual training and evaluation coverage, rather than its name</w:t>
      </w:r>
      <w:r>
        <w:t xml:space="preserve"> [</w:t>
      </w:r>
      <w:hyperlink w:anchor="reference_16">
        <w:r>
          <w:rPr>
            <w:color w:val="000000"/>
          </w:rPr>
          <w:t>16</w:t>
        </w:r>
      </w:hyperlink>
      <w:r>
        <w:t xml:space="preserve">, </w:t>
      </w:r>
      <w:hyperlink w:anchor="reference_33">
        <w:r>
          <w:rPr>
            <w:color w:val="000000"/>
          </w:rPr>
          <w:t>33</w:t>
        </w:r>
      </w:hyperlink>
      <w:r>
        <w:t>].</w:t>
      </w:r>
      <w:r/>
    </w:p>
    <w:p>
      <w:r>
        <w:t>Community CNC checkpoints may offer useful experimental starting points when their provenance is sufficiently documented. Assessment should establish the availability of model weights, the identity of the base model, training-data provenance, licensing conditions, and repeatable evaluation on unseen programs. Checkpoints with limited documentation or unverified examples warrant an exploratory status. A CNC-specific name alone provides little basis for preferring them to a well-documented general model.</w:t>
      </w:r>
    </w:p>
    <w:p>
      <w:pPr>
        <w:pStyle w:val="Heading2"/>
        <w:numPr>
          <w:ilvl w:val="1"/>
          <w:numId w:val="70"/>
        </w:numPr>
      </w:pPr>
      <w:r>
        <w:t>Models for Retrieval and Perception</w:t>
      </w:r>
    </w:p>
    <w:p>
      <w:r>
        <w:t>Embedding models represent text numerically so that related material can be retrieved. Rerankers then examine the query and candidate passages more closely to refine their ordering. BGE-M3 supports multilingual dense, sparse, and multi-vector retrieval, while the Qwen3 Embedding work describes embedding and reranking families at several model sizes. Because retrieval and answer generation serve different functions, their models can be selected and evaluated independently</w:t>
      </w:r>
      <w:r>
        <w:t xml:space="preserve"> [</w:t>
      </w:r>
      <w:hyperlink w:anchor="reference_11">
        <w:r>
          <w:rPr>
            <w:color w:val="000000"/>
          </w:rPr>
          <w:t>11</w:t>
        </w:r>
      </w:hyperlink>
      <w:r>
        <w:t xml:space="preserve">, </w:t>
      </w:r>
      <w:hyperlink w:anchor="reference_55">
        <w:r>
          <w:rPr>
            <w:color w:val="000000"/>
          </w:rPr>
          <w:t>55</w:t>
        </w:r>
      </w:hyperlink>
      <w:r>
        <w:t xml:space="preserve">, </w:t>
      </w:r>
      <w:hyperlink w:anchor="reference_69">
        <w:r>
          <w:rPr>
            <w:color w:val="000000"/>
          </w:rPr>
          <w:t>69</w:t>
        </w:r>
      </w:hyperlink>
      <w:r>
        <w:t>].</w:t>
      </w:r>
      <w:r/>
    </w:p>
    <w:p>
      <w:r>
        <w:t>Exact matching remains important alongside semantic retrieval. Alarm 700301, drawing revision C, and bearing designation 7208 illustrate queries whose meaning depends on specific characters. Semantic similarity may otherwise return an adjacent alarm family or a similar part identifier. A hybrid retrieval design can combine lexical matching, metadata filters, and embeddings. Evaluation should include factory questions with known supporting passages and questions for which the available authorized sources provide no answer.</w:t>
      </w:r>
    </w:p>
    <w:p>
      <w:r>
        <w:t>Document processing must preserve the relationships that make technical information meaningful. Docling describes specialized models for PDF layout analysis and table recognition, providing an alternative to processing every page exclusively as an image with a conversational model. Native text and spreadsheet structure can be extracted directly where available, with optical character recognition (OCR) and visual models used for content that requires perception. For a torque table, successful extraction means retaining the association between thread size, material, operating condition, unit, and value</w:t>
      </w:r>
      <w:r>
        <w:t xml:space="preserve"> [</w:t>
      </w:r>
      <w:hyperlink w:anchor="reference_6">
        <w:r>
          <w:rPr>
            <w:color w:val="000000"/>
          </w:rPr>
          <w:t>6</w:t>
        </w:r>
      </w:hyperlink>
      <w:r>
        <w:t>].</w:t>
      </w:r>
      <w:r/>
    </w:p>
    <w:p>
      <w:r>
        <w:t>Multimodal language models can help interpret drawing notes, labels, symbols, and associated text. Their contribution must be distinguished from metrology. An inferred line position or a photographed dimension cannot substitute for authoritative CAD dimensions, product manufacturing information, or calibrated measurements. Misreading 0.01 mm as 0.1 mm illustrates how a perception error can propagate into an otherwise coherent report. Critical fields consequently require cross-checks and an explicit treatment of uncertainty.</w:t>
      </w:r>
    </w:p>
    <w:p>
      <w:r>
        <w:t>Chronos illustrates how time-series foundation models can transfer forecasting knowledge across datasets. Potential factory applications include demand forecasting, cycle-time trends, and selected operational signals. Their value should be assessed against seasonal, statistical, and supervised baselines appropriate to the same task. Forecasting performance does not, by itself, establish anomaly-detection, remaining-useful-life, or causal-diagnosis capability. High-frequency vibration analysis may require dedicated signal processing and learning methods before its results are interpreted by an LLM</w:t>
      </w:r>
      <w:r>
        <w:t xml:space="preserve"> [</w:t>
      </w:r>
      <w:hyperlink w:anchor="reference_4">
        <w:r>
          <w:rPr>
            <w:color w:val="000000"/>
          </w:rPr>
          <w:t>4</w:t>
        </w:r>
      </w:hyperlink>
      <w:r>
        <w:t>].</w:t>
      </w:r>
      <w:r/>
    </w:p>
    <w:p>
      <w:r>
        <w:t>Whisper provides a research basis for multilingual speech recognition. In a factory, speech interfaces may support inspection notes and maintenance reporting, provided that performance is evaluated under local noise conditions, accents, and terminology. Machine identifiers and numerical values deserve particular attention. A spoken request to change spindle speed, for example, should be displayed as a structured proposal for confirmation; recognized speech does not confer authority to execute the change</w:t>
      </w:r>
      <w:r>
        <w:t xml:space="preserve"> [</w:t>
      </w:r>
      <w:hyperlink w:anchor="reference_57">
        <w:r>
          <w:rPr>
            <w:color w:val="000000"/>
          </w:rPr>
          <w:t>57</w:t>
        </w:r>
      </w:hyperlink>
      <w:r>
        <w:t>].</w:t>
      </w:r>
      <w:r/>
    </w:p>
    <w:p>
      <w:r>
        <w:t>Granite Guardian 3.3 8B is a candidate for assessing risks, groundedness, and function-call-related behavior. Its model card states that training and testing used English data and that custom assessment criteria require evaluation. These conditions limit any immediate claim of suitability as a multilingual manufacturing-domain filter. Application-specific relevance classification, access-control rules, and tests in the intended languages remain necessary when a guardian model is included</w:t>
      </w:r>
      <w:r>
        <w:t xml:space="preserve"> [</w:t>
      </w:r>
      <w:hyperlink w:anchor="reference_32">
        <w:r>
          <w:rPr>
            <w:color w:val="000000"/>
          </w:rPr>
          <w:t>32</w:t>
        </w:r>
      </w:hyperlink>
      <w:r>
        <w:t>].</w:t>
      </w:r>
      <w:r/>
    </w:p>
    <w:p>
      <w:pPr>
        <w:pStyle w:val="Heading2"/>
        <w:numPr>
          <w:ilvl w:val="1"/>
          <w:numId w:val="70"/>
        </w:numPr>
      </w:pPr>
      <w:r>
        <w:t>Emerging Research in CAD and CNC Programming</w:t>
      </w:r>
    </w:p>
    <w:p>
      <w:r>
        <w:t>Text2CAD investigates the generation of sequential parametric CAD models from text, using approximately 170,000 CAD models and 660,000 text annotations described in the paper. Its contribution is relevant to editable construction sequences rather than visual depictions alone. Nevertheless, successful sequence generation leaves several engineering questions open, including assembly compatibility, datum selection, tolerances, and manufacturing feasibility. A geometrically valid model may still fail to represent the intended product</w:t>
      </w:r>
      <w:r>
        <w:t xml:space="preserve"> [</w:t>
      </w:r>
      <w:hyperlink w:anchor="reference_36">
        <w:r>
          <w:rPr>
            <w:color w:val="000000"/>
          </w:rPr>
          <w:t>36</w:t>
        </w:r>
      </w:hyperlink>
      <w:r>
        <w:t>].</w:t>
      </w:r>
      <w:r/>
    </w:p>
    <w:p>
      <w:r>
        <w:t>The 2026 IndustryForge-27B preprint describes a multimodal model for industrial CAD, including parametric code and software automation for parts and assemblies. Its indexed abstract identifies a relevant emerging direction. Because the full experimental material was not accessible for assessment, this review does not adopt its numerical superiority claims or infer compatibility with particular CAD systems, controllers, or CNC processes</w:t>
      </w:r>
      <w:r>
        <w:t xml:space="preserve"> [</w:t>
      </w:r>
      <w:hyperlink w:anchor="reference_17">
        <w:r>
          <w:rPr>
            <w:color w:val="000000"/>
          </w:rPr>
          <w:t>17</w:t>
        </w:r>
      </w:hyperlink>
      <w:r>
        <w:t>].</w:t>
      </w:r>
      <w:r/>
    </w:p>
    <w:p>
      <w:r>
        <w:t>GLLM addresses CNC programming more directly through a prototype that combines a fine-tuned StarCoder variant with retrieval, structured prompts, and corrective feedback. The study evaluates six geometric generation tasks and uses Hausdorff distance in a toolpath comparison. These results support further investigation of constrained program drafting and repair. Their evidential scope remains geometric and task-specific: fixturing, feed and speed selection, collision avoidance across machine states, and controller-dialect compliance require additional validation</w:t>
      </w:r>
      <w:r>
        <w:t xml:space="preserve"> [</w:t>
      </w:r>
      <w:hyperlink w:anchor="reference_2">
        <w:r>
          <w:rPr>
            <w:color w:val="000000"/>
          </w:rPr>
          <w:t>2</w:t>
        </w:r>
      </w:hyperlink>
      <w:r>
        <w:t>].</w:t>
      </w:r>
      <w:r/>
    </w:p>
    <w:p>
      <w:pPr>
        <w:pStyle w:val="Heading2"/>
        <w:numPr>
          <w:ilvl w:val="1"/>
          <w:numId w:val="70"/>
        </w:numPr>
      </w:pPr>
      <w:r>
        <w:t>Retrieval and Fine Tuning as Complementary Approaches</w:t>
      </w:r>
    </w:p>
    <w:p>
      <w:r>
        <w:t>Retrieval-augmented generation (RAG) supplies relevant external information during inference, while fine tuning modifies model parameters or adapters. The original RAG work and subsequent surveys distinguish information held in model parameters from information supplied through external context. In a factory application, this distinction suggests using retrieval for changing manuals, approved procedures, equipment configurations, and revision-controlled records. Fine tuning is more relevant when adequate context is available but the model repeatedly struggles with a stable task pattern, an output format, or correct tool use</w:t>
      </w:r>
      <w:r>
        <w:t xml:space="preserve"> [</w:t>
      </w:r>
      <w:hyperlink w:anchor="reference_23">
        <w:r>
          <w:rPr>
            <w:color w:val="000000"/>
          </w:rPr>
          <w:t>23</w:t>
        </w:r>
      </w:hyperlink>
      <w:r>
        <w:t xml:space="preserve">, </w:t>
      </w:r>
      <w:hyperlink w:anchor="reference_43">
        <w:r>
          <w:rPr>
            <w:color w:val="000000"/>
          </w:rPr>
          <w:t>43</w:t>
        </w:r>
      </w:hyperlink>
      <w:r>
        <w:t>].</w:t>
      </w:r>
      <w:r/>
    </w:p>
    <w:p>
      <w:r>
        <w:t>A revised spindle warm-up procedure illustrates the difference. Updating the document index can make the approved revision available without modifying the model. Fine tuning on that procedure would not reliably erase the superseded version from model memory or guarantee correct revision selection. Conversely, repeated formatting errors in inspection records, despite correct retrieval, may justify targeted supervised examples. Retrieval and fine tuning can therefore be combined, with their individual contributions assessed separately.</w:t>
      </w:r>
    </w:p>
    <w:p>
      <w:r>
        <w:t>Adaptation decisions are more defensible when they follow an analysis of the underlying error. Source availability and extraction quality should be examined before retrieval, context construction, prompting, and tool contracts. An inaccurate source cannot acquire authority through training, and a larger generator cannot reliably compensate for a missing passage. This sequence helps direct adaptation effort toward the actual limitation rather than increasing training complexity by default.</w:t>
      </w:r>
    </w:p>
    <w:p>
      <w:pPr>
        <w:pStyle w:val="Heading2"/>
        <w:numPr>
          <w:ilvl w:val="1"/>
          <w:numId w:val="70"/>
        </w:numPr>
      </w:pPr>
      <w:r>
        <w:t>Methods for Model Adaptation</w:t>
      </w:r>
    </w:p>
    <w:p>
      <w:r>
        <w:t>The choice of an adaptation method also determines what counts as a useful training example. A collection of manuals, a set of expert demonstrations, a pair of preferred and rejected answers, and a simulated interaction provide different learning signals. They are not interchangeable. It is therefore helpful to distinguish the learning objective from the parameters being updated: supervised fine tuning describes an objective, whereas full fine tuning, LoRA, and QLoRA describe how that objective can be implemented. Prompting and retrieval usually provide information at inference time without updating the language model.</w:t>
      </w:r>
    </w:p>
    <w:p>
      <w:r>
        <w:t>Table 2 summarizes these distinctions. The examples that follow are constructed specifically to explain dataset design for component machining and complete CNC machine-tool manufacture. All identifiers, procedures, observations, and numerical values in these examples are illustrative; they are not factory measurements, validated operating instructions, or experimental results. The records are schematic representations rather than a universal file format accepted unchanged by every trainer.</w:t>
      </w:r>
    </w:p>
    <w:p>
      <w:pPr>
        <w:pStyle w:val="Caption"/>
      </w:pPr>
      <w:r>
        <w:t>Table 2 Model Adaptation Methods and Their Data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2347"/>
        <w:gridCol w:w="2477"/>
        <w:gridCol w:w="2506"/>
      </w:tblGrid>
      <w:tr>
        <w:trPr>
          <w:cantSplit/>
          <w:tblHeader/>
        </w:trPr>
        <w:tc>
          <w:tcPr>
            <w:tcW w:type="dxa" w:w="1987"/>
            <w:vAlign w:val="center"/>
            <w:tcMar>
              <w:top w:w="75" w:type="dxa"/>
              <w:bottom w:w="75" w:type="dxa"/>
              <w:left w:w="85" w:type="dxa"/>
              <w:right w:w="85" w:type="dxa"/>
            </w:tcMar>
            <w:shd w:fill="394047"/>
          </w:tcPr>
          <w:p>
            <w:pPr>
              <w:keepNext/>
              <w:spacing w:after="0" w:line="252" w:lineRule="auto"/>
            </w:pPr>
            <w:r>
              <w:rPr>
                <w:b/>
                <w:color w:val="FFFFFF"/>
                <w:sz w:val="19"/>
              </w:rPr>
              <w:t>Method</w:t>
            </w:r>
          </w:p>
        </w:tc>
        <w:tc>
          <w:tcPr>
            <w:tcW w:type="dxa" w:w="2347"/>
            <w:vAlign w:val="center"/>
            <w:tcMar>
              <w:top w:w="75" w:type="dxa"/>
              <w:bottom w:w="75" w:type="dxa"/>
              <w:left w:w="85" w:type="dxa"/>
              <w:right w:w="85" w:type="dxa"/>
            </w:tcMar>
            <w:shd w:fill="394047"/>
          </w:tcPr>
          <w:p>
            <w:pPr>
              <w:keepNext/>
              <w:spacing w:after="0" w:line="252" w:lineRule="auto"/>
            </w:pPr>
            <w:r>
              <w:rPr>
                <w:b/>
                <w:color w:val="FFFFFF"/>
                <w:sz w:val="19"/>
              </w:rPr>
              <w:t>Data type</w:t>
            </w:r>
          </w:p>
        </w:tc>
        <w:tc>
          <w:tcPr>
            <w:tcW w:type="dxa" w:w="2477"/>
            <w:vAlign w:val="center"/>
            <w:tcMar>
              <w:top w:w="75" w:type="dxa"/>
              <w:bottom w:w="75" w:type="dxa"/>
              <w:left w:w="85" w:type="dxa"/>
              <w:right w:w="85" w:type="dxa"/>
            </w:tcMar>
            <w:shd w:fill="394047"/>
          </w:tcPr>
          <w:p>
            <w:pPr>
              <w:keepNext/>
              <w:spacing w:after="0" w:line="252" w:lineRule="auto"/>
            </w:pPr>
            <w:r>
              <w:rPr>
                <w:b/>
                <w:color w:val="FFFFFF"/>
                <w:sz w:val="19"/>
              </w:rPr>
              <w:t>Target or feedback</w:t>
            </w:r>
          </w:p>
        </w:tc>
        <w:tc>
          <w:tcPr>
            <w:tcW w:type="dxa" w:w="2506"/>
            <w:vAlign w:val="center"/>
            <w:tcMar>
              <w:top w:w="75" w:type="dxa"/>
              <w:bottom w:w="75" w:type="dxa"/>
              <w:left w:w="85" w:type="dxa"/>
              <w:right w:w="85" w:type="dxa"/>
            </w:tcMar>
            <w:shd w:fill="394047"/>
          </w:tcPr>
          <w:p>
            <w:pPr>
              <w:keepNext/>
              <w:spacing w:after="0" w:line="252" w:lineRule="auto"/>
            </w:pPr>
            <w:r>
              <w:rPr>
                <w:b/>
                <w:color w:val="FFFFFF"/>
                <w:sz w:val="19"/>
              </w:rPr>
              <w:t>Illustrative factory use</w:t>
            </w:r>
          </w:p>
        </w:tc>
      </w:tr>
      <w:tr>
        <w:trPr>
          <w:cantSplit/>
        </w:trPr>
        <w:tc>
          <w:tcPr>
            <w:tcW w:type="dxa" w:w="1987"/>
            <w:vAlign w:val="center"/>
            <w:tcMar>
              <w:top w:w="75" w:type="dxa"/>
              <w:bottom w:w="75" w:type="dxa"/>
              <w:left w:w="85" w:type="dxa"/>
              <w:right w:w="85" w:type="dxa"/>
            </w:tcMar>
            <w:shd w:fill="FFFFFF"/>
          </w:tcPr>
          <w:p>
            <w:pPr>
              <w:keepNext/>
              <w:spacing w:after="0" w:line="252" w:lineRule="auto"/>
            </w:pPr>
            <w:r>
              <w:rPr>
                <w:sz w:val="19"/>
              </w:rPr>
              <w:t>Prompting and few-shot examples</w:t>
            </w:r>
          </w:p>
        </w:tc>
        <w:tc>
          <w:tcPr>
            <w:tcW w:type="dxa" w:w="2347"/>
            <w:vAlign w:val="center"/>
            <w:tcMar>
              <w:top w:w="75" w:type="dxa"/>
              <w:bottom w:w="75" w:type="dxa"/>
              <w:left w:w="85" w:type="dxa"/>
              <w:right w:w="85" w:type="dxa"/>
            </w:tcMar>
            <w:shd w:fill="FFFFFF"/>
          </w:tcPr>
          <w:p>
            <w:pPr>
              <w:keepNext/>
              <w:spacing w:after="0" w:line="252" w:lineRule="auto"/>
            </w:pPr>
            <w:r>
              <w:rPr>
                <w:sz w:val="19"/>
              </w:rPr>
              <w:t>Small demonstration set in the prompt</w:t>
            </w:r>
          </w:p>
        </w:tc>
        <w:tc>
          <w:tcPr>
            <w:tcW w:type="dxa" w:w="2477"/>
            <w:vAlign w:val="center"/>
            <w:tcMar>
              <w:top w:w="75" w:type="dxa"/>
              <w:bottom w:w="75" w:type="dxa"/>
              <w:left w:w="85" w:type="dxa"/>
              <w:right w:w="85" w:type="dxa"/>
            </w:tcMar>
            <w:shd w:fill="FFFFFF"/>
          </w:tcPr>
          <w:p>
            <w:pPr>
              <w:keepNext/>
              <w:spacing w:after="0" w:line="252" w:lineRule="auto"/>
            </w:pPr>
            <w:r>
              <w:rPr>
                <w:sz w:val="19"/>
              </w:rPr>
              <w:t>Desired response shown in context</w:t>
            </w:r>
          </w:p>
        </w:tc>
        <w:tc>
          <w:tcPr>
            <w:tcW w:type="dxa" w:w="2506"/>
            <w:vAlign w:val="center"/>
            <w:tcMar>
              <w:top w:w="75" w:type="dxa"/>
              <w:bottom w:w="75" w:type="dxa"/>
              <w:left w:w="85" w:type="dxa"/>
              <w:right w:w="85" w:type="dxa"/>
            </w:tcMar>
            <w:shd w:fill="FFFFFF"/>
          </w:tcPr>
          <w:p>
            <w:pPr>
              <w:keepNext/>
              <w:spacing w:after="0" w:line="252" w:lineRule="auto"/>
            </w:pPr>
            <w:r>
              <w:rPr>
                <w:sz w:val="19"/>
              </w:rPr>
              <w:t>Classify a maintenance request</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RAG</w:t>
            </w:r>
          </w:p>
        </w:tc>
        <w:tc>
          <w:tcPr>
            <w:tcW w:type="dxa" w:w="2347"/>
            <w:vAlign w:val="center"/>
            <w:tcMar>
              <w:top w:w="75" w:type="dxa"/>
              <w:bottom w:w="75" w:type="dxa"/>
              <w:left w:w="85" w:type="dxa"/>
              <w:right w:w="85" w:type="dxa"/>
            </w:tcMar>
            <w:shd w:fill="F3F4F5"/>
          </w:tcPr>
          <w:p>
            <w:pPr>
              <w:spacing w:after="0" w:line="252" w:lineRule="auto"/>
            </w:pPr>
            <w:r>
              <w:rPr>
                <w:sz w:val="19"/>
              </w:rPr>
              <w:t>Revision-controlled document corpus</w:t>
            </w:r>
          </w:p>
        </w:tc>
        <w:tc>
          <w:tcPr>
            <w:tcW w:type="dxa" w:w="2477"/>
            <w:vAlign w:val="center"/>
            <w:tcMar>
              <w:top w:w="75" w:type="dxa"/>
              <w:bottom w:w="75" w:type="dxa"/>
              <w:left w:w="85" w:type="dxa"/>
              <w:right w:w="85" w:type="dxa"/>
            </w:tcMar>
            <w:shd w:fill="F3F4F5"/>
          </w:tcPr>
          <w:p>
            <w:pPr>
              <w:spacing w:after="0" w:line="252" w:lineRule="auto"/>
            </w:pPr>
            <w:r>
              <w:rPr>
                <w:sz w:val="19"/>
              </w:rPr>
              <w:t>Retrieved passages; optional relevance labels</w:t>
            </w:r>
          </w:p>
        </w:tc>
        <w:tc>
          <w:tcPr>
            <w:tcW w:type="dxa" w:w="2506"/>
            <w:vAlign w:val="center"/>
            <w:tcMar>
              <w:top w:w="75" w:type="dxa"/>
              <w:bottom w:w="75" w:type="dxa"/>
              <w:left w:w="85" w:type="dxa"/>
              <w:right w:w="85" w:type="dxa"/>
            </w:tcMar>
            <w:shd w:fill="F3F4F5"/>
          </w:tcPr>
          <w:p>
            <w:pPr>
              <w:spacing w:after="0" w:line="252" w:lineRule="auto"/>
            </w:pPr>
            <w:r>
              <w:rPr>
                <w:sz w:val="19"/>
              </w:rPr>
              <w:t>Answer from an approved procedure</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Continued pretraining</w:t>
            </w:r>
          </w:p>
        </w:tc>
        <w:tc>
          <w:tcPr>
            <w:tcW w:type="dxa" w:w="2347"/>
            <w:vAlign w:val="center"/>
            <w:tcMar>
              <w:top w:w="75" w:type="dxa"/>
              <w:bottom w:w="75" w:type="dxa"/>
              <w:left w:w="85" w:type="dxa"/>
              <w:right w:w="85" w:type="dxa"/>
            </w:tcMar>
            <w:shd w:fill="FFFFFF"/>
          </w:tcPr>
          <w:p>
            <w:pPr>
              <w:spacing w:after="0" w:line="252" w:lineRule="auto"/>
            </w:pPr>
            <w:r>
              <w:rPr>
                <w:sz w:val="19"/>
              </w:rPr>
              <w:t>Unlabeled domain text or code</w:t>
            </w:r>
          </w:p>
        </w:tc>
        <w:tc>
          <w:tcPr>
            <w:tcW w:type="dxa" w:w="2477"/>
            <w:vAlign w:val="center"/>
            <w:tcMar>
              <w:top w:w="75" w:type="dxa"/>
              <w:bottom w:w="75" w:type="dxa"/>
              <w:left w:w="85" w:type="dxa"/>
              <w:right w:w="85" w:type="dxa"/>
            </w:tcMar>
            <w:shd w:fill="FFFFFF"/>
          </w:tcPr>
          <w:p>
            <w:pPr>
              <w:spacing w:after="0" w:line="252" w:lineRule="auto"/>
            </w:pPr>
            <w:r>
              <w:rPr>
                <w:sz w:val="19"/>
              </w:rPr>
              <w:t>Tokens derived from the same sequence</w:t>
            </w:r>
          </w:p>
        </w:tc>
        <w:tc>
          <w:tcPr>
            <w:tcW w:type="dxa" w:w="2506"/>
            <w:vAlign w:val="center"/>
            <w:tcMar>
              <w:top w:w="75" w:type="dxa"/>
              <w:bottom w:w="75" w:type="dxa"/>
              <w:left w:w="85" w:type="dxa"/>
              <w:right w:w="85" w:type="dxa"/>
            </w:tcMar>
            <w:shd w:fill="FFFFFF"/>
          </w:tcPr>
          <w:p>
            <w:pPr>
              <w:spacing w:after="0" w:line="252" w:lineRule="auto"/>
            </w:pPr>
            <w:r>
              <w:rPr>
                <w:sz w:val="19"/>
              </w:rPr>
              <w:t>Learn technical language patterns</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Supervised fine tuning</w:t>
            </w:r>
          </w:p>
        </w:tc>
        <w:tc>
          <w:tcPr>
            <w:tcW w:type="dxa" w:w="2347"/>
            <w:vAlign w:val="center"/>
            <w:tcMar>
              <w:top w:w="75" w:type="dxa"/>
              <w:bottom w:w="75" w:type="dxa"/>
              <w:left w:w="85" w:type="dxa"/>
              <w:right w:w="85" w:type="dxa"/>
            </w:tcMar>
            <w:shd w:fill="F3F4F5"/>
          </w:tcPr>
          <w:p>
            <w:pPr>
              <w:spacing w:after="0" w:line="252" w:lineRule="auto"/>
            </w:pPr>
            <w:r>
              <w:rPr>
                <w:sz w:val="19"/>
              </w:rPr>
              <w:t>Labeled input and output pairs or conversations</w:t>
            </w:r>
          </w:p>
        </w:tc>
        <w:tc>
          <w:tcPr>
            <w:tcW w:type="dxa" w:w="2477"/>
            <w:vAlign w:val="center"/>
            <w:tcMar>
              <w:top w:w="75" w:type="dxa"/>
              <w:bottom w:w="75" w:type="dxa"/>
              <w:left w:w="85" w:type="dxa"/>
              <w:right w:w="85" w:type="dxa"/>
            </w:tcMar>
            <w:shd w:fill="F3F4F5"/>
          </w:tcPr>
          <w:p>
            <w:pPr>
              <w:spacing w:after="0" w:line="252" w:lineRule="auto"/>
            </w:pPr>
            <w:r>
              <w:rPr>
                <w:sz w:val="19"/>
              </w:rPr>
              <w:t>Expert-approved response or tool call</w:t>
            </w:r>
          </w:p>
        </w:tc>
        <w:tc>
          <w:tcPr>
            <w:tcW w:type="dxa" w:w="2506"/>
            <w:vAlign w:val="center"/>
            <w:tcMar>
              <w:top w:w="75" w:type="dxa"/>
              <w:bottom w:w="75" w:type="dxa"/>
              <w:left w:w="85" w:type="dxa"/>
              <w:right w:w="85" w:type="dxa"/>
            </w:tcMar>
            <w:shd w:fill="F3F4F5"/>
          </w:tcPr>
          <w:p>
            <w:pPr>
              <w:spacing w:after="0" w:line="252" w:lineRule="auto"/>
            </w:pPr>
            <w:r>
              <w:rPr>
                <w:sz w:val="19"/>
              </w:rPr>
              <w:t>Produce an acceptance record</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LoRA</w:t>
            </w:r>
          </w:p>
        </w:tc>
        <w:tc>
          <w:tcPr>
            <w:tcW w:type="dxa" w:w="2347"/>
            <w:vAlign w:val="center"/>
            <w:tcMar>
              <w:top w:w="75" w:type="dxa"/>
              <w:bottom w:w="75" w:type="dxa"/>
              <w:left w:w="85" w:type="dxa"/>
              <w:right w:w="85" w:type="dxa"/>
            </w:tcMar>
            <w:shd w:fill="FFFFFF"/>
          </w:tcPr>
          <w:p>
            <w:pPr>
              <w:spacing w:after="0" w:line="252" w:lineRule="auto"/>
            </w:pPr>
            <w:r>
              <w:rPr>
                <w:sz w:val="19"/>
              </w:rPr>
              <w:t>Data required by the chosen objective</w:t>
            </w:r>
          </w:p>
        </w:tc>
        <w:tc>
          <w:tcPr>
            <w:tcW w:type="dxa" w:w="2477"/>
            <w:vAlign w:val="center"/>
            <w:tcMar>
              <w:top w:w="75" w:type="dxa"/>
              <w:bottom w:w="75" w:type="dxa"/>
              <w:left w:w="85" w:type="dxa"/>
              <w:right w:w="85" w:type="dxa"/>
            </w:tcMar>
            <w:shd w:fill="FFFFFF"/>
          </w:tcPr>
          <w:p>
            <w:pPr>
              <w:spacing w:after="0" w:line="252" w:lineRule="auto"/>
            </w:pPr>
            <w:r>
              <w:rPr>
                <w:sz w:val="19"/>
              </w:rPr>
              <w:t>Same targets as full fine tuning</w:t>
            </w:r>
          </w:p>
        </w:tc>
        <w:tc>
          <w:tcPr>
            <w:tcW w:type="dxa" w:w="2506"/>
            <w:vAlign w:val="center"/>
            <w:tcMar>
              <w:top w:w="75" w:type="dxa"/>
              <w:bottom w:w="75" w:type="dxa"/>
              <w:left w:w="85" w:type="dxa"/>
              <w:right w:w="85" w:type="dxa"/>
            </w:tcMar>
            <w:shd w:fill="FFFFFF"/>
          </w:tcPr>
          <w:p>
            <w:pPr>
              <w:spacing w:after="0" w:line="252" w:lineRule="auto"/>
            </w:pPr>
            <w:r>
              <w:rPr>
                <w:sz w:val="19"/>
              </w:rPr>
              <w:t>Adapt task behavior economically</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QLoRA</w:t>
            </w:r>
          </w:p>
        </w:tc>
        <w:tc>
          <w:tcPr>
            <w:tcW w:type="dxa" w:w="2347"/>
            <w:vAlign w:val="center"/>
            <w:tcMar>
              <w:top w:w="75" w:type="dxa"/>
              <w:bottom w:w="75" w:type="dxa"/>
              <w:left w:w="85" w:type="dxa"/>
              <w:right w:w="85" w:type="dxa"/>
            </w:tcMar>
            <w:shd w:fill="F3F4F5"/>
          </w:tcPr>
          <w:p>
            <w:pPr>
              <w:spacing w:after="0" w:line="252" w:lineRule="auto"/>
            </w:pPr>
            <w:r>
              <w:rPr>
                <w:sz w:val="19"/>
              </w:rPr>
              <w:t>Data required by the chosen objective</w:t>
            </w:r>
          </w:p>
        </w:tc>
        <w:tc>
          <w:tcPr>
            <w:tcW w:type="dxa" w:w="2477"/>
            <w:vAlign w:val="center"/>
            <w:tcMar>
              <w:top w:w="75" w:type="dxa"/>
              <w:bottom w:w="75" w:type="dxa"/>
              <w:left w:w="85" w:type="dxa"/>
              <w:right w:w="85" w:type="dxa"/>
            </w:tcMar>
            <w:shd w:fill="F3F4F5"/>
          </w:tcPr>
          <w:p>
            <w:pPr>
              <w:spacing w:after="0" w:line="252" w:lineRule="auto"/>
            </w:pPr>
            <w:r>
              <w:rPr>
                <w:sz w:val="19"/>
              </w:rPr>
              <w:t>Same targets with a quantized frozen base</w:t>
            </w:r>
          </w:p>
        </w:tc>
        <w:tc>
          <w:tcPr>
            <w:tcW w:type="dxa" w:w="2506"/>
            <w:vAlign w:val="center"/>
            <w:tcMar>
              <w:top w:w="75" w:type="dxa"/>
              <w:bottom w:w="75" w:type="dxa"/>
              <w:left w:w="85" w:type="dxa"/>
              <w:right w:w="85" w:type="dxa"/>
            </w:tcMar>
            <w:shd w:fill="F3F4F5"/>
          </w:tcPr>
          <w:p>
            <w:pPr>
              <w:spacing w:after="0" w:line="252" w:lineRule="auto"/>
            </w:pPr>
            <w:r>
              <w:rPr>
                <w:sz w:val="19"/>
              </w:rPr>
              <w:t>Adapt under a smaller memory budget</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DPO</w:t>
            </w:r>
          </w:p>
        </w:tc>
        <w:tc>
          <w:tcPr>
            <w:tcW w:type="dxa" w:w="2347"/>
            <w:vAlign w:val="center"/>
            <w:tcMar>
              <w:top w:w="75" w:type="dxa"/>
              <w:bottom w:w="75" w:type="dxa"/>
              <w:left w:w="85" w:type="dxa"/>
              <w:right w:w="85" w:type="dxa"/>
            </w:tcMar>
            <w:shd w:fill="FFFFFF"/>
          </w:tcPr>
          <w:p>
            <w:pPr>
              <w:spacing w:after="0" w:line="252" w:lineRule="auto"/>
            </w:pPr>
            <w:r>
              <w:rPr>
                <w:sz w:val="19"/>
              </w:rPr>
              <w:t>Prompt with chosen and rejected responses</w:t>
            </w:r>
          </w:p>
        </w:tc>
        <w:tc>
          <w:tcPr>
            <w:tcW w:type="dxa" w:w="2477"/>
            <w:vAlign w:val="center"/>
            <w:tcMar>
              <w:top w:w="75" w:type="dxa"/>
              <w:bottom w:w="75" w:type="dxa"/>
              <w:left w:w="85" w:type="dxa"/>
              <w:right w:w="85" w:type="dxa"/>
            </w:tcMar>
            <w:shd w:fill="FFFFFF"/>
          </w:tcPr>
          <w:p>
            <w:pPr>
              <w:spacing w:after="0" w:line="252" w:lineRule="auto"/>
            </w:pPr>
            <w:r>
              <w:rPr>
                <w:sz w:val="19"/>
              </w:rPr>
              <w:t>Relative preference between responses</w:t>
            </w:r>
          </w:p>
        </w:tc>
        <w:tc>
          <w:tcPr>
            <w:tcW w:type="dxa" w:w="2506"/>
            <w:vAlign w:val="center"/>
            <w:tcMar>
              <w:top w:w="75" w:type="dxa"/>
              <w:bottom w:w="75" w:type="dxa"/>
              <w:left w:w="85" w:type="dxa"/>
              <w:right w:w="85" w:type="dxa"/>
            </w:tcMar>
            <w:shd w:fill="FFFFFF"/>
          </w:tcPr>
          <w:p>
            <w:pPr>
              <w:spacing w:after="0" w:line="252" w:lineRule="auto"/>
            </w:pPr>
            <w:r>
              <w:rPr>
                <w:sz w:val="19"/>
              </w:rPr>
              <w:t>Prefer evidence-based release decisions</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Conventional RLHF</w:t>
            </w:r>
          </w:p>
        </w:tc>
        <w:tc>
          <w:tcPr>
            <w:tcW w:type="dxa" w:w="2347"/>
            <w:vAlign w:val="center"/>
            <w:tcMar>
              <w:top w:w="75" w:type="dxa"/>
              <w:bottom w:w="75" w:type="dxa"/>
              <w:left w:w="85" w:type="dxa"/>
              <w:right w:w="85" w:type="dxa"/>
            </w:tcMar>
            <w:shd w:fill="F3F4F5"/>
          </w:tcPr>
          <w:p>
            <w:pPr>
              <w:spacing w:after="0" w:line="252" w:lineRule="auto"/>
            </w:pPr>
            <w:r>
              <w:rPr>
                <w:sz w:val="19"/>
              </w:rPr>
              <w:t>Demonstrations, rankings, and rollout prompts</w:t>
            </w:r>
          </w:p>
        </w:tc>
        <w:tc>
          <w:tcPr>
            <w:tcW w:type="dxa" w:w="2477"/>
            <w:vAlign w:val="center"/>
            <w:tcMar>
              <w:top w:w="75" w:type="dxa"/>
              <w:bottom w:w="75" w:type="dxa"/>
              <w:left w:w="85" w:type="dxa"/>
              <w:right w:w="85" w:type="dxa"/>
            </w:tcMar>
            <w:shd w:fill="F3F4F5"/>
          </w:tcPr>
          <w:p>
            <w:pPr>
              <w:spacing w:after="0" w:line="252" w:lineRule="auto"/>
            </w:pPr>
            <w:r>
              <w:rPr>
                <w:sz w:val="19"/>
              </w:rPr>
              <w:t>Learned reward from human preferences</w:t>
            </w:r>
          </w:p>
        </w:tc>
        <w:tc>
          <w:tcPr>
            <w:tcW w:type="dxa" w:w="2506"/>
            <w:vAlign w:val="center"/>
            <w:tcMar>
              <w:top w:w="75" w:type="dxa"/>
              <w:bottom w:w="75" w:type="dxa"/>
              <w:left w:w="85" w:type="dxa"/>
              <w:right w:w="85" w:type="dxa"/>
            </w:tcMar>
            <w:shd w:fill="F3F4F5"/>
          </w:tcPr>
          <w:p>
            <w:pPr>
              <w:spacing w:after="0" w:line="252" w:lineRule="auto"/>
            </w:pPr>
            <w:r>
              <w:rPr>
                <w:sz w:val="19"/>
              </w:rPr>
              <w:t>Improve report usefulness and fidelity</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RL with verifiable rewards</w:t>
            </w:r>
          </w:p>
        </w:tc>
        <w:tc>
          <w:tcPr>
            <w:tcW w:type="dxa" w:w="2347"/>
            <w:vAlign w:val="center"/>
            <w:tcMar>
              <w:top w:w="75" w:type="dxa"/>
              <w:bottom w:w="75" w:type="dxa"/>
              <w:left w:w="85" w:type="dxa"/>
              <w:right w:w="85" w:type="dxa"/>
            </w:tcMar>
            <w:shd w:fill="FFFFFF"/>
          </w:tcPr>
          <w:p>
            <w:pPr>
              <w:spacing w:after="0" w:line="252" w:lineRule="auto"/>
            </w:pPr>
            <w:r>
              <w:rPr>
                <w:sz w:val="19"/>
              </w:rPr>
              <w:t>Task instances and a checking environment</w:t>
            </w:r>
          </w:p>
        </w:tc>
        <w:tc>
          <w:tcPr>
            <w:tcW w:type="dxa" w:w="2477"/>
            <w:vAlign w:val="center"/>
            <w:tcMar>
              <w:top w:w="75" w:type="dxa"/>
              <w:bottom w:w="75" w:type="dxa"/>
              <w:left w:w="85" w:type="dxa"/>
              <w:right w:w="85" w:type="dxa"/>
            </w:tcMar>
            <w:shd w:fill="FFFFFF"/>
          </w:tcPr>
          <w:p>
            <w:pPr>
              <w:spacing w:after="0" w:line="252" w:lineRule="auto"/>
            </w:pPr>
            <w:r>
              <w:rPr>
                <w:sz w:val="19"/>
              </w:rPr>
              <w:t>Computed rewards for generated actions</w:t>
            </w:r>
          </w:p>
        </w:tc>
        <w:tc>
          <w:tcPr>
            <w:tcW w:type="dxa" w:w="2506"/>
            <w:vAlign w:val="center"/>
            <w:tcMar>
              <w:top w:w="75" w:type="dxa"/>
              <w:bottom w:w="75" w:type="dxa"/>
              <w:left w:w="85" w:type="dxa"/>
              <w:right w:w="85" w:type="dxa"/>
            </w:tcMar>
            <w:shd w:fill="FFFFFF"/>
          </w:tcPr>
          <w:p>
            <w:pPr>
              <w:spacing w:after="0" w:line="252" w:lineRule="auto"/>
            </w:pPr>
            <w:r>
              <w:rPr>
                <w:sz w:val="19"/>
              </w:rPr>
              <w:t>Learn feasible scheduling behavior</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Distillation</w:t>
            </w:r>
          </w:p>
        </w:tc>
        <w:tc>
          <w:tcPr>
            <w:tcW w:type="dxa" w:w="2347"/>
            <w:vAlign w:val="center"/>
            <w:tcMar>
              <w:top w:w="75" w:type="dxa"/>
              <w:bottom w:w="75" w:type="dxa"/>
              <w:left w:w="85" w:type="dxa"/>
              <w:right w:w="85" w:type="dxa"/>
            </w:tcMar>
            <w:shd w:fill="F3F4F5"/>
          </w:tcPr>
          <w:p>
            <w:pPr>
              <w:spacing w:after="0" w:line="252" w:lineRule="auto"/>
            </w:pPr>
            <w:r>
              <w:rPr>
                <w:sz w:val="19"/>
              </w:rPr>
              <w:t>Teacher responses, labels, or distributions</w:t>
            </w:r>
          </w:p>
        </w:tc>
        <w:tc>
          <w:tcPr>
            <w:tcW w:type="dxa" w:w="2477"/>
            <w:vAlign w:val="center"/>
            <w:tcMar>
              <w:top w:w="75" w:type="dxa"/>
              <w:bottom w:w="75" w:type="dxa"/>
              <w:left w:w="85" w:type="dxa"/>
              <w:right w:w="85" w:type="dxa"/>
            </w:tcMar>
            <w:shd w:fill="F3F4F5"/>
          </w:tcPr>
          <w:p>
            <w:pPr>
              <w:spacing w:after="0" w:line="252" w:lineRule="auto"/>
            </w:pPr>
            <w:r>
              <w:rPr>
                <w:sz w:val="19"/>
              </w:rPr>
              <w:t>Validated teacher supervision</w:t>
            </w:r>
          </w:p>
        </w:tc>
        <w:tc>
          <w:tcPr>
            <w:tcW w:type="dxa" w:w="2506"/>
            <w:vAlign w:val="center"/>
            <w:tcMar>
              <w:top w:w="75" w:type="dxa"/>
              <w:bottom w:w="75" w:type="dxa"/>
              <w:left w:w="85" w:type="dxa"/>
              <w:right w:w="85" w:type="dxa"/>
            </w:tcMar>
            <w:shd w:fill="F3F4F5"/>
          </w:tcPr>
          <w:p>
            <w:pPr>
              <w:spacing w:after="0" w:line="252" w:lineRule="auto"/>
            </w:pPr>
            <w:r>
              <w:rPr>
                <w:sz w:val="19"/>
              </w:rPr>
              <w:t>Train a smaller specialist or router</w:t>
            </w:r>
          </w:p>
        </w:tc>
      </w:tr>
    </w:tbl>
    <w:p>
      <w:pPr>
        <w:spacing w:after="20"/>
      </w:pPr>
    </w:p>
    <w:p>
      <w:pPr>
        <w:pStyle w:val="Heading3"/>
      </w:pPr>
      <w:r>
        <w:t>Prompting and Few Shot Examples</w:t>
      </w:r>
    </w:p>
    <w:p>
      <w:r>
        <w:t>Why and when to use it. Prompting is a useful initial approach when the task can be explained clearly and only a small number of examples are available. Few-shot examples demonstrate the relationship between a request and its expected response. They are supplied with the current input; their presence does not itself produce a gradient update or a separately trained model. This distinction is important when an experiment reports improvement from additional examples in the prompt.</w:t>
      </w:r>
    </w:p>
    <w:p>
      <w:r>
        <w:t>Data types and fields. Suitable material consists of short, representative instruction–response pairs, including ambiguous requests and valid clarification responses. Each demonstration should contain the information needed to justify its target. For a request router, a compact input, permitted label set, and correct label may be sufficient. For an evidence-based answer, the supporting passage must also be included.</w:t>
      </w:r>
    </w:p>
    <w:p>
      <w:r>
        <w:t>Illustrative demonstration set:</w:t>
      </w:r>
    </w:p>
    <w:p>
      <w:pPr>
        <w:pStyle w:val="DatasetExample"/>
        <w:keepNext/>
      </w:pPr>
      <w:r>
        <w:t>Allowed labels: maintenance, quality, production, clarification</w:t>
      </w:r>
    </w:p>
    <w:p>
      <w:pPr>
        <w:pStyle w:val="DatasetExample"/>
        <w:keepNext/>
      </w:pPr>
      <w:r>
        <w:t>Input: "Open a review request for repeated spindle alarms."</w:t>
      </w:r>
    </w:p>
    <w:p>
      <w:pPr>
        <w:pStyle w:val="DatasetExample"/>
        <w:keepNext/>
      </w:pPr>
      <w:r>
        <w:t>Output: maintenance</w:t>
      </w:r>
    </w:p>
    <w:p>
      <w:pPr>
        <w:pStyle w:val="DatasetExample"/>
        <w:keepNext/>
      </w:pPr>
      <w:r>
        <w:t>Input: "The final acceptance record is missing."</w:t>
      </w:r>
    </w:p>
    <w:p>
      <w:pPr>
        <w:pStyle w:val="DatasetExample"/>
        <w:keepNext/>
      </w:pPr>
      <w:r>
        <w:t>Output: quality</w:t>
      </w:r>
    </w:p>
    <w:p>
      <w:pPr>
        <w:pStyle w:val="DatasetExample"/>
        <w:keepNext/>
      </w:pPr>
      <w:r>
        <w:t>Input: "Please deal with the machine problem."</w:t>
      </w:r>
    </w:p>
    <w:p>
      <w:pPr>
        <w:pStyle w:val="DatasetExample"/>
        <w:keepNext w:val="0"/>
        <w:spacing w:after="160"/>
      </w:pPr>
      <w:r>
        <w:t>Output: clarification</w:t>
      </w:r>
    </w:p>
    <w:p>
      <w:r>
        <w:t>What the agent learns to do in context. The examples illustrate routing rather than diagnosing an alarm or granting permission to act. A separate evaluation set should contain new requests with different wording and difficult boundaries, such as an alarm that causes a production delay. Demonstrations should not disclose the evaluation answers, and their order and selection should be recorded because both can affect the comparison.</w:t>
      </w:r>
    </w:p>
    <w:p>
      <w:pPr>
        <w:pStyle w:val="Heading3"/>
      </w:pPr>
      <w:r>
        <w:t>Retrieval Augmented Generation</w:t>
      </w:r>
    </w:p>
    <w:p>
      <w:r>
        <w:t>Why and when to use it. RAG is appropriate when correctness depends on material that must remain current, attributable, and accessible under the user's permissions. In an ordinary RAG system, the main data resource is a searchable corpus rather than a generator-training set. Updating an approved procedure can change the available evidence without requiring model retraining</w:t>
      </w:r>
      <w:r>
        <w:t xml:space="preserve"> [</w:t>
      </w:r>
      <w:hyperlink w:anchor="reference_23">
        <w:r>
          <w:rPr>
            <w:color w:val="000000"/>
          </w:rPr>
          <w:t>23</w:t>
        </w:r>
      </w:hyperlink>
      <w:r>
        <w:t xml:space="preserve">, </w:t>
      </w:r>
      <w:hyperlink w:anchor="reference_43">
        <w:r>
          <w:rPr>
            <w:color w:val="000000"/>
          </w:rPr>
          <w:t>43</w:t>
        </w:r>
      </w:hyperlink>
      <w:r>
        <w:t>].</w:t>
      </w:r>
      <w:r/>
    </w:p>
    <w:p>
      <w:r>
        <w:t>Data types and fields. The corpus may contain manuals, approved work instructions, inspection criteria, assembly procedures, controller documentation, and maintenance records. A useful passage record includes its text, document identifier, revision, page or section, applicable equipment, validity interval, and access classification. Structured production records normally remain available through controlled database tools instead of being indiscriminately copied into a text index.</w:t>
      </w:r>
    </w:p>
    <w:p>
      <w:r>
        <w:t>Illustrative retrieval record and relevance example:</w:t>
      </w:r>
    </w:p>
    <w:p>
      <w:pPr>
        <w:pStyle w:val="DatasetExample"/>
        <w:keepNext/>
      </w:pPr>
      <w:r>
        <w:t>chunk_id: DEMO-QA-07-r3-section4</w:t>
      </w:r>
    </w:p>
    <w:p>
      <w:pPr>
        <w:pStyle w:val="DatasetExample"/>
        <w:keepNext/>
      </w:pPr>
      <w:r>
        <w:t>text: "Release requires a completed calibration record."</w:t>
      </w:r>
    </w:p>
    <w:p>
      <w:pPr>
        <w:pStyle w:val="DatasetExample"/>
        <w:keepNext/>
      </w:pPr>
      <w:r>
        <w:t>document_id: DEMO-QA-07; revision: 3; section: 4</w:t>
      </w:r>
    </w:p>
    <w:p>
      <w:pPr>
        <w:pStyle w:val="DatasetExample"/>
        <w:keepNext/>
      </w:pPr>
      <w:r>
        <w:t>applies_to: assembled CNC machine tools</w:t>
      </w:r>
    </w:p>
    <w:p>
      <w:pPr>
        <w:pStyle w:val="DatasetExample"/>
        <w:keepNext/>
      </w:pPr>
      <w:r>
        <w:t>Question: "Can a machine be released without calibration records?"</w:t>
      </w:r>
    </w:p>
    <w:p>
      <w:pPr>
        <w:pStyle w:val="DatasetExample"/>
        <w:keepNext/>
      </w:pPr>
      <w:r>
        <w:t>Relevant passage: DEMO-QA-07-r3-section4</w:t>
      </w:r>
    </w:p>
    <w:p>
      <w:pPr>
        <w:pStyle w:val="DatasetExample"/>
        <w:keepNext w:val="0"/>
        <w:spacing w:after="160"/>
      </w:pPr>
      <w:r>
        <w:t>Hard negative: a similar passage from withdrawn revision 2</w:t>
      </w:r>
    </w:p>
    <w:p>
      <w:r>
        <w:t>Training and evaluation implication. If the embedding model or reranker is also adapted, questions with relevant and non-relevant passages become a separate supervised dataset. A hard negative should be plausible but inapplicable, such as the wrong machine family or a withdrawn revision. Permission and revision filters should still enforce eligibility directly. Retrieval evaluation should test whether the correct passage is found; answer evaluation should separately test whether the response uses it faithfully and cites it correctly</w:t>
      </w:r>
      <w:r>
        <w:t xml:space="preserve"> [</w:t>
      </w:r>
      <w:hyperlink w:anchor="reference_11">
        <w:r>
          <w:rPr>
            <w:color w:val="000000"/>
          </w:rPr>
          <w:t>11</w:t>
        </w:r>
      </w:hyperlink>
      <w:r>
        <w:t xml:space="preserve">, </w:t>
      </w:r>
      <w:hyperlink w:anchor="reference_69">
        <w:r>
          <w:rPr>
            <w:color w:val="000000"/>
          </w:rPr>
          <w:t>69</w:t>
        </w:r>
      </w:hyperlink>
      <w:r>
        <w:t>].</w:t>
      </w:r>
      <w:r/>
    </w:p>
    <w:p>
      <w:pPr>
        <w:pStyle w:val="Heading3"/>
      </w:pPr>
      <w:r>
        <w:t>Continued Pretraining</w:t>
      </w:r>
    </w:p>
    <w:p>
      <w:r>
        <w:t>Why and when to use it. Continued pretraining exposes an existing model to additional domain material using a language-modeling objective. Domain-adaptive pretraining uses a broader technical corpus, whereas task-adaptive pretraining uses unlabeled material closer to the eventual task. Gururangan et al. provide foundational evidence for these approaches in language-processing domains; their results do not establish gains for a CNC factory without a corresponding experiment</w:t>
      </w:r>
      <w:r>
        <w:t xml:space="preserve"> [</w:t>
      </w:r>
      <w:hyperlink w:anchor="reference_26">
        <w:r>
          <w:rPr>
            <w:color w:val="000000"/>
          </w:rPr>
          <w:t>26</w:t>
        </w:r>
      </w:hyperlink>
      <w:r>
        <w:t>].</w:t>
      </w:r>
      <w:r/>
    </w:p>
    <w:p>
      <w:r>
        <w:t>Data types and fields. For a causal language model, the input is usually text or code and the next-token targets are derived from that sequence. Human-written answers or preference labels are not required. Candidate factory material includes terminology, maintenance narratives, carefully extracted manuals, assembly descriptions, and documented program examples. Other model architectures may use a different self-supervised objective.</w:t>
      </w:r>
    </w:p>
    <w:p>
      <w:r>
        <w:t>Illustrative corpus record:</w:t>
      </w:r>
    </w:p>
    <w:p>
      <w:pPr>
        <w:pStyle w:val="DatasetExample"/>
        <w:keepNext/>
      </w:pPr>
      <w:r>
        <w:t>record_id: CPT-DEMO-001</w:t>
      </w:r>
    </w:p>
    <w:p>
      <w:pPr>
        <w:pStyle w:val="DatasetExample"/>
        <w:keepNext/>
      </w:pPr>
      <w:r>
        <w:t>text: "The spindle assembly contains a shaft and bearings.</w:t>
      </w:r>
    </w:p>
    <w:p>
      <w:pPr>
        <w:pStyle w:val="DatasetExample"/>
        <w:keepNext/>
      </w:pPr>
      <w:r>
        <w:t>Acceptance documentation links the assembly serial number</w:t>
      </w:r>
    </w:p>
    <w:p>
      <w:pPr>
        <w:pStyle w:val="DatasetExample"/>
        <w:keepNext/>
      </w:pPr>
      <w:r>
        <w:t>to its inspection and calibration records."</w:t>
      </w:r>
    </w:p>
    <w:p>
      <w:pPr>
        <w:pStyle w:val="DatasetExample"/>
        <w:keepNext/>
      </w:pPr>
      <w:r>
        <w:t>source_id: DEMO-TRAINING-MANUAL; revision: 1</w:t>
      </w:r>
    </w:p>
    <w:p>
      <w:pPr>
        <w:pStyle w:val="DatasetExample"/>
        <w:keepNext w:val="0"/>
        <w:spacing w:after="160"/>
      </w:pPr>
      <w:r>
        <w:t>training_field: text</w:t>
      </w:r>
    </w:p>
    <w:p>
      <w:r>
        <w:t>Expected behavior and preparation. The intended benefit is familiarity with technical language and document structure. The source metadata supports traceability and need not be included in the training text. Preparation should preserve units and code syntax, remove duplicated boilerplate, and separate superseded instructions from current authoritative material. A corpus containing incompatible controller dialects needs explicit labeling. Continued pretraining alone does not teach reliable tool selection, revision control, or engineering approval, and evaluation must examine retention of the base model's useful capabilities.</w:t>
      </w:r>
    </w:p>
    <w:p>
      <w:pPr>
        <w:pStyle w:val="Heading3"/>
      </w:pPr>
      <w:r>
        <w:t>Supervised Fine Tuning and Full Parameter Updates</w:t>
      </w:r>
    </w:p>
    <w:p>
      <w:r>
        <w:t>Why and when to use it. SFT is appropriate when the desired behavior can be demonstrated reliably but the base model performs it inconsistently. Suitable targets include structured extraction, supported answers, clarification, abstention, and tool calls. Full fine tuning updates all trainable model weights; adapter-based SFT updates a smaller parameter subset. Both can use the same examples, allowing an experiment to compare the update strategy while holding the data and objective constant</w:t>
      </w:r>
      <w:r>
        <w:t xml:space="preserve"> [</w:t>
      </w:r>
      <w:hyperlink w:anchor="reference_29">
        <w:r>
          <w:rPr>
            <w:color w:val="000000"/>
          </w:rPr>
          <w:t>29</w:t>
        </w:r>
      </w:hyperlink>
      <w:r>
        <w:t xml:space="preserve">, </w:t>
      </w:r>
      <w:hyperlink w:anchor="reference_31">
        <w:r>
          <w:rPr>
            <w:color w:val="000000"/>
          </w:rPr>
          <w:t>31</w:t>
        </w:r>
      </w:hyperlink>
      <w:r>
        <w:t>].</w:t>
      </w:r>
      <w:r/>
    </w:p>
    <w:p>
      <w:r>
        <w:t>Data types and fields. Common representations are prompt–completion pairs and conversations with explicit roles. A tool-use conversation additionally records tool definitions, assistant arguments, tool observations, and the assistant's response to those observations. The training configuration should identify which tokens contribute to the loss. In particular, an observed tool result should not be treated as an instruction to fabricate that result during deployment. Supported formats and masking behavior must be checked against the selected trainer and chat template</w:t>
      </w:r>
      <w:r>
        <w:t xml:space="preserve"> [</w:t>
      </w:r>
      <w:hyperlink w:anchor="reference_30">
        <w:r>
          <w:rPr>
            <w:color w:val="000000"/>
          </w:rPr>
          <w:t>30</w:t>
        </w:r>
      </w:hyperlink>
      <w:r>
        <w:t>].</w:t>
      </w:r>
      <w:r/>
    </w:p>
    <w:p>
      <w:r>
        <w:t>Illustrative acceptance-record demonstration:</w:t>
      </w:r>
    </w:p>
    <w:p>
      <w:pPr>
        <w:pStyle w:val="DatasetExample"/>
        <w:keepNext/>
      </w:pPr>
      <w:r>
        <w:t>{</w:t>
      </w:r>
    </w:p>
    <w:p>
      <w:pPr>
        <w:pStyle w:val="DatasetExample"/>
        <w:keepNext/>
      </w:pPr>
      <w:r>
        <w:t xml:space="preserve">  "prompt": "Policy DEMO-QA-07 requires calibration evidence. Machine SN-DEMO-08 passed mechanical checks; its calibration record is missing. Return release_status and missing_evidence.",</w:t>
      </w:r>
    </w:p>
    <w:p>
      <w:pPr>
        <w:pStyle w:val="DatasetExample"/>
        <w:keepNext/>
      </w:pPr>
      <w:r>
        <w:t xml:space="preserve">  "completion": "{\"release_status\":\"hold\",\"missing_evidence\":[\"calibration_record\"]}"</w:t>
      </w:r>
    </w:p>
    <w:p>
      <w:pPr>
        <w:pStyle w:val="DatasetExample"/>
        <w:keepNext w:val="0"/>
        <w:spacing w:after="160"/>
      </w:pPr>
      <w:r>
        <w:t>}</w:t>
      </w:r>
    </w:p>
    <w:p>
      <w:r>
        <w:t>Illustrative tool-use sequence. An operator asks for the recorded downtime of CNC-DEMO-03 during a specified shift. The assistant selects an authorized, read-only production-query tool with the machine identifier and shift interval. The training conversation then supplies the actual tool observation, such as recorded_downtime_minutes = 35, followed by an assistant answer that reports 35 minutes and identifies the record source. The demonstration does not infer the cause of that downtime unless additional evidence supports it.</w:t>
      </w:r>
    </w:p>
    <w:p>
      <w:r>
        <w:t>Annotation and evaluation. Demonstrations should be checked by the relevant manufacturing, maintenance, or quality specialist. A record-extraction target can be checked against its schema and source. A SQL target should be evaluated on an isolated database with representative records, including empty results and joins, because a syntactically correct query may still answer the wrong question. Requests with incomplete evidence should produce a clarification or a bounded statement of uncertainty rather than an invented completion.</w:t>
      </w:r>
    </w:p>
    <w:p>
      <w:pPr>
        <w:pStyle w:val="Heading3"/>
      </w:pPr>
      <w:r>
        <w:t>Low Rank Adaptation</w:t>
      </w:r>
    </w:p>
    <w:p>
      <w:r>
        <w:t>Why and when to use it. LoRA freezes the pretrained weights and learns low-rank updates to selected matrices. It can make controlled adaptation experiments more practical and allows compact adapters to be managed separately from the base model. LoRA is a parameterization method, not a distinct supervision format: the data requirements follow the objective used to train the adapters</w:t>
      </w:r>
      <w:r>
        <w:t xml:space="preserve"> [</w:t>
      </w:r>
      <w:hyperlink w:anchor="reference_28">
        <w:r>
          <w:rPr>
            <w:color w:val="000000"/>
          </w:rPr>
          <w:t>28</w:t>
        </w:r>
      </w:hyperlink>
      <w:r>
        <w:t xml:space="preserve">, </w:t>
      </w:r>
      <w:hyperlink w:anchor="reference_29">
        <w:r>
          <w:rPr>
            <w:color w:val="000000"/>
          </w:rPr>
          <w:t>29</w:t>
        </w:r>
      </w:hyperlink>
      <w:r>
        <w:t>].</w:t>
      </w:r>
      <w:r/>
    </w:p>
    <w:p>
      <w:r>
        <w:t>Training set example and types. For SFT with LoRA, use the acceptance-record prompt and completion above, or verified conversations containing request, evidence, tool schema, valid arguments, observation, and response. For DPO with LoRA, use preference pairs of the form described below. There is no requirement to label examples with an adapter rank or to convert their text into low-rank representations.</w:t>
      </w:r>
    </w:p>
    <w:p>
      <w:r>
        <w:t>Illustrative SFT record for request clarification:</w:t>
      </w:r>
    </w:p>
    <w:p>
      <w:pPr>
        <w:pStyle w:val="DatasetExample"/>
        <w:keepNext/>
      </w:pPr>
      <w:r>
        <w:t>Input: "Summarize yesterday's CNC-DEMO-03 production."</w:t>
      </w:r>
    </w:p>
    <w:p>
      <w:pPr>
        <w:pStyle w:val="DatasetExample"/>
        <w:keepNext/>
      </w:pPr>
      <w:r>
        <w:t>Context: No factory timezone or shift boundary is supplied.</w:t>
      </w:r>
    </w:p>
    <w:p>
      <w:pPr>
        <w:pStyle w:val="DatasetExample"/>
        <w:keepNext/>
      </w:pPr>
      <w:r>
        <w:t>Target: "Which timezone and shift interval should I use?"</w:t>
      </w:r>
    </w:p>
    <w:p>
      <w:pPr>
        <w:pStyle w:val="DatasetExample"/>
        <w:keepNext w:val="0"/>
        <w:spacing w:after="160"/>
      </w:pPr>
      <w:r>
        <w:t>Annotation: clarification required before querying records</w:t>
      </w:r>
    </w:p>
    <w:p>
      <w:r>
        <w:t>Experimental control. The dataset revision, base checkpoint, trainable target modules, adapter rank, scaling, and optimization settings should be recorded separately. Comparing LoRA with full fine tuning is meaningful only when task coverage and evaluation conditions are comparable. An adapter can learn unsupported conclusions from poor demonstrations just as a fully updated model can.</w:t>
      </w:r>
    </w:p>
    <w:p>
      <w:pPr>
        <w:pStyle w:val="Heading3"/>
      </w:pPr>
      <w:r>
        <w:t>Quantized Low Rank Adaptation</w:t>
      </w:r>
    </w:p>
    <w:p>
      <w:r>
        <w:t>Why and when to use it. QLoRA combines a frozen quantized base model with trainable low-rank adapters, reducing the memory needed for adaptation. In the original method, gradients support adapter learning through the frozen quantized model; the base weights are not updated as ordinary full-precision trainable weights. Its reported memory efficiency concerns specific experimental conditions and does not eliminate activation or context-length costs</w:t>
      </w:r>
      <w:r>
        <w:t xml:space="preserve"> [</w:t>
      </w:r>
      <w:hyperlink w:anchor="reference_18">
        <w:r>
          <w:rPr>
            <w:color w:val="000000"/>
          </w:rPr>
          <w:t>18</w:t>
        </w:r>
      </w:hyperlink>
      <w:r>
        <w:t>].</w:t>
      </w:r>
      <w:r/>
    </w:p>
    <w:p>
      <w:r>
        <w:t>Training set example and types. QLoRA can use exactly the same SFT prompt–completion records, conversations, or DPO preference pairs as the corresponding LoRA experiment. For example, the acceptance-record dataset still contains a missing calibration record and the target release_status = hold. The text and labels are not quantized into four-bit values. Quantization belongs to model loading and training configuration rather than the semantic content of each example.</w:t>
      </w:r>
    </w:p>
    <w:p>
      <w:r>
        <w:t>Illustrative separation of data and configuration:</w:t>
      </w:r>
    </w:p>
    <w:p>
      <w:pPr>
        <w:pStyle w:val="DatasetExample"/>
        <w:keepNext/>
      </w:pPr>
      <w:r>
        <w:t>Dataset: the same approved SFT records used for LoRA</w:t>
      </w:r>
    </w:p>
    <w:p>
      <w:pPr>
        <w:pStyle w:val="DatasetExample"/>
        <w:keepNext/>
      </w:pPr>
      <w:r>
        <w:t>Input and target: unchanged acceptance-record demonstration</w:t>
      </w:r>
    </w:p>
    <w:p>
      <w:pPr>
        <w:pStyle w:val="DatasetExample"/>
        <w:keepNext/>
      </w:pPr>
      <w:r>
        <w:t>Base model: frozen and quantized for training</w:t>
      </w:r>
    </w:p>
    <w:p>
      <w:pPr>
        <w:pStyle w:val="DatasetExample"/>
        <w:keepNext/>
      </w:pPr>
      <w:r>
        <w:t>Trainable parameters: low-rank adapters</w:t>
      </w:r>
    </w:p>
    <w:p>
      <w:pPr>
        <w:pStyle w:val="DatasetExample"/>
        <w:keepNext w:val="0"/>
        <w:spacing w:after="160"/>
      </w:pPr>
      <w:r>
        <w:t>Comparison: task accuracy, memory use, and retained capability</w:t>
      </w:r>
    </w:p>
    <w:p>
      <w:r>
        <w:t>Preparation and limitation. Retain long-context, multilingual, and uncommon-equipment examples when they are part of the intended workload; a smaller memory budget is not a reason to remove the difficult cases from evaluation. Check sequence truncation and packing so that a completion does not lose its supporting evidence. QLoRA training should also be distinguished from quantizing an already trained model solely for inference.</w:t>
      </w:r>
    </w:p>
    <w:p>
      <w:pPr>
        <w:pStyle w:val="Heading3"/>
      </w:pPr>
      <w:r>
        <w:t>Direct Preference Optimization</w:t>
      </w:r>
    </w:p>
    <w:p>
      <w:r>
        <w:t>Why and when to use it. DPO is useful when experts can identify a better response to the same request more consistently than they can write a unique ideal answer. It trains from a prompt with a preferred completion and a rejected completion, without the separate learned reward model and online reinforcement-learning stage of conventional RLHF. Preference pairs may themselves be conversational</w:t>
      </w:r>
      <w:r>
        <w:t xml:space="preserve"> [</w:t>
      </w:r>
      <w:hyperlink w:anchor="reference_30">
        <w:r>
          <w:rPr>
            <w:color w:val="000000"/>
          </w:rPr>
          <w:t>30</w:t>
        </w:r>
      </w:hyperlink>
      <w:r>
        <w:t xml:space="preserve">, </w:t>
      </w:r>
      <w:hyperlink w:anchor="reference_58">
        <w:r>
          <w:rPr>
            <w:color w:val="000000"/>
          </w:rPr>
          <w:t>58</w:t>
        </w:r>
      </w:hyperlink>
      <w:r>
        <w:t>].</w:t>
      </w:r>
      <w:r/>
    </w:p>
    <w:p>
      <w:r>
        <w:t>Data types and fields. The central fields are prompt, chosen, and rejected. The context supplied with the prompt must be identical for the two responses. An annotation record should also retain the evidence, reviewer, and reason for the preference; these support quality control and are not automatically additional DPO loss targets.</w:t>
      </w:r>
    </w:p>
    <w:p>
      <w:r>
        <w:t>Illustrative preference pair:</w:t>
      </w:r>
    </w:p>
    <w:p>
      <w:pPr>
        <w:pStyle w:val="DatasetExample"/>
        <w:keepNext/>
      </w:pPr>
      <w:r>
        <w:t>Prompt: "DEMO-QA-07 requires calibration evidence. Can</w:t>
      </w:r>
    </w:p>
    <w:p>
      <w:pPr>
        <w:pStyle w:val="DatasetExample"/>
        <w:keepNext/>
      </w:pPr>
      <w:r>
        <w:t>SN-DEMO-08 be released when its calibration record is missing?"</w:t>
      </w:r>
    </w:p>
    <w:p>
      <w:pPr>
        <w:pStyle w:val="DatasetExample"/>
        <w:keepNext/>
      </w:pPr>
      <w:r>
        <w:t>Chosen: "Keep the release on hold and obtain the calibration</w:t>
      </w:r>
    </w:p>
    <w:p>
      <w:pPr>
        <w:pStyle w:val="DatasetExample"/>
        <w:keepNext/>
      </w:pPr>
      <w:r>
        <w:t>record for the required review under DEMO-QA-07."</w:t>
      </w:r>
    </w:p>
    <w:p>
      <w:pPr>
        <w:pStyle w:val="DatasetExample"/>
        <w:keepNext/>
      </w:pPr>
      <w:r>
        <w:t>Rejected: "Release the machine; the record can be added later."</w:t>
      </w:r>
    </w:p>
    <w:p>
      <w:pPr>
        <w:pStyle w:val="DatasetExample"/>
        <w:keepNext w:val="0"/>
        <w:spacing w:after="160"/>
      </w:pPr>
      <w:r>
        <w:t>Preference reason: the rejected answer contradicts the evidence</w:t>
      </w:r>
    </w:p>
    <w:p>
      <w:r>
        <w:t>Annotation and evaluation. Useful pairs should also include harder contrasts: two plausible diagnoses with different evidential support, or two well-written summaries where one omits an important qualification. Preference labels should not simply reward length, politeness, or agreement. Where the evidence cannot establish a preference, retain the disagreement or exclude the ambiguous pair rather than inventing a ranking. DPO can change response tendencies but does not replace external authorization or validation.</w:t>
      </w:r>
    </w:p>
    <w:p>
      <w:pPr>
        <w:pStyle w:val="Heading3"/>
      </w:pPr>
      <w:r>
        <w:t>Reinforcement Learning from Human Feedback</w:t>
      </w:r>
    </w:p>
    <w:p>
      <w:r>
        <w:t>Why and when to use it. In a conventional RLHF pipeline, supervised demonstrations establish initial behavior, human comparisons train a reward model, and a policy is then optimized using that reward. Ouyang et al. describe this progression for instruction following. It is relevant when desired qualities are difficult to capture fully with a deterministic checker, but its additional labeling and optimization stages require separate evaluation</w:t>
      </w:r>
      <w:r>
        <w:t xml:space="preserve"> [</w:t>
      </w:r>
      <w:hyperlink w:anchor="reference_52">
        <w:r>
          <w:rPr>
            <w:color w:val="000000"/>
          </w:rPr>
          <w:t>52</w:t>
        </w:r>
      </w:hyperlink>
      <w:r>
        <w:t>].</w:t>
      </w:r>
      <w:r/>
    </w:p>
    <w:p>
      <w:r>
        <w:t>Data types and fields. Three connected data resources are needed: approved demonstrations; prompts with multiple responses and expert rankings or pairwise comparisons; and prompts or environment states from which the policy generates new responses during reinforcement learning. A human ranking is not a physical measurement, and a reward model's score is not a calibrated probability that an engineering claim is correct.</w:t>
      </w:r>
    </w:p>
    <w:p>
      <w:r>
        <w:t>Illustrative feedback record:</w:t>
      </w:r>
    </w:p>
    <w:p>
      <w:pPr>
        <w:pStyle w:val="DatasetExample"/>
        <w:keepNext/>
      </w:pPr>
      <w:r>
        <w:t>Evidence: a production log records 35 minutes of feed hold;</w:t>
      </w:r>
    </w:p>
    <w:p>
      <w:pPr>
        <w:pStyle w:val="DatasetExample"/>
        <w:keepNext/>
      </w:pPr>
      <w:r>
        <w:t>the alarm history and operator report have not been retrieved.</w:t>
      </w:r>
    </w:p>
    <w:p>
      <w:pPr>
        <w:pStyle w:val="DatasetExample"/>
        <w:keepNext/>
      </w:pPr>
      <w:r>
        <w:t>Response A: report the duration and request the missing evidence.</w:t>
      </w:r>
    </w:p>
    <w:p>
      <w:pPr>
        <w:pStyle w:val="DatasetExample"/>
        <w:keepNext/>
      </w:pPr>
      <w:r>
        <w:t>Response B: state that operator error caused the complete loss.</w:t>
      </w:r>
    </w:p>
    <w:p>
      <w:pPr>
        <w:pStyle w:val="DatasetExample"/>
        <w:keepNext/>
      </w:pPr>
      <w:r>
        <w:t>Response C: report the duration without suggesting a next check.</w:t>
      </w:r>
    </w:p>
    <w:p>
      <w:pPr>
        <w:pStyle w:val="DatasetExample"/>
        <w:keepNext w:val="0"/>
        <w:spacing w:after="160"/>
      </w:pPr>
      <w:r>
        <w:t>Expert preference for this request: A above C above B</w:t>
      </w:r>
    </w:p>
    <w:p>
      <w:r>
        <w:t>What the feedback should reward. In this example, the preferred response combines factual reporting with a justified next investigation step. The lower-ranked causal claim exceeds the available evidence. The reward-model dataset should include reviewers' disagreement and examples where polished language conceals an unsupported claim. Held-out human review remains necessary because a policy can improve its reward-model score without becoming more useful or correct.</w:t>
      </w:r>
    </w:p>
    <w:p>
      <w:pPr>
        <w:pStyle w:val="Heading3"/>
      </w:pPr>
      <w:r>
        <w:t>Reinforcement Learning with Verifiable Rewards</w:t>
      </w:r>
    </w:p>
    <w:p>
      <w:r>
        <w:t>Why and when to use it. Reinforcement learning with verifiable rewards is appropriate when generated outputs can be checked against a sufficiently dependable task specification. Examples include constrained scheduling, numerical calculations, or code tested in an isolated environment. DeepSeek-R1 provides an example of reasoning-oriented reinforcement learning; a manufacturing application still requires its own task instances, evaluator, and evidence of transfer</w:t>
      </w:r>
      <w:r>
        <w:t xml:space="preserve"> [</w:t>
      </w:r>
      <w:hyperlink w:anchor="reference_14">
        <w:r>
          <w:rPr>
            <w:color w:val="000000"/>
          </w:rPr>
          <w:t>14</w:t>
        </w:r>
      </w:hyperlink>
      <w:r>
        <w:t>].</w:t>
      </w:r>
      <w:r/>
    </w:p>
    <w:p>
      <w:r>
        <w:t>Data types and fields. Training material can consist of prompts with reference answers, executable tests, scheduling instances, or resettable simulated states. The policy generates responses or action trajectories, and the evaluator supplies feedback. A fixed ideal completion is not required for every instance. Depending on the algorithm, the trainer may generate several candidate completions for one prompt and compare their rewards</w:t>
      </w:r>
      <w:r>
        <w:t xml:space="preserve"> [</w:t>
      </w:r>
      <w:hyperlink w:anchor="reference_31">
        <w:r>
          <w:rPr>
            <w:color w:val="000000"/>
          </w:rPr>
          <w:t>31</w:t>
        </w:r>
      </w:hyperlink>
      <w:r>
        <w:t>].</w:t>
      </w:r>
      <w:r/>
    </w:p>
    <w:p>
      <w:r>
        <w:t>Illustrative scheduling instance:</w:t>
      </w:r>
    </w:p>
    <w:p>
      <w:pPr>
        <w:pStyle w:val="DatasetExample"/>
        <w:keepNext/>
      </w:pPr>
      <w:r>
        <w:t>Resources: M1 and M2, each processing one operation at a time</w:t>
      </w:r>
    </w:p>
    <w:p>
      <w:pPr>
        <w:pStyle w:val="DatasetExample"/>
        <w:keepNext/>
      </w:pPr>
      <w:r>
        <w:t>Job J1: M1 for 10 minutes, then M2 for 5 minutes</w:t>
      </w:r>
    </w:p>
    <w:p>
      <w:pPr>
        <w:pStyle w:val="DatasetExample"/>
        <w:keepNext/>
      </w:pPr>
      <w:r>
        <w:t>Job J2: M1 for 6 minutes, then M2 for 8 minutes</w:t>
      </w:r>
    </w:p>
    <w:p>
      <w:pPr>
        <w:pStyle w:val="DatasetExample"/>
        <w:keepNext/>
      </w:pPr>
      <w:r>
        <w:t>One candidate: J2 on M1 at 0-6, then on M2 at 6-14;</w:t>
      </w:r>
    </w:p>
    <w:p>
      <w:pPr>
        <w:pStyle w:val="DatasetExample"/>
        <w:keepNext/>
      </w:pPr>
      <w:r>
        <w:t>J1 on M1 at 6-16, then on M2 at 16-21</w:t>
      </w:r>
    </w:p>
    <w:p>
      <w:pPr>
        <w:pStyle w:val="DatasetExample"/>
        <w:keepNext/>
      </w:pPr>
      <w:r>
        <w:t>Checker result: all operations feasible; makespan = 21 minutes</w:t>
      </w:r>
    </w:p>
    <w:p>
      <w:pPr>
        <w:pStyle w:val="DatasetExample"/>
        <w:keepNext w:val="0"/>
        <w:spacing w:after="160"/>
      </w:pPr>
      <w:r>
        <w:t>Illustrative reward: 1 / (1 + makespan) if feasible; otherwise 0</w:t>
      </w:r>
    </w:p>
    <w:p>
      <w:r>
        <w:t>Evaluation and limitation. This constructed example illustrates how a generated schedule becomes a checked learning signal; it is not a claim about a real factory's scheduling performance. The checker must test machine occupancy, precedence, operation completeness, and the permitted action space. A realistic environment must additionally represent matters such as setup, material availability, calibration status, and inspection holds. No single scalar reward should replace independently enforced operational constraints. Exploratory training belongs in an isolated simulator or test environment rather than a live machine-control loop.</w:t>
      </w:r>
    </w:p>
    <w:p>
      <w:pPr>
        <w:pStyle w:val="Heading3"/>
      </w:pPr>
      <w:r>
        <w:t>Knowledge Distillation</w:t>
      </w:r>
    </w:p>
    <w:p>
      <w:r>
        <w:t>Why and when to use it. Distillation transfers behavior from a teacher to a student that may be smaller or more suitable for deployment. The data can contain teacher-generated responses, class labels, or probability distributions. Hinton et al. describe distribution-based supervision, while DeepSeek-R1 also discusses training smaller models from generated examples. These approaches require different access to the teacher and should not be treated as the same dataset format</w:t>
      </w:r>
      <w:r>
        <w:t xml:space="preserve"> [</w:t>
      </w:r>
      <w:hyperlink w:anchor="reference_14">
        <w:r>
          <w:rPr>
            <w:color w:val="000000"/>
          </w:rPr>
          <w:t>14</w:t>
        </w:r>
      </w:hyperlink>
      <w:r>
        <w:t xml:space="preserve">, </w:t>
      </w:r>
      <w:hyperlink w:anchor="reference_27">
        <w:r>
          <w:rPr>
            <w:color w:val="000000"/>
          </w:rPr>
          <w:t>27</w:t>
        </w:r>
      </w:hyperlink>
      <w:r>
        <w:t>].</w:t>
      </w:r>
      <w:r/>
    </w:p>
    <w:p>
      <w:r>
        <w:t>Data types and fields. Response-based distillation uses an input, its evidence, and a checked teacher response as a supervised target. Distribution-based distillation additionally records teacher probabilities or logits and the relevant temperature and label mapping. For token-level transfer between generative models, vocabulary and tokenizer compatibility require attention; generated text can instead support sequence-level supervision when teacher logits are unavailable.</w:t>
      </w:r>
    </w:p>
    <w:p>
      <w:r>
        <w:t>Illustrative teacher supervision for a small request router:</w:t>
      </w:r>
    </w:p>
    <w:p>
      <w:pPr>
        <w:pStyle w:val="DatasetExample"/>
        <w:keepNext/>
      </w:pPr>
      <w:r>
        <w:t>Input: "The measured spindle runout exceeds the drawing limit."</w:t>
      </w:r>
    </w:p>
    <w:p>
      <w:pPr>
        <w:pStyle w:val="DatasetExample"/>
        <w:keepNext/>
      </w:pPr>
      <w:r>
        <w:t>Teacher class distribution for this constructed example:</w:t>
      </w:r>
    </w:p>
    <w:p>
      <w:pPr>
        <w:pStyle w:val="DatasetExample"/>
        <w:keepNext/>
      </w:pPr>
      <w:r>
        <w:t>quality = 0.80; maintenance = 0.15;</w:t>
      </w:r>
    </w:p>
    <w:p>
      <w:pPr>
        <w:pStyle w:val="DatasetExample"/>
        <w:keepNext/>
      </w:pPr>
      <w:r>
        <w:t>production = 0.03; other = 0.02</w:t>
      </w:r>
    </w:p>
    <w:p>
      <w:pPr>
        <w:pStyle w:val="DatasetExample"/>
        <w:keepNext/>
      </w:pPr>
      <w:r>
        <w:t>Illustrative target class: quality</w:t>
      </w:r>
    </w:p>
    <w:p>
      <w:pPr>
        <w:pStyle w:val="DatasetExample"/>
        <w:keepNext/>
      </w:pPr>
      <w:r>
        <w:t>Student target: the validated distribution or primary label,</w:t>
      </w:r>
    </w:p>
    <w:p>
      <w:pPr>
        <w:pStyle w:val="DatasetExample"/>
        <w:keepNext w:val="0"/>
        <w:spacing w:after="160"/>
      </w:pPr>
      <w:r>
        <w:t>depending on the selected distillation objective</w:t>
      </w:r>
    </w:p>
    <w:p>
      <w:r>
        <w:t>Quality control and evaluation. The example demonstrates two possible targets; the probabilities are not measured confidence in an actual diagnosis. For a generative assistant, a teacher might instead produce a concise answer that identifies the supporting record, summarizes checks performed, and states remaining uncertainty. Teacher outputs should be filtered through independent evidence and task checks before use. The student requires its own held-out evaluation because it can inherit teacher errors, lose rare-case behavior, or fail when its tools and context differ from those available to the teacher.</w:t>
      </w:r>
    </w:p>
    <w:p>
      <w:pPr>
        <w:pStyle w:val="Heading2"/>
        <w:numPr>
          <w:ilvl w:val="1"/>
          <w:numId w:val="70"/>
        </w:numPr>
      </w:pPr>
      <w:r>
        <w:t>Training Data and Experimental Design</w:t>
      </w:r>
    </w:p>
    <w:p>
      <w:r>
        <w:t>A training example needs enough context to establish why its target output is correct. For an evidence-based answer, this includes the request, authorized supporting passages, the expected structure, and either the answer or a reason to abstain. Tool-use examples additionally require tool definitions, validated arguments, observations, and the intended next action. Process-planning examples should preserve the product revision, material, resource capabilities, prerequisites, and engineering checks applied to the proposed plan.</w:t>
      </w:r>
    </w:p>
    <w:p>
      <w:r>
        <w:t>Data origin and supervision type should be recorded separately. Human-authored demonstrations, historical operational records, simulator-generated trajectories, and model-generated examples describe where data came from. Unlabeled sequences, supervised targets, preferences, rewards, and teacher distributions describe how learning uses it. For example, a synthetic maintenance conversation becomes an SFT example only after its input and intended response are defined; describing it as synthetic does not specify a training objective.</w:t>
      </w:r>
    </w:p>
    <w:p>
      <w:r>
        <w:t>A compact provenance record can accompany each example without becoming part of the model-visible prompt:</w:t>
      </w:r>
    </w:p>
    <w:p>
      <w:pPr>
        <w:pStyle w:val="DatasetExample"/>
        <w:keepNext/>
      </w:pPr>
      <w:r>
        <w:t>example_id: SFT-DEMO-ACCEPTANCE-001</w:t>
      </w:r>
    </w:p>
    <w:p>
      <w:pPr>
        <w:pStyle w:val="DatasetExample"/>
        <w:keepNext/>
      </w:pPr>
      <w:r>
        <w:t>origin: constructed illustration</w:t>
      </w:r>
    </w:p>
    <w:p>
      <w:pPr>
        <w:pStyle w:val="DatasetExample"/>
        <w:keepNext/>
      </w:pPr>
      <w:r>
        <w:t>task: machine acceptance record extraction</w:t>
      </w:r>
    </w:p>
    <w:p>
      <w:pPr>
        <w:pStyle w:val="DatasetExample"/>
        <w:keepNext/>
      </w:pPr>
      <w:r>
        <w:t>source_ids: DEMO-QA-07-r3 and DEMO-SN-08-inspection</w:t>
      </w:r>
    </w:p>
    <w:p>
      <w:pPr>
        <w:pStyle w:val="DatasetExample"/>
        <w:keepNext/>
      </w:pPr>
      <w:r>
        <w:t>review_status: illustrative only, not approved factory data</w:t>
      </w:r>
    </w:p>
    <w:p>
      <w:pPr>
        <w:pStyle w:val="DatasetExample"/>
        <w:keepNext w:val="0"/>
        <w:spacing w:after="160"/>
      </w:pPr>
      <w:r>
        <w:t>group_id: DEMO-SN-08; split: demonstration</w:t>
      </w:r>
    </w:p>
    <w:p>
      <w:r>
        <w:t>For a real dataset, this record should also capture source permissions, language, units, relevant timestamps, annotation guidance, reviewer status, and any teacher, simulator, or validation-tool version. Model-visible context, target fields, and audit metadata should remain distinct. JSONL is a convenient interchange format, but a valid JSON file is not sufficient: the selected trainer must interpret its roles, columns, tool messages, and loss masks correctly</w:t>
      </w:r>
      <w:r>
        <w:t xml:space="preserve"> [</w:t>
      </w:r>
      <w:hyperlink w:anchor="reference_30">
        <w:r>
          <w:rPr>
            <w:color w:val="000000"/>
          </w:rPr>
          <w:t>30</w:t>
        </w:r>
      </w:hyperlink>
      <w:r>
        <w:t>].</w:t>
      </w:r>
      <w:r/>
    </w:p>
    <w:p>
      <w:r>
        <w:t>Dataset coverage should be organized around tasks and failure conditions rather than a single undifferentiated collection of question–answer pairs. Component-machining examples may concern setup records, tool condition, dimensional inspection, and work-order progress. Complete-machine examples should also cover purchased components, subassembly genealogy, mechanical and electrical assembly, controller configuration, calibration evidence, acceptance testing, and finished-machine traceability. The intended output may be a record, a tool call, a proposed plan, or a request for missing evidence.</w:t>
      </w:r>
    </w:p>
    <w:p>
      <w:r>
        <w:t>The dataset should represent cases in which immediate completion would be inappropriate. Missing documents, conflicting revisions, unsupported controller dialects, stale measurements, similar tool identifiers, and unauthorized requests provide useful examples. Such cases teach the distinction between completing a task and requesting the information needed to complete it correctly. Multilingual datasets should also include naturally occurring factory language, since literal translations may omit local abbreviations and shop-floor terminology.</w:t>
      </w:r>
    </w:p>
    <w:p>
      <w:r>
        <w:t>Data partitions should reflect the intended generalization claim. Randomly distributing nearly identical records can place the same failure pattern or drawing family in training, validation, and test sets, producing an optimistic estimate of performance. Holding out time periods, machine families, products, factories, or document revisions provides a more demanding assessment. A claim of transfer to new machine types therefore requires evaluating those types, rather than asking new questions about equipment already represented in training. Synthetic variants and translations of the same source example should remain in one partition, and preference pairs must retain both responses together.</w:t>
      </w:r>
    </w:p>
    <w:p>
      <w:r>
        <w:t>Dataset size should be justified through coverage and learning curves rather than a universal number of examples. Report domain-text volume in tokens, SFT volume in demonstrations or conversations, preference volume in comparisons, and reinforcement-learning exposure in task instances and generated trajectories. A million repetitive examples can contain less useful variation than a smaller, carefully reviewed collection. Validation data may guide model selection and reward calibration; the final test set should remain separate from those choices.</w:t>
      </w:r>
    </w:p>
    <w:p>
      <w:r>
        <w:t>Annotation quality depends on both supporting evidence and relevant engineering expertise. Maintenance engineers may validate fault explanations, manufacturing engineers process sequences, and quality engineers inspection decisions. Disagreement should be retained as evidence of ambiguity until it is resolved through an appropriate review. Recording the original source and the approved interpretation helps distinguish a model error from an engineering question that remains unsettled.</w:t>
      </w:r>
    </w:p>
    <w:p>
      <w:r>
        <w:t>Adaptation experiments should compare the unchanged base model, a retrieval baseline, the adapted model under equivalent retrieval conditions, and relevant simpler tools. Evaluation measures should include task success, unsupported claims, justified abstention, tool-call validity, latency, and resource consumption. Repeated runs are needed where sampling introduces variability. Improvements in fluency should be interpreted alongside engineering outcomes, particularly when numerical accuracy or operational reliability changes. Reproducibility additionally requires the base-model revision, tokenizer, chat template, dataset version, trainable parameter configuration, software versions, and training seed</w:t>
      </w:r>
      <w:r>
        <w:t xml:space="preserve"> [</w:t>
      </w:r>
      <w:hyperlink w:anchor="reference_29">
        <w:r>
          <w:rPr>
            <w:color w:val="000000"/>
          </w:rPr>
          <w:t>29</w:t>
        </w:r>
      </w:hyperlink>
      <w:r>
        <w:t xml:space="preserve">, </w:t>
      </w:r>
      <w:hyperlink w:anchor="reference_31">
        <w:r>
          <w:rPr>
            <w:color w:val="000000"/>
          </w:rPr>
          <w:t>31</w:t>
        </w:r>
      </w:hyperlink>
      <w:r>
        <w:t>].</w:t>
      </w:r>
      <w:r/>
    </w:p>
    <w:p>
      <w:pPr>
        <w:pStyle w:val="Heading2"/>
        <w:numPr>
          <w:ilvl w:val="1"/>
          <w:numId w:val="70"/>
        </w:numPr>
      </w:pPr>
      <w:r>
        <w:t>Memory Requirements and Inference Performance</w:t>
      </w:r>
    </w:p>
    <w:p>
      <w:r>
        <w:t>Inference consists broadly of prefill and decoding. Prefill processes the input context and establishes attention state; decoding generates subsequent tokens. Long manuals increase prefill demand, while detailed generated explanations increase decoding demand. Concurrent requests also compete for computation, memory bandwidth, and key-value cache capacity. Performance measured with a single short question can therefore differ substantially from performance under a mixture of reports, retrieval tasks, and multi-step investigations.</w:t>
      </w:r>
    </w:p>
    <w:p>
      <w:r>
        <w:t>A first approximation to dense-model weight storage is the number of parameters multiplied by the bytes used per parameter. A 27B model at two bytes per parameter requires approximately 54 GB for weights alone, expressed in decimal units. At a nominal four bits per weight, the arithmetic lower bound is about 13.5 GB before quantization metadata and runtime overhead. These estimates describe weight storage rather than complete GPU requirements. Vision components, attention state, temporary buffers, adapters, and concurrent contexts add to the total.</w:t>
      </w:r>
    </w:p>
    <w:p>
      <w:r>
        <w:t>Multi-GPU deployment requires an explicit parallelization strategy. Tensor parallelism divides computations, pipeline parallelism distributes layers, and expert parallelism distributes experts where the architecture supports it. Replication instead places separate model copies behind a scheduler to increase aggregate capacity. The choice depends on whether model fit, latency, throughput, or resilience is the main constraint. Interconnect bandwidth and topology influence this decision because memory installed across several GPUs does not automatically behave as a single shared pool.</w:t>
      </w:r>
    </w:p>
    <w:p>
      <w:r>
        <w:t>FlashAttention reduces memory movement during exact attention through an input/output-aware implementation. PagedAttention, introduced with vLLM, improves the management and sharing of the growing key-value cache. These methods address different bottlenecks and may be combined in the same serving system. Their published speedups depend on the evaluated models and hardware, so factory deployment requires measurements using the intended input lengths, output lengths, concurrency, and task mix</w:t>
      </w:r>
      <w:r>
        <w:t xml:space="preserve"> [</w:t>
      </w:r>
      <w:hyperlink w:anchor="reference_13">
        <w:r>
          <w:rPr>
            <w:color w:val="000000"/>
          </w:rPr>
          <w:t>13</w:t>
        </w:r>
      </w:hyperlink>
      <w:r>
        <w:t xml:space="preserve">, </w:t>
      </w:r>
      <w:hyperlink w:anchor="reference_37">
        <w:r>
          <w:rPr>
            <w:color w:val="000000"/>
          </w:rPr>
          <w:t>37</w:t>
        </w:r>
      </w:hyperlink>
      <w:r>
        <w:t>].</w:t>
      </w:r>
      <w:r/>
    </w:p>
    <w:p>
      <w:pPr>
        <w:pStyle w:val="Heading2"/>
        <w:numPr>
          <w:ilvl w:val="1"/>
          <w:numId w:val="70"/>
        </w:numPr>
      </w:pPr>
      <w:r>
        <w:t>Techniques for Efficient Inference</w:t>
      </w:r>
    </w:p>
    <w:p>
      <w:r>
        <w:t>Quantization reduces the precision used to store or compute selected values. Four-bit weight-only methods, eight-bit representations, and lower-precision attention caches offer different tradeoffs among memory demand, throughput, numerical behavior, and implementation support. Activation-aware weight quantization (AWQ) uses information about activations to guide weight quantization. Converted models should be assessed on the intended factory tasks, where malformed code, incorrect numerical comparisons, or degraded multilingual retrieval may matter more than small changes in general benchmark scores</w:t>
      </w:r>
      <w:r>
        <w:t xml:space="preserve"> [</w:t>
      </w:r>
      <w:hyperlink w:anchor="reference_44">
        <w:r>
          <w:rPr>
            <w:color w:val="000000"/>
          </w:rPr>
          <w:t>44</w:t>
        </w:r>
      </w:hyperlink>
      <w:r>
        <w:t>].</w:t>
      </w:r>
      <w:r/>
    </w:p>
    <w:p>
      <w:r>
        <w:t>Continuous batching admits and completes requests during generation, allowing resources to be reused as individual requests finish. Prefix caching reuses computation for identical initial token sequences and can benefit workloads that share a stable instruction block. Both techniques require appropriate isolation and invalidation. Cache behavior must respect authorization context and model revision, and reused attention state must not be interpreted as evidence that an earlier factual conclusion remains current.</w:t>
      </w:r>
    </w:p>
    <w:p>
      <w:r>
        <w:t>Speculative decoding uses a less expensive drafting mechanism and a target model that verifies the proposed tokens. The exact sampling algorithm in the original research can preserve the target distribution while reducing sequential work by the target model. The observed benefit depends on proposal acceptance, drafting cost, and runtime implementation. A low acceptance rate may eliminate the expected latency advantage, making workload-specific evaluation necessary</w:t>
      </w:r>
      <w:r>
        <w:t xml:space="preserve"> [</w:t>
      </w:r>
      <w:hyperlink w:anchor="reference_42">
        <w:r>
          <w:rPr>
            <w:color w:val="000000"/>
          </w:rPr>
          <w:t>42</w:t>
        </w:r>
      </w:hyperlink>
      <w:r>
        <w:t>].</w:t>
      </w:r>
      <w:r/>
    </w:p>
    <w:p>
      <w:r>
        <w:t>Structured decoding restricts generated syntax to a grammar or schema, improving the parseability of tool calls and inspection records. Semantic correctness remains a separate requirement. A valid JSON object may still identify the wrong machine or contain an inappropriate value. Schema validation should therefore be followed by deterministic checks of units, allowed values, resource existence, revision applicability, operating limits, and consistency between fields.</w:t>
      </w:r>
    </w:p>
    <w:p>
      <w:r>
        <w:t>Serving evaluation should report time to first token, time per output token, total task duration, throughput under a specified workload, queue delay, timeouts, and memory use. A high percentile, such as the 95th percentile, complements the median by showing less favorable response times. For a root cause analysis task, token generation is only part of the delay; retrieval, simulation, and approval can contribute substantially. Capacity estimates should consequently reflect active requests and their lengths rather than registered-user counts alone.</w:t>
      </w:r>
    </w:p>
    <w:p>
      <w:pPr>
        <w:pStyle w:val="Heading2"/>
        <w:numPr>
          <w:ilvl w:val="1"/>
          <w:numId w:val="70"/>
        </w:numPr>
      </w:pPr>
      <w:r>
        <w:t>Inference Engines and Model Packaging</w:t>
      </w:r>
    </w:p>
    <w:p>
      <w:pPr>
        <w:pStyle w:val="Caption"/>
      </w:pPr>
      <w:r>
        <w:t>Table 3 Model Execution and Serving Technologies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2347"/>
        <w:gridCol w:w="2477"/>
        <w:gridCol w:w="2506"/>
      </w:tblGrid>
      <w:tr>
        <w:trPr>
          <w:cantSplit/>
          <w:tblHeader/>
        </w:trPr>
        <w:tc>
          <w:tcPr>
            <w:tcW w:type="dxa" w:w="1987"/>
            <w:vAlign w:val="center"/>
            <w:tcMar>
              <w:top w:w="75" w:type="dxa"/>
              <w:bottom w:w="75" w:type="dxa"/>
              <w:left w:w="85" w:type="dxa"/>
              <w:right w:w="85" w:type="dxa"/>
            </w:tcMar>
            <w:shd w:fill="394047"/>
          </w:tcPr>
          <w:p>
            <w:pPr>
              <w:keepNext/>
              <w:spacing w:after="0" w:line="252" w:lineRule="auto"/>
            </w:pPr>
            <w:r>
              <w:rPr>
                <w:b/>
                <w:color w:val="FFFFFF"/>
                <w:sz w:val="19"/>
              </w:rPr>
              <w:t>Technology</w:t>
            </w:r>
          </w:p>
        </w:tc>
        <w:tc>
          <w:tcPr>
            <w:tcW w:type="dxa" w:w="2347"/>
            <w:vAlign w:val="center"/>
            <w:tcMar>
              <w:top w:w="75" w:type="dxa"/>
              <w:bottom w:w="75" w:type="dxa"/>
              <w:left w:w="85" w:type="dxa"/>
              <w:right w:w="85" w:type="dxa"/>
            </w:tcMar>
            <w:shd w:fill="394047"/>
          </w:tcPr>
          <w:p>
            <w:pPr>
              <w:keepNext/>
              <w:spacing w:after="0" w:line="252" w:lineRule="auto"/>
            </w:pPr>
            <w:r>
              <w:rPr>
                <w:b/>
                <w:color w:val="FFFFFF"/>
                <w:sz w:val="19"/>
              </w:rPr>
              <w:t>Main role</w:t>
            </w:r>
          </w:p>
        </w:tc>
        <w:tc>
          <w:tcPr>
            <w:tcW w:type="dxa" w:w="2477"/>
            <w:vAlign w:val="center"/>
            <w:tcMar>
              <w:top w:w="75" w:type="dxa"/>
              <w:bottom w:w="75" w:type="dxa"/>
              <w:left w:w="85" w:type="dxa"/>
              <w:right w:w="85" w:type="dxa"/>
            </w:tcMar>
            <w:shd w:fill="394047"/>
          </w:tcPr>
          <w:p>
            <w:pPr>
              <w:keepNext/>
              <w:spacing w:after="0" w:line="252" w:lineRule="auto"/>
            </w:pPr>
            <w:r>
              <w:rPr>
                <w:b/>
                <w:color w:val="FFFFFF"/>
                <w:sz w:val="19"/>
              </w:rPr>
              <w:t>Appropriate setting</w:t>
            </w:r>
          </w:p>
        </w:tc>
        <w:tc>
          <w:tcPr>
            <w:tcW w:type="dxa" w:w="2506"/>
            <w:vAlign w:val="center"/>
            <w:tcMar>
              <w:top w:w="75" w:type="dxa"/>
              <w:bottom w:w="75" w:type="dxa"/>
              <w:left w:w="85" w:type="dxa"/>
              <w:right w:w="85" w:type="dxa"/>
            </w:tcMar>
            <w:shd w:fill="394047"/>
          </w:tcPr>
          <w:p>
            <w:pPr>
              <w:keepNext/>
              <w:spacing w:after="0" w:line="252" w:lineRule="auto"/>
            </w:pPr>
            <w:r>
              <w:rPr>
                <w:b/>
                <w:color w:val="FFFFFF"/>
                <w:sz w:val="19"/>
              </w:rPr>
              <w:t>Evaluation concern</w:t>
            </w:r>
          </w:p>
        </w:tc>
      </w:tr>
      <w:tr>
        <w:trPr>
          <w:cantSplit/>
        </w:trPr>
        <w:tc>
          <w:tcPr>
            <w:tcW w:type="dxa" w:w="1987"/>
            <w:vAlign w:val="center"/>
            <w:tcMar>
              <w:top w:w="75" w:type="dxa"/>
              <w:bottom w:w="75" w:type="dxa"/>
              <w:left w:w="85" w:type="dxa"/>
              <w:right w:w="85" w:type="dxa"/>
            </w:tcMar>
            <w:shd w:fill="FFFFFF"/>
          </w:tcPr>
          <w:p>
            <w:pPr>
              <w:keepNext/>
              <w:spacing w:after="0" w:line="252" w:lineRule="auto"/>
            </w:pPr>
            <w:r>
              <w:rPr>
                <w:sz w:val="19"/>
              </w:rPr>
              <w:t>Transformers</w:t>
            </w:r>
          </w:p>
        </w:tc>
        <w:tc>
          <w:tcPr>
            <w:tcW w:type="dxa" w:w="2347"/>
            <w:vAlign w:val="center"/>
            <w:tcMar>
              <w:top w:w="75" w:type="dxa"/>
              <w:bottom w:w="75" w:type="dxa"/>
              <w:left w:w="85" w:type="dxa"/>
              <w:right w:w="85" w:type="dxa"/>
            </w:tcMar>
            <w:shd w:fill="FFFFFF"/>
          </w:tcPr>
          <w:p>
            <w:pPr>
              <w:keepNext/>
              <w:spacing w:after="0" w:line="252" w:lineRule="auto"/>
            </w:pPr>
            <w:r>
              <w:rPr>
                <w:sz w:val="19"/>
              </w:rPr>
              <w:t>Model loading, experimentation, and training integration</w:t>
            </w:r>
          </w:p>
        </w:tc>
        <w:tc>
          <w:tcPr>
            <w:tcW w:type="dxa" w:w="2477"/>
            <w:vAlign w:val="center"/>
            <w:tcMar>
              <w:top w:w="75" w:type="dxa"/>
              <w:bottom w:w="75" w:type="dxa"/>
              <w:left w:w="85" w:type="dxa"/>
              <w:right w:w="85" w:type="dxa"/>
            </w:tcMar>
            <w:shd w:fill="FFFFFF"/>
          </w:tcPr>
          <w:p>
            <w:pPr>
              <w:keepNext/>
              <w:spacing w:after="0" w:line="252" w:lineRule="auto"/>
            </w:pPr>
            <w:r>
              <w:rPr>
                <w:sz w:val="19"/>
              </w:rPr>
              <w:t>Research, adaptation, and controlled application inference</w:t>
            </w:r>
          </w:p>
        </w:tc>
        <w:tc>
          <w:tcPr>
            <w:tcW w:type="dxa" w:w="2506"/>
            <w:vAlign w:val="center"/>
            <w:tcMar>
              <w:top w:w="75" w:type="dxa"/>
              <w:bottom w:w="75" w:type="dxa"/>
              <w:left w:w="85" w:type="dxa"/>
              <w:right w:w="85" w:type="dxa"/>
            </w:tcMar>
            <w:shd w:fill="FFFFFF"/>
          </w:tcPr>
          <w:p>
            <w:pPr>
              <w:keepNext/>
              <w:spacing w:after="0" w:line="252" w:lineRule="auto"/>
            </w:pPr>
            <w:r>
              <w:rPr>
                <w:sz w:val="19"/>
              </w:rPr>
              <w:t>Application must provide scheduling and service operations</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vLLM</w:t>
            </w:r>
          </w:p>
        </w:tc>
        <w:tc>
          <w:tcPr>
            <w:tcW w:type="dxa" w:w="2347"/>
            <w:vAlign w:val="center"/>
            <w:tcMar>
              <w:top w:w="75" w:type="dxa"/>
              <w:bottom w:w="75" w:type="dxa"/>
              <w:left w:w="85" w:type="dxa"/>
              <w:right w:w="85" w:type="dxa"/>
            </w:tcMar>
            <w:shd w:fill="F3F4F5"/>
          </w:tcPr>
          <w:p>
            <w:pPr>
              <w:spacing w:after="0" w:line="252" w:lineRule="auto"/>
            </w:pPr>
            <w:r>
              <w:rPr>
                <w:sz w:val="19"/>
              </w:rPr>
              <w:t>High-throughput model serving</w:t>
            </w:r>
          </w:p>
        </w:tc>
        <w:tc>
          <w:tcPr>
            <w:tcW w:type="dxa" w:w="2477"/>
            <w:vAlign w:val="center"/>
            <w:tcMar>
              <w:top w:w="75" w:type="dxa"/>
              <w:bottom w:w="75" w:type="dxa"/>
              <w:left w:w="85" w:type="dxa"/>
              <w:right w:w="85" w:type="dxa"/>
            </w:tcMar>
            <w:shd w:fill="F3F4F5"/>
          </w:tcPr>
          <w:p>
            <w:pPr>
              <w:spacing w:after="0" w:line="252" w:lineRule="auto"/>
            </w:pPr>
            <w:r>
              <w:rPr>
                <w:sz w:val="19"/>
              </w:rPr>
              <w:t>Shared GPU inference endpoints</w:t>
            </w:r>
          </w:p>
        </w:tc>
        <w:tc>
          <w:tcPr>
            <w:tcW w:type="dxa" w:w="2506"/>
            <w:vAlign w:val="center"/>
            <w:tcMar>
              <w:top w:w="75" w:type="dxa"/>
              <w:bottom w:w="75" w:type="dxa"/>
              <w:left w:w="85" w:type="dxa"/>
              <w:right w:w="85" w:type="dxa"/>
            </w:tcMar>
            <w:shd w:fill="F3F4F5"/>
          </w:tcPr>
          <w:p>
            <w:pPr>
              <w:spacing w:after="0" w:line="252" w:lineRule="auto"/>
            </w:pPr>
            <w:r>
              <w:rPr>
                <w:sz w:val="19"/>
              </w:rPr>
              <w:t>Check architecture, quantization, and tool-parser support</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SGLang</w:t>
            </w:r>
          </w:p>
        </w:tc>
        <w:tc>
          <w:tcPr>
            <w:tcW w:type="dxa" w:w="2347"/>
            <w:vAlign w:val="center"/>
            <w:tcMar>
              <w:top w:w="75" w:type="dxa"/>
              <w:bottom w:w="75" w:type="dxa"/>
              <w:left w:w="85" w:type="dxa"/>
              <w:right w:w="85" w:type="dxa"/>
            </w:tcMar>
            <w:shd w:fill="FFFFFF"/>
          </w:tcPr>
          <w:p>
            <w:pPr>
              <w:spacing w:after="0" w:line="252" w:lineRule="auto"/>
            </w:pPr>
            <w:r>
              <w:rPr>
                <w:sz w:val="19"/>
              </w:rPr>
              <w:t>Efficient structured model programs and serving</w:t>
            </w:r>
          </w:p>
        </w:tc>
        <w:tc>
          <w:tcPr>
            <w:tcW w:type="dxa" w:w="2477"/>
            <w:vAlign w:val="center"/>
            <w:tcMar>
              <w:top w:w="75" w:type="dxa"/>
              <w:bottom w:w="75" w:type="dxa"/>
              <w:left w:w="85" w:type="dxa"/>
              <w:right w:w="85" w:type="dxa"/>
            </w:tcMar>
            <w:shd w:fill="FFFFFF"/>
          </w:tcPr>
          <w:p>
            <w:pPr>
              <w:spacing w:after="0" w:line="252" w:lineRule="auto"/>
            </w:pPr>
            <w:r>
              <w:rPr>
                <w:sz w:val="19"/>
              </w:rPr>
              <w:t>Workloads with shared prefixes or structured generation</w:t>
            </w:r>
          </w:p>
        </w:tc>
        <w:tc>
          <w:tcPr>
            <w:tcW w:type="dxa" w:w="2506"/>
            <w:vAlign w:val="center"/>
            <w:tcMar>
              <w:top w:w="75" w:type="dxa"/>
              <w:bottom w:w="75" w:type="dxa"/>
              <w:left w:w="85" w:type="dxa"/>
              <w:right w:w="85" w:type="dxa"/>
            </w:tcMar>
            <w:shd w:fill="FFFFFF"/>
          </w:tcPr>
          <w:p>
            <w:pPr>
              <w:spacing w:after="0" w:line="252" w:lineRule="auto"/>
            </w:pPr>
            <w:r>
              <w:rPr>
                <w:sz w:val="19"/>
              </w:rPr>
              <w:t>Compare real workload performance and model support</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TensorRT LLM</w:t>
            </w:r>
          </w:p>
        </w:tc>
        <w:tc>
          <w:tcPr>
            <w:tcW w:type="dxa" w:w="2347"/>
            <w:vAlign w:val="center"/>
            <w:tcMar>
              <w:top w:w="75" w:type="dxa"/>
              <w:bottom w:w="75" w:type="dxa"/>
              <w:left w:w="85" w:type="dxa"/>
              <w:right w:w="85" w:type="dxa"/>
            </w:tcMar>
            <w:shd w:fill="F3F4F5"/>
          </w:tcPr>
          <w:p>
            <w:pPr>
              <w:spacing w:after="0" w:line="252" w:lineRule="auto"/>
            </w:pPr>
            <w:r>
              <w:rPr>
                <w:sz w:val="19"/>
              </w:rPr>
              <w:t>NVIDIA-focused optimized inference</w:t>
            </w:r>
          </w:p>
        </w:tc>
        <w:tc>
          <w:tcPr>
            <w:tcW w:type="dxa" w:w="2477"/>
            <w:vAlign w:val="center"/>
            <w:tcMar>
              <w:top w:w="75" w:type="dxa"/>
              <w:bottom w:w="75" w:type="dxa"/>
              <w:left w:w="85" w:type="dxa"/>
              <w:right w:w="85" w:type="dxa"/>
            </w:tcMar>
            <w:shd w:fill="F3F4F5"/>
          </w:tcPr>
          <w:p>
            <w:pPr>
              <w:spacing w:after="0" w:line="252" w:lineRule="auto"/>
            </w:pPr>
            <w:r>
              <w:rPr>
                <w:sz w:val="19"/>
              </w:rPr>
              <w:t>A stable NVIDIA production stack</w:t>
            </w:r>
          </w:p>
        </w:tc>
        <w:tc>
          <w:tcPr>
            <w:tcW w:type="dxa" w:w="2506"/>
            <w:vAlign w:val="center"/>
            <w:tcMar>
              <w:top w:w="75" w:type="dxa"/>
              <w:bottom w:w="75" w:type="dxa"/>
              <w:left w:w="85" w:type="dxa"/>
              <w:right w:w="85" w:type="dxa"/>
            </w:tcMar>
            <w:shd w:fill="F3F4F5"/>
          </w:tcPr>
          <w:p>
            <w:pPr>
              <w:spacing w:after="0" w:line="252" w:lineRule="auto"/>
            </w:pPr>
            <w:r>
              <w:rPr>
                <w:sz w:val="19"/>
              </w:rPr>
              <w:t>Engine and kernel compatibility require careful versioning</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llama.cpp</w:t>
            </w:r>
          </w:p>
        </w:tc>
        <w:tc>
          <w:tcPr>
            <w:tcW w:type="dxa" w:w="2347"/>
            <w:vAlign w:val="center"/>
            <w:tcMar>
              <w:top w:w="75" w:type="dxa"/>
              <w:bottom w:w="75" w:type="dxa"/>
              <w:left w:w="85" w:type="dxa"/>
              <w:right w:w="85" w:type="dxa"/>
            </w:tcMar>
            <w:shd w:fill="FFFFFF"/>
          </w:tcPr>
          <w:p>
            <w:pPr>
              <w:spacing w:after="0" w:line="252" w:lineRule="auto"/>
            </w:pPr>
            <w:r>
              <w:rPr>
                <w:sz w:val="19"/>
              </w:rPr>
              <w:t>Portable local inference and quantized execution</w:t>
            </w:r>
          </w:p>
        </w:tc>
        <w:tc>
          <w:tcPr>
            <w:tcW w:type="dxa" w:w="2477"/>
            <w:vAlign w:val="center"/>
            <w:tcMar>
              <w:top w:w="75" w:type="dxa"/>
              <w:bottom w:w="75" w:type="dxa"/>
              <w:left w:w="85" w:type="dxa"/>
              <w:right w:w="85" w:type="dxa"/>
            </w:tcMar>
            <w:shd w:fill="FFFFFF"/>
          </w:tcPr>
          <w:p>
            <w:pPr>
              <w:spacing w:after="0" w:line="252" w:lineRule="auto"/>
            </w:pPr>
            <w:r>
              <w:rPr>
                <w:sz w:val="19"/>
              </w:rPr>
              <w:t>Edge devices, workstations, and CPU or hybrid environments</w:t>
            </w:r>
          </w:p>
        </w:tc>
        <w:tc>
          <w:tcPr>
            <w:tcW w:type="dxa" w:w="2506"/>
            <w:vAlign w:val="center"/>
            <w:tcMar>
              <w:top w:w="75" w:type="dxa"/>
              <w:bottom w:w="75" w:type="dxa"/>
              <w:left w:w="85" w:type="dxa"/>
              <w:right w:w="85" w:type="dxa"/>
            </w:tcMar>
            <w:shd w:fill="FFFFFF"/>
          </w:tcPr>
          <w:p>
            <w:pPr>
              <w:spacing w:after="0" w:line="252" w:lineRule="auto"/>
            </w:pPr>
            <w:r>
              <w:rPr>
                <w:sz w:val="19"/>
              </w:rPr>
              <w:t>Quantization and model-feature support vary</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Ollama</w:t>
            </w:r>
          </w:p>
        </w:tc>
        <w:tc>
          <w:tcPr>
            <w:tcW w:type="dxa" w:w="2347"/>
            <w:vAlign w:val="center"/>
            <w:tcMar>
              <w:top w:w="75" w:type="dxa"/>
              <w:bottom w:w="75" w:type="dxa"/>
              <w:left w:w="85" w:type="dxa"/>
              <w:right w:w="85" w:type="dxa"/>
            </w:tcMar>
            <w:shd w:fill="F3F4F5"/>
          </w:tcPr>
          <w:p>
            <w:pPr>
              <w:spacing w:after="0" w:line="252" w:lineRule="auto"/>
            </w:pPr>
            <w:r>
              <w:rPr>
                <w:sz w:val="19"/>
              </w:rPr>
              <w:t>Convenient model management and serving interface</w:t>
            </w:r>
          </w:p>
        </w:tc>
        <w:tc>
          <w:tcPr>
            <w:tcW w:type="dxa" w:w="2477"/>
            <w:vAlign w:val="center"/>
            <w:tcMar>
              <w:top w:w="75" w:type="dxa"/>
              <w:bottom w:w="75" w:type="dxa"/>
              <w:left w:w="85" w:type="dxa"/>
              <w:right w:w="85" w:type="dxa"/>
            </w:tcMar>
            <w:shd w:fill="F3F4F5"/>
          </w:tcPr>
          <w:p>
            <w:pPr>
              <w:spacing w:after="0" w:line="252" w:lineRule="auto"/>
            </w:pPr>
            <w:r>
              <w:rPr>
                <w:sz w:val="19"/>
              </w:rPr>
              <w:t>Local evaluation and straightforward deployments</w:t>
            </w:r>
          </w:p>
        </w:tc>
        <w:tc>
          <w:tcPr>
            <w:tcW w:type="dxa" w:w="2506"/>
            <w:vAlign w:val="center"/>
            <w:tcMar>
              <w:top w:w="75" w:type="dxa"/>
              <w:bottom w:w="75" w:type="dxa"/>
              <w:left w:w="85" w:type="dxa"/>
              <w:right w:w="85" w:type="dxa"/>
            </w:tcMar>
            <w:shd w:fill="F3F4F5"/>
          </w:tcPr>
          <w:p>
            <w:pPr>
              <w:spacing w:after="0" w:line="252" w:lineRule="auto"/>
            </w:pPr>
            <w:r>
              <w:rPr>
                <w:sz w:val="19"/>
              </w:rPr>
              <w:t>Inspect local versus cloud model configuration and concurrency</w:t>
            </w:r>
          </w:p>
        </w:tc>
      </w:tr>
    </w:tbl>
    <w:p>
      <w:pPr>
        <w:spacing w:after="20"/>
      </w:pPr>
    </w:p>
    <w:p>
      <w:r>
        <w:t>vLLM is relevant to workloads that share GPU resources across many requests. SGLang emphasizes efficient execution of structured language-model programs, including cache reuse and constrained decoding, while TensorRT LLM supports NVIDIA-oriented inference optimization. Table 3 summarizes their roles alongside more portable alternatives. Selection requires end-to-end tests of the exact model architecture and required features; the largest reported benchmark speedup is insufficient grounds for choosing a serving engine</w:t>
      </w:r>
      <w:r>
        <w:t xml:space="preserve"> [</w:t>
      </w:r>
      <w:hyperlink w:anchor="reference_48">
        <w:r>
          <w:rPr>
            <w:color w:val="000000"/>
          </w:rPr>
          <w:t>48</w:t>
        </w:r>
      </w:hyperlink>
      <w:r>
        <w:t xml:space="preserve">, </w:t>
      </w:r>
      <w:hyperlink w:anchor="reference_63">
        <w:r>
          <w:rPr>
            <w:color w:val="000000"/>
          </w:rPr>
          <w:t>63</w:t>
        </w:r>
      </w:hyperlink>
      <w:r>
        <w:t xml:space="preserve">, </w:t>
      </w:r>
      <w:hyperlink w:anchor="reference_71">
        <w:r>
          <w:rPr>
            <w:color w:val="000000"/>
          </w:rPr>
          <w:t>71</w:t>
        </w:r>
      </w:hyperlink>
      <w:r>
        <w:t>].</w:t>
      </w:r>
      <w:r/>
    </w:p>
    <w:p>
      <w:r>
        <w:t>llama.cpp supports a broad range of hardware, low-bit quantization, and hybrid CPU–GPU execution. Ollama provides a convenient model-management and serving interface, although its documentation also covers cloud models. Offline suitability therefore depends on the selected configuration. Transformers remains useful for experimentation and adaptation, with shared production inference requiring additional arrangements for scheduling, concurrency, and service reliability</w:t>
      </w:r>
      <w:r>
        <w:t xml:space="preserve"> [</w:t>
      </w:r>
      <w:hyperlink w:anchor="reference_24">
        <w:r>
          <w:rPr>
            <w:color w:val="000000"/>
          </w:rPr>
          <w:t>24</w:t>
        </w:r>
      </w:hyperlink>
      <w:r>
        <w:t xml:space="preserve">, </w:t>
      </w:r>
      <w:hyperlink w:anchor="reference_29">
        <w:r>
          <w:rPr>
            <w:color w:val="000000"/>
          </w:rPr>
          <w:t>29</w:t>
        </w:r>
      </w:hyperlink>
      <w:r>
        <w:t xml:space="preserve">, </w:t>
      </w:r>
      <w:hyperlink w:anchor="reference_50">
        <w:r>
          <w:rPr>
            <w:color w:val="000000"/>
          </w:rPr>
          <w:t>50</w:t>
        </w:r>
      </w:hyperlink>
      <w:r>
        <w:t>].</w:t>
      </w:r>
      <w:r/>
    </w:p>
    <w:p>
      <w:r>
        <w:t>Reproducible deployment requires more than the weight files. Tokenizers, processors, chat templates, model and quantization configurations, adapters, generation settings, and the software environment together determine model behavior. GGUF is a model container format commonly used with llama.cpp; it describes packaging rather than a training method or a level of intelligence. Community quantized conversions should retain a traceable connection to their source revision and be evaluated as distinct deployment artifacts.</w:t>
      </w:r>
    </w:p>
    <w:p>
      <w:pPr>
        <w:pStyle w:val="Heading2"/>
        <w:numPr>
          <w:ilvl w:val="1"/>
          <w:numId w:val="70"/>
        </w:numPr>
      </w:pPr>
      <w:r>
        <w:t>Deployment Architectures and Lifecycle Management</w:t>
      </w:r>
    </w:p>
    <w:p>
      <w:r>
        <w:t>Deployment can use cloud services, on-premises infrastructure, edge devices, or an air-gapped environment. Cloud APIs reduce some model-operation responsibilities by relying on managed services. On-premises deployment offers control over data paths and model versions but requires local expertise. Edge deployment places computation closer to equipment, subject to tighter hardware limits. Air-gapped operation adds requirements for offline installation, activation where applicable, updates, recovery, and monitoring. These patterns are alternatives to assess against factory requirements, rather than assumptions about a particular installation.</w:t>
      </w:r>
    </w:p>
    <w:p>
      <w:r>
        <w:t>Separating the agent application, model-serving service, and authoritative industrial systems helps manage their different workloads and lifecycles. A model can then be replaced without rewriting every connector, and a slow generation task need not block transactional processing. Long-running CAD and simulation tasks are better represented as queued jobs with status, cancellation, and recoverable results. Training and bulk document ingestion also require resource controls to avoid unpredictable interference with interactive production work.</w:t>
      </w:r>
    </w:p>
    <w:p>
      <w:r>
        <w:t>Release management should preserve a fixed model manifest, approved data sources, dependency versions, evaluation results, and a rollback procedure. Canary deployment evaluates a new version on a controlled subset of permitted tasks before wider use. Shadow evaluation processes copied requests without allowing the new version to alter operational state. In confidential facilities, staged update verification and offline recovery exercises help assess whether the complete service can be maintained under its intended connectivity constraints.</w:t>
      </w:r>
    </w:p>
    <w:p>
      <w:r>
        <w:t>NIST’s operational-technology guidance describes the performance, reliability, and safety requirements of systems that interact with physical processes. Its generative-AI profile offers a complementary perspective on AI risk management. Together, these sources support evaluating deployment as a maintained system with documented evidence and responsibilities. They provide guidance rather than certification of an individual agent and do not replace the factory’s engineering assurance process</w:t>
      </w:r>
      <w:r>
        <w:t xml:space="preserve"> [</w:t>
      </w:r>
      <w:hyperlink w:anchor="reference_7">
        <w:r>
          <w:rPr>
            <w:color w:val="000000"/>
          </w:rPr>
          <w:t>7</w:t>
        </w:r>
      </w:hyperlink>
      <w:r>
        <w:t xml:space="preserve">, </w:t>
      </w:r>
      <w:hyperlink w:anchor="reference_62">
        <w:r>
          <w:rPr>
            <w:color w:val="000000"/>
          </w:rPr>
          <w:t>62</w:t>
        </w:r>
      </w:hyperlink>
      <w:r>
        <w:t>].</w:t>
      </w:r>
      <w:r/>
    </w:p>
    <w:p>
      <w:bookmarkStart w:id="3" w:name="section_3"/>
      <w:pPr>
        <w:pStyle w:val="Heading1"/>
        <w:numPr>
          <w:ilvl w:val="0"/>
          <w:numId w:val="70"/>
        </w:numPr>
      </w:pPr>
      <w:r>
        <w:t>Part Two Agent Architectures and Interoperability</w:t>
      </w:r>
      <w:bookmarkEnd w:id="3"/>
    </w:p>
    <w:p>
      <w:pPr>
        <w:pStyle w:val="Heading2"/>
        <w:numPr>
          <w:ilvl w:val="1"/>
          <w:numId w:val="70"/>
        </w:numPr>
      </w:pPr>
      <w:r>
        <w:t>Architectural Principles and the Role of Frameworks</w:t>
      </w:r>
    </w:p>
    <w:p>
      <w:r>
        <w:t>An agent framework provides reusable mechanisms for coordinating models, tools, state, and execution. Manufacturing knowledge and operational authority must still be established by the application. Architectural design therefore needs to specify how evidence is selected, which constraints are enforced, when a workflow stops, and who may approve a change. Assigning these responsibilities to explicit components makes the behavior easier to inspect and evaluate.</w:t>
      </w:r>
    </w:p>
    <w:p>
      <w:r>
        <w:t>Anthropic’s practitioner article distinguishes predefined workflows from agents that choose subsequent steps dynamically. This distinction is useful in manufacturing because task uncertainty varies. A shift report may follow an established sequence of queries, calculations, and writing, whereas an unusual maintenance problem may require adaptive selection of further checks. A controlled workflow can accommodate such flexibility while retaining explicit limits on the model’s authority</w:t>
      </w:r>
      <w:r>
        <w:t xml:space="preserve"> [</w:t>
      </w:r>
      <w:hyperlink w:anchor="reference_5">
        <w:r>
          <w:rPr>
            <w:color w:val="000000"/>
          </w:rPr>
          <w:t>5</w:t>
        </w:r>
      </w:hyperlink>
      <w:r>
        <w:t>].</w:t>
      </w:r>
      <w:r/>
    </w:p>
    <w:p>
      <w:r>
        <w:t>Figure 1 presents a conceptual architecture linking the user interface, task orchestration, model services, evidence retrieval, and analytical tools. Verification connects these components to either an informational result or a proposed change requiring approval and renewed validation. The evidence store preserves the observations used to support an answer. This reference architecture can be implemented within a small number of services or distributed across a larger organization, depending on operational needs.</w:t>
      </w:r>
    </w:p>
    <w:p>
      <w:pPr>
        <w:keepNext/>
        <w:jc w:val="center"/>
      </w:pPr>
      <w:r>
        <w:drawing>
          <wp:inline xmlns:a="http://schemas.openxmlformats.org/drawingml/2006/main" xmlns:pic="http://schemas.openxmlformats.org/drawingml/2006/picture">
            <wp:extent cx="5349240" cy="4739239"/>
            <wp:docPr id="1" name="Picture 1" descr="Figure 1 Conceptual Architecture of an AI Agent for a Smart CNC Factory"/>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349240" cy="4739239"/>
                    </a:xfrm>
                    <a:prstGeom prst="rect"/>
                  </pic:spPr>
                </pic:pic>
              </a:graphicData>
            </a:graphic>
          </wp:inline>
        </w:drawing>
      </w:r>
    </w:p>
    <w:p>
      <w:pPr>
        <w:pStyle w:val="Caption"/>
        <w:keepNext w:val="0"/>
        <w:jc w:val="center"/>
      </w:pPr>
      <w:r>
        <w:t>Figure 1 Conceptual Architecture of an AI Agent for a Smart CNC Factory</w:t>
      </w:r>
    </w:p>
    <w:p>
      <w:pPr>
        <w:pStyle w:val="Heading2"/>
        <w:numPr>
          <w:ilvl w:val="1"/>
          <w:numId w:val="70"/>
        </w:numPr>
      </w:pPr>
      <w:r>
        <w:t>Functional Components of an Agent System</w:t>
      </w:r>
    </w:p>
    <w:p>
      <w:pPr>
        <w:pStyle w:val="Caption"/>
      </w:pPr>
      <w:r>
        <w:t>Table 4 Agent Components and Their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2347"/>
        <w:gridCol w:w="2477"/>
        <w:gridCol w:w="2506"/>
      </w:tblGrid>
      <w:tr>
        <w:trPr>
          <w:cantSplit/>
          <w:tblHeader/>
        </w:trPr>
        <w:tc>
          <w:tcPr>
            <w:tcW w:type="dxa" w:w="1987"/>
            <w:vAlign w:val="center"/>
            <w:tcMar>
              <w:top w:w="75" w:type="dxa"/>
              <w:bottom w:w="75" w:type="dxa"/>
              <w:left w:w="85" w:type="dxa"/>
              <w:right w:w="85" w:type="dxa"/>
            </w:tcMar>
            <w:shd w:fill="394047"/>
          </w:tcPr>
          <w:p>
            <w:pPr>
              <w:keepNext/>
              <w:spacing w:after="0" w:line="252" w:lineRule="auto"/>
            </w:pPr>
            <w:r>
              <w:rPr>
                <w:b/>
                <w:color w:val="FFFFFF"/>
                <w:sz w:val="19"/>
              </w:rPr>
              <w:t>Component</w:t>
            </w:r>
          </w:p>
        </w:tc>
        <w:tc>
          <w:tcPr>
            <w:tcW w:type="dxa" w:w="2347"/>
            <w:vAlign w:val="center"/>
            <w:tcMar>
              <w:top w:w="75" w:type="dxa"/>
              <w:bottom w:w="75" w:type="dxa"/>
              <w:left w:w="85" w:type="dxa"/>
              <w:right w:w="85" w:type="dxa"/>
            </w:tcMar>
            <w:shd w:fill="394047"/>
          </w:tcPr>
          <w:p>
            <w:pPr>
              <w:keepNext/>
              <w:spacing w:after="0" w:line="252" w:lineRule="auto"/>
            </w:pPr>
            <w:r>
              <w:rPr>
                <w:b/>
                <w:color w:val="FFFFFF"/>
                <w:sz w:val="19"/>
              </w:rPr>
              <w:t>What it does</w:t>
            </w:r>
          </w:p>
        </w:tc>
        <w:tc>
          <w:tcPr>
            <w:tcW w:type="dxa" w:w="2477"/>
            <w:vAlign w:val="center"/>
            <w:tcMar>
              <w:top w:w="75" w:type="dxa"/>
              <w:bottom w:w="75" w:type="dxa"/>
              <w:left w:w="85" w:type="dxa"/>
              <w:right w:w="85" w:type="dxa"/>
            </w:tcMar>
            <w:shd w:fill="394047"/>
          </w:tcPr>
          <w:p>
            <w:pPr>
              <w:keepNext/>
              <w:spacing w:after="0" w:line="252" w:lineRule="auto"/>
            </w:pPr>
            <w:r>
              <w:rPr>
                <w:b/>
                <w:color w:val="FFFFFF"/>
                <w:sz w:val="19"/>
              </w:rPr>
              <w:t>CNC example</w:t>
            </w:r>
          </w:p>
        </w:tc>
        <w:tc>
          <w:tcPr>
            <w:tcW w:type="dxa" w:w="2506"/>
            <w:vAlign w:val="center"/>
            <w:tcMar>
              <w:top w:w="75" w:type="dxa"/>
              <w:bottom w:w="75" w:type="dxa"/>
              <w:left w:w="85" w:type="dxa"/>
              <w:right w:w="85" w:type="dxa"/>
            </w:tcMar>
            <w:shd w:fill="394047"/>
          </w:tcPr>
          <w:p>
            <w:pPr>
              <w:keepNext/>
              <w:spacing w:after="0" w:line="252" w:lineRule="auto"/>
            </w:pPr>
            <w:r>
              <w:rPr>
                <w:b/>
                <w:color w:val="FFFFFF"/>
                <w:sz w:val="19"/>
              </w:rPr>
              <w:t>Required control</w:t>
            </w:r>
          </w:p>
        </w:tc>
      </w:tr>
      <w:tr>
        <w:trPr>
          <w:cantSplit/>
        </w:trPr>
        <w:tc>
          <w:tcPr>
            <w:tcW w:type="dxa" w:w="1987"/>
            <w:vAlign w:val="center"/>
            <w:tcMar>
              <w:top w:w="75" w:type="dxa"/>
              <w:bottom w:w="75" w:type="dxa"/>
              <w:left w:w="85" w:type="dxa"/>
              <w:right w:w="85" w:type="dxa"/>
            </w:tcMar>
            <w:shd w:fill="FFFFFF"/>
          </w:tcPr>
          <w:p>
            <w:pPr>
              <w:keepNext/>
              <w:spacing w:after="0" w:line="252" w:lineRule="auto"/>
            </w:pPr>
            <w:r>
              <w:rPr>
                <w:sz w:val="19"/>
              </w:rPr>
              <w:t>User and session interface</w:t>
            </w:r>
          </w:p>
        </w:tc>
        <w:tc>
          <w:tcPr>
            <w:tcW w:type="dxa" w:w="2347"/>
            <w:vAlign w:val="center"/>
            <w:tcMar>
              <w:top w:w="75" w:type="dxa"/>
              <w:bottom w:w="75" w:type="dxa"/>
              <w:left w:w="85" w:type="dxa"/>
              <w:right w:w="85" w:type="dxa"/>
            </w:tcMar>
            <w:shd w:fill="FFFFFF"/>
          </w:tcPr>
          <w:p>
            <w:pPr>
              <w:keepNext/>
              <w:spacing w:after="0" w:line="252" w:lineRule="auto"/>
            </w:pPr>
            <w:r>
              <w:rPr>
                <w:sz w:val="19"/>
              </w:rPr>
              <w:t>Receives requests and shows results</w:t>
            </w:r>
          </w:p>
        </w:tc>
        <w:tc>
          <w:tcPr>
            <w:tcW w:type="dxa" w:w="2477"/>
            <w:vAlign w:val="center"/>
            <w:tcMar>
              <w:top w:w="75" w:type="dxa"/>
              <w:bottom w:w="75" w:type="dxa"/>
              <w:left w:w="85" w:type="dxa"/>
              <w:right w:w="85" w:type="dxa"/>
            </w:tcMar>
            <w:shd w:fill="FFFFFF"/>
          </w:tcPr>
          <w:p>
            <w:pPr>
              <w:keepNext/>
              <w:spacing w:after="0" w:line="252" w:lineRule="auto"/>
            </w:pPr>
            <w:r>
              <w:rPr>
                <w:sz w:val="19"/>
              </w:rPr>
              <w:t>Operator asks about a production delay</w:t>
            </w:r>
          </w:p>
        </w:tc>
        <w:tc>
          <w:tcPr>
            <w:tcW w:type="dxa" w:w="2506"/>
            <w:vAlign w:val="center"/>
            <w:tcMar>
              <w:top w:w="75" w:type="dxa"/>
              <w:bottom w:w="75" w:type="dxa"/>
              <w:left w:w="85" w:type="dxa"/>
              <w:right w:w="85" w:type="dxa"/>
            </w:tcMar>
            <w:shd w:fill="FFFFFF"/>
          </w:tcPr>
          <w:p>
            <w:pPr>
              <w:keepNext/>
              <w:spacing w:after="0" w:line="252" w:lineRule="auto"/>
            </w:pPr>
            <w:r>
              <w:rPr>
                <w:sz w:val="19"/>
              </w:rPr>
              <w:t>Identity, language, scope, and clear result status</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Intent and task router</w:t>
            </w:r>
          </w:p>
        </w:tc>
        <w:tc>
          <w:tcPr>
            <w:tcW w:type="dxa" w:w="2347"/>
            <w:vAlign w:val="center"/>
            <w:tcMar>
              <w:top w:w="75" w:type="dxa"/>
              <w:bottom w:w="75" w:type="dxa"/>
              <w:left w:w="85" w:type="dxa"/>
              <w:right w:w="85" w:type="dxa"/>
            </w:tcMar>
            <w:shd w:fill="F3F4F5"/>
          </w:tcPr>
          <w:p>
            <w:pPr>
              <w:spacing w:after="0" w:line="252" w:lineRule="auto"/>
            </w:pPr>
            <w:r>
              <w:rPr>
                <w:sz w:val="19"/>
              </w:rPr>
              <w:t>Chooses an appropriate workflow</w:t>
            </w:r>
          </w:p>
        </w:tc>
        <w:tc>
          <w:tcPr>
            <w:tcW w:type="dxa" w:w="2477"/>
            <w:vAlign w:val="center"/>
            <w:tcMar>
              <w:top w:w="75" w:type="dxa"/>
              <w:bottom w:w="75" w:type="dxa"/>
              <w:left w:w="85" w:type="dxa"/>
              <w:right w:w="85" w:type="dxa"/>
            </w:tcMar>
            <w:shd w:fill="F3F4F5"/>
          </w:tcPr>
          <w:p>
            <w:pPr>
              <w:spacing w:after="0" w:line="252" w:lineRule="auto"/>
            </w:pPr>
            <w:r>
              <w:rPr>
                <w:sz w:val="19"/>
              </w:rPr>
              <w:t>Route a drawing question to engineering retrieval</w:t>
            </w:r>
          </w:p>
        </w:tc>
        <w:tc>
          <w:tcPr>
            <w:tcW w:type="dxa" w:w="2506"/>
            <w:vAlign w:val="center"/>
            <w:tcMar>
              <w:top w:w="75" w:type="dxa"/>
              <w:bottom w:w="75" w:type="dxa"/>
              <w:left w:w="85" w:type="dxa"/>
              <w:right w:w="85" w:type="dxa"/>
            </w:tcMar>
            <w:shd w:fill="F3F4F5"/>
          </w:tcPr>
          <w:p>
            <w:pPr>
              <w:spacing w:after="0" w:line="252" w:lineRule="auto"/>
            </w:pPr>
            <w:r>
              <w:rPr>
                <w:sz w:val="19"/>
              </w:rPr>
              <w:t>Clarify ambiguous requests</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Context builder</w:t>
            </w:r>
          </w:p>
        </w:tc>
        <w:tc>
          <w:tcPr>
            <w:tcW w:type="dxa" w:w="2347"/>
            <w:vAlign w:val="center"/>
            <w:tcMar>
              <w:top w:w="75" w:type="dxa"/>
              <w:bottom w:w="75" w:type="dxa"/>
              <w:left w:w="85" w:type="dxa"/>
              <w:right w:w="85" w:type="dxa"/>
            </w:tcMar>
            <w:shd w:fill="FFFFFF"/>
          </w:tcPr>
          <w:p>
            <w:pPr>
              <w:spacing w:after="0" w:line="252" w:lineRule="auto"/>
            </w:pPr>
            <w:r>
              <w:rPr>
                <w:sz w:val="19"/>
              </w:rPr>
              <w:t>Selects facts and instructions for the model</w:t>
            </w:r>
          </w:p>
        </w:tc>
        <w:tc>
          <w:tcPr>
            <w:tcW w:type="dxa" w:w="2477"/>
            <w:vAlign w:val="center"/>
            <w:tcMar>
              <w:top w:w="75" w:type="dxa"/>
              <w:bottom w:w="75" w:type="dxa"/>
              <w:left w:w="85" w:type="dxa"/>
              <w:right w:w="85" w:type="dxa"/>
            </w:tcMar>
            <w:shd w:fill="FFFFFF"/>
          </w:tcPr>
          <w:p>
            <w:pPr>
              <w:spacing w:after="0" w:line="252" w:lineRule="auto"/>
            </w:pPr>
            <w:r>
              <w:rPr>
                <w:sz w:val="19"/>
              </w:rPr>
              <w:t>Current part revision and relevant machine capability</w:t>
            </w:r>
          </w:p>
        </w:tc>
        <w:tc>
          <w:tcPr>
            <w:tcW w:type="dxa" w:w="2506"/>
            <w:vAlign w:val="center"/>
            <w:tcMar>
              <w:top w:w="75" w:type="dxa"/>
              <w:bottom w:w="75" w:type="dxa"/>
              <w:left w:w="85" w:type="dxa"/>
              <w:right w:w="85" w:type="dxa"/>
            </w:tcMar>
            <w:shd w:fill="FFFFFF"/>
          </w:tcPr>
          <w:p>
            <w:pPr>
              <w:spacing w:after="0" w:line="252" w:lineRule="auto"/>
            </w:pPr>
            <w:r>
              <w:rPr>
                <w:sz w:val="19"/>
              </w:rPr>
              <w:t>Permission and applicability filtering</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Model adapter</w:t>
            </w:r>
          </w:p>
        </w:tc>
        <w:tc>
          <w:tcPr>
            <w:tcW w:type="dxa" w:w="2347"/>
            <w:vAlign w:val="center"/>
            <w:tcMar>
              <w:top w:w="75" w:type="dxa"/>
              <w:bottom w:w="75" w:type="dxa"/>
              <w:left w:w="85" w:type="dxa"/>
              <w:right w:w="85" w:type="dxa"/>
            </w:tcMar>
            <w:shd w:fill="F3F4F5"/>
          </w:tcPr>
          <w:p>
            <w:pPr>
              <w:spacing w:after="0" w:line="252" w:lineRule="auto"/>
            </w:pPr>
            <w:r>
              <w:rPr>
                <w:sz w:val="19"/>
              </w:rPr>
              <w:t>Invokes a selected model consistently</w:t>
            </w:r>
          </w:p>
        </w:tc>
        <w:tc>
          <w:tcPr>
            <w:tcW w:type="dxa" w:w="2477"/>
            <w:vAlign w:val="center"/>
            <w:tcMar>
              <w:top w:w="75" w:type="dxa"/>
              <w:bottom w:w="75" w:type="dxa"/>
              <w:left w:w="85" w:type="dxa"/>
              <w:right w:w="85" w:type="dxa"/>
            </w:tcMar>
            <w:shd w:fill="F3F4F5"/>
          </w:tcPr>
          <w:p>
            <w:pPr>
              <w:spacing w:after="0" w:line="252" w:lineRule="auto"/>
            </w:pPr>
            <w:r>
              <w:rPr>
                <w:sz w:val="19"/>
              </w:rPr>
              <w:t>Local language or coding endpoint</w:t>
            </w:r>
          </w:p>
        </w:tc>
        <w:tc>
          <w:tcPr>
            <w:tcW w:type="dxa" w:w="2506"/>
            <w:vAlign w:val="center"/>
            <w:tcMar>
              <w:top w:w="75" w:type="dxa"/>
              <w:bottom w:w="75" w:type="dxa"/>
              <w:left w:w="85" w:type="dxa"/>
              <w:right w:w="85" w:type="dxa"/>
            </w:tcMar>
            <w:shd w:fill="F3F4F5"/>
          </w:tcPr>
          <w:p>
            <w:pPr>
              <w:spacing w:after="0" w:line="252" w:lineRule="auto"/>
            </w:pPr>
            <w:r>
              <w:rPr>
                <w:sz w:val="19"/>
              </w:rPr>
              <w:t>Version, timeout, output schema, and resource limits</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Orchestrator</w:t>
            </w:r>
          </w:p>
        </w:tc>
        <w:tc>
          <w:tcPr>
            <w:tcW w:type="dxa" w:w="2347"/>
            <w:vAlign w:val="center"/>
            <w:tcMar>
              <w:top w:w="75" w:type="dxa"/>
              <w:bottom w:w="75" w:type="dxa"/>
              <w:left w:w="85" w:type="dxa"/>
              <w:right w:w="85" w:type="dxa"/>
            </w:tcMar>
            <w:shd w:fill="FFFFFF"/>
          </w:tcPr>
          <w:p>
            <w:pPr>
              <w:spacing w:after="0" w:line="252" w:lineRule="auto"/>
            </w:pPr>
            <w:r>
              <w:rPr>
                <w:sz w:val="19"/>
              </w:rPr>
              <w:t>Controls steps, branches, and stopping</w:t>
            </w:r>
          </w:p>
        </w:tc>
        <w:tc>
          <w:tcPr>
            <w:tcW w:type="dxa" w:w="2477"/>
            <w:vAlign w:val="center"/>
            <w:tcMar>
              <w:top w:w="75" w:type="dxa"/>
              <w:bottom w:w="75" w:type="dxa"/>
              <w:left w:w="85" w:type="dxa"/>
              <w:right w:w="85" w:type="dxa"/>
            </w:tcMar>
            <w:shd w:fill="FFFFFF"/>
          </w:tcPr>
          <w:p>
            <w:pPr>
              <w:spacing w:after="0" w:line="252" w:lineRule="auto"/>
            </w:pPr>
            <w:r>
              <w:rPr>
                <w:sz w:val="19"/>
              </w:rPr>
              <w:t>Investigate downtime, then check material shortages</w:t>
            </w:r>
          </w:p>
        </w:tc>
        <w:tc>
          <w:tcPr>
            <w:tcW w:type="dxa" w:w="2506"/>
            <w:vAlign w:val="center"/>
            <w:tcMar>
              <w:top w:w="75" w:type="dxa"/>
              <w:bottom w:w="75" w:type="dxa"/>
              <w:left w:w="85" w:type="dxa"/>
              <w:right w:w="85" w:type="dxa"/>
            </w:tcMar>
            <w:shd w:fill="FFFFFF"/>
          </w:tcPr>
          <w:p>
            <w:pPr>
              <w:spacing w:after="0" w:line="252" w:lineRule="auto"/>
            </w:pPr>
            <w:r>
              <w:rPr>
                <w:sz w:val="19"/>
              </w:rPr>
              <w:t>Explicit state transitions and bounded retries</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Tool registry and executor</w:t>
            </w:r>
          </w:p>
        </w:tc>
        <w:tc>
          <w:tcPr>
            <w:tcW w:type="dxa" w:w="2347"/>
            <w:vAlign w:val="center"/>
            <w:tcMar>
              <w:top w:w="75" w:type="dxa"/>
              <w:bottom w:w="75" w:type="dxa"/>
              <w:left w:w="85" w:type="dxa"/>
              <w:right w:w="85" w:type="dxa"/>
            </w:tcMar>
            <w:shd w:fill="F3F4F5"/>
          </w:tcPr>
          <w:p>
            <w:pPr>
              <w:spacing w:after="0" w:line="252" w:lineRule="auto"/>
            </w:pPr>
            <w:r>
              <w:rPr>
                <w:sz w:val="19"/>
              </w:rPr>
              <w:t>Exposes and invokes approved operations</w:t>
            </w:r>
          </w:p>
        </w:tc>
        <w:tc>
          <w:tcPr>
            <w:tcW w:type="dxa" w:w="2477"/>
            <w:vAlign w:val="center"/>
            <w:tcMar>
              <w:top w:w="75" w:type="dxa"/>
              <w:bottom w:w="75" w:type="dxa"/>
              <w:left w:w="85" w:type="dxa"/>
              <w:right w:w="85" w:type="dxa"/>
            </w:tcMar>
            <w:shd w:fill="F3F4F5"/>
          </w:tcPr>
          <w:p>
            <w:pPr>
              <w:spacing w:after="0" w:line="252" w:lineRule="auto"/>
            </w:pPr>
            <w:r>
              <w:rPr>
                <w:sz w:val="19"/>
              </w:rPr>
              <w:t>Read historian interval or run a simulation</w:t>
            </w:r>
          </w:p>
        </w:tc>
        <w:tc>
          <w:tcPr>
            <w:tcW w:type="dxa" w:w="2506"/>
            <w:vAlign w:val="center"/>
            <w:tcMar>
              <w:top w:w="75" w:type="dxa"/>
              <w:bottom w:w="75" w:type="dxa"/>
              <w:left w:w="85" w:type="dxa"/>
              <w:right w:w="85" w:type="dxa"/>
            </w:tcMar>
            <w:shd w:fill="F3F4F5"/>
          </w:tcPr>
          <w:p>
            <w:pPr>
              <w:spacing w:after="0" w:line="252" w:lineRule="auto"/>
            </w:pPr>
            <w:r>
              <w:rPr>
                <w:sz w:val="19"/>
              </w:rPr>
              <w:t>Authentication, authorization, validation, and audit</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Retrieval subsystem</w:t>
            </w:r>
          </w:p>
        </w:tc>
        <w:tc>
          <w:tcPr>
            <w:tcW w:type="dxa" w:w="2347"/>
            <w:vAlign w:val="center"/>
            <w:tcMar>
              <w:top w:w="75" w:type="dxa"/>
              <w:bottom w:w="75" w:type="dxa"/>
              <w:left w:w="85" w:type="dxa"/>
              <w:right w:w="85" w:type="dxa"/>
            </w:tcMar>
            <w:shd w:fill="FFFFFF"/>
          </w:tcPr>
          <w:p>
            <w:pPr>
              <w:spacing w:after="0" w:line="252" w:lineRule="auto"/>
            </w:pPr>
            <w:r>
              <w:rPr>
                <w:sz w:val="19"/>
              </w:rPr>
              <w:t>Finds relevant records and passages</w:t>
            </w:r>
          </w:p>
        </w:tc>
        <w:tc>
          <w:tcPr>
            <w:tcW w:type="dxa" w:w="2477"/>
            <w:vAlign w:val="center"/>
            <w:tcMar>
              <w:top w:w="75" w:type="dxa"/>
              <w:bottom w:w="75" w:type="dxa"/>
              <w:left w:w="85" w:type="dxa"/>
              <w:right w:w="85" w:type="dxa"/>
            </w:tcMar>
            <w:shd w:fill="FFFFFF"/>
          </w:tcPr>
          <w:p>
            <w:pPr>
              <w:spacing w:after="0" w:line="252" w:lineRule="auto"/>
            </w:pPr>
            <w:r>
              <w:rPr>
                <w:sz w:val="19"/>
              </w:rPr>
              <w:t>Approved spindle maintenance instructions</w:t>
            </w:r>
          </w:p>
        </w:tc>
        <w:tc>
          <w:tcPr>
            <w:tcW w:type="dxa" w:w="2506"/>
            <w:vAlign w:val="center"/>
            <w:tcMar>
              <w:top w:w="75" w:type="dxa"/>
              <w:bottom w:w="75" w:type="dxa"/>
              <w:left w:w="85" w:type="dxa"/>
              <w:right w:w="85" w:type="dxa"/>
            </w:tcMar>
            <w:shd w:fill="FFFFFF"/>
          </w:tcPr>
          <w:p>
            <w:pPr>
              <w:spacing w:after="0" w:line="252" w:lineRule="auto"/>
            </w:pPr>
            <w:r>
              <w:rPr>
                <w:sz w:val="19"/>
              </w:rPr>
              <w:t>Source provenance and revision checks</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Memory and state</w:t>
            </w:r>
          </w:p>
        </w:tc>
        <w:tc>
          <w:tcPr>
            <w:tcW w:type="dxa" w:w="2347"/>
            <w:vAlign w:val="center"/>
            <w:tcMar>
              <w:top w:w="75" w:type="dxa"/>
              <w:bottom w:w="75" w:type="dxa"/>
              <w:left w:w="85" w:type="dxa"/>
              <w:right w:w="85" w:type="dxa"/>
            </w:tcMar>
            <w:shd w:fill="F3F4F5"/>
          </w:tcPr>
          <w:p>
            <w:pPr>
              <w:spacing w:after="0" w:line="252" w:lineRule="auto"/>
            </w:pPr>
            <w:r>
              <w:rPr>
                <w:sz w:val="19"/>
              </w:rPr>
              <w:t>Retains task progress and selected durable knowledge</w:t>
            </w:r>
          </w:p>
        </w:tc>
        <w:tc>
          <w:tcPr>
            <w:tcW w:type="dxa" w:w="2477"/>
            <w:vAlign w:val="center"/>
            <w:tcMar>
              <w:top w:w="75" w:type="dxa"/>
              <w:bottom w:w="75" w:type="dxa"/>
              <w:left w:w="85" w:type="dxa"/>
              <w:right w:w="85" w:type="dxa"/>
            </w:tcMar>
            <w:shd w:fill="F3F4F5"/>
          </w:tcPr>
          <w:p>
            <w:pPr>
              <w:spacing w:after="0" w:line="252" w:lineRule="auto"/>
            </w:pPr>
            <w:r>
              <w:rPr>
                <w:sz w:val="19"/>
              </w:rPr>
              <w:t>Save an investigation awaiting technician feedback</w:t>
            </w:r>
          </w:p>
        </w:tc>
        <w:tc>
          <w:tcPr>
            <w:tcW w:type="dxa" w:w="2506"/>
            <w:vAlign w:val="center"/>
            <w:tcMar>
              <w:top w:w="75" w:type="dxa"/>
              <w:bottom w:w="75" w:type="dxa"/>
              <w:left w:w="85" w:type="dxa"/>
              <w:right w:w="85" w:type="dxa"/>
            </w:tcMar>
            <w:shd w:fill="F3F4F5"/>
          </w:tcPr>
          <w:p>
            <w:pPr>
              <w:spacing w:after="0" w:line="252" w:lineRule="auto"/>
            </w:pPr>
            <w:r>
              <w:rPr>
                <w:sz w:val="19"/>
              </w:rPr>
              <w:t>Isolation, retention, and correction</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Verifier</w:t>
            </w:r>
          </w:p>
        </w:tc>
        <w:tc>
          <w:tcPr>
            <w:tcW w:type="dxa" w:w="2347"/>
            <w:vAlign w:val="center"/>
            <w:tcMar>
              <w:top w:w="75" w:type="dxa"/>
              <w:bottom w:w="75" w:type="dxa"/>
              <w:left w:w="85" w:type="dxa"/>
              <w:right w:w="85" w:type="dxa"/>
            </w:tcMar>
            <w:shd w:fill="FFFFFF"/>
          </w:tcPr>
          <w:p>
            <w:pPr>
              <w:spacing w:after="0" w:line="252" w:lineRule="auto"/>
            </w:pPr>
            <w:r>
              <w:rPr>
                <w:sz w:val="19"/>
              </w:rPr>
              <w:t>Checks evidence and output constraints</w:t>
            </w:r>
          </w:p>
        </w:tc>
        <w:tc>
          <w:tcPr>
            <w:tcW w:type="dxa" w:w="2477"/>
            <w:vAlign w:val="center"/>
            <w:tcMar>
              <w:top w:w="75" w:type="dxa"/>
              <w:bottom w:w="75" w:type="dxa"/>
              <w:left w:w="85" w:type="dxa"/>
              <w:right w:w="85" w:type="dxa"/>
            </w:tcMar>
            <w:shd w:fill="FFFFFF"/>
          </w:tcPr>
          <w:p>
            <w:pPr>
              <w:spacing w:after="0" w:line="252" w:lineRule="auto"/>
            </w:pPr>
            <w:r>
              <w:rPr>
                <w:sz w:val="19"/>
              </w:rPr>
              <w:t>Recompute scrap rate and validate citations</w:t>
            </w:r>
          </w:p>
        </w:tc>
        <w:tc>
          <w:tcPr>
            <w:tcW w:type="dxa" w:w="2506"/>
            <w:vAlign w:val="center"/>
            <w:tcMar>
              <w:top w:w="75" w:type="dxa"/>
              <w:bottom w:w="75" w:type="dxa"/>
              <w:left w:w="85" w:type="dxa"/>
              <w:right w:w="85" w:type="dxa"/>
            </w:tcMar>
            <w:shd w:fill="FFFFFF"/>
          </w:tcPr>
          <w:p>
            <w:pPr>
              <w:spacing w:after="0" w:line="252" w:lineRule="auto"/>
            </w:pPr>
            <w:r>
              <w:rPr>
                <w:sz w:val="19"/>
              </w:rPr>
              <w:t>Independent deterministic checks where possible</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Approval service</w:t>
            </w:r>
          </w:p>
        </w:tc>
        <w:tc>
          <w:tcPr>
            <w:tcW w:type="dxa" w:w="2347"/>
            <w:vAlign w:val="center"/>
            <w:tcMar>
              <w:top w:w="75" w:type="dxa"/>
              <w:bottom w:w="75" w:type="dxa"/>
              <w:left w:w="85" w:type="dxa"/>
              <w:right w:w="85" w:type="dxa"/>
            </w:tcMar>
            <w:shd w:fill="F3F4F5"/>
          </w:tcPr>
          <w:p>
            <w:pPr>
              <w:spacing w:after="0" w:line="252" w:lineRule="auto"/>
            </w:pPr>
            <w:r>
              <w:rPr>
                <w:sz w:val="19"/>
              </w:rPr>
              <w:t>Binds a decision to a proposed change</w:t>
            </w:r>
          </w:p>
        </w:tc>
        <w:tc>
          <w:tcPr>
            <w:tcW w:type="dxa" w:w="2477"/>
            <w:vAlign w:val="center"/>
            <w:tcMar>
              <w:top w:w="75" w:type="dxa"/>
              <w:bottom w:w="75" w:type="dxa"/>
              <w:left w:w="85" w:type="dxa"/>
              <w:right w:w="85" w:type="dxa"/>
            </w:tcMar>
            <w:shd w:fill="F3F4F5"/>
          </w:tcPr>
          <w:p>
            <w:pPr>
              <w:spacing w:after="0" w:line="252" w:lineRule="auto"/>
            </w:pPr>
            <w:r>
              <w:rPr>
                <w:sz w:val="19"/>
              </w:rPr>
              <w:t>Approve a specific maintenance work order</w:t>
            </w:r>
          </w:p>
        </w:tc>
        <w:tc>
          <w:tcPr>
            <w:tcW w:type="dxa" w:w="2506"/>
            <w:vAlign w:val="center"/>
            <w:tcMar>
              <w:top w:w="75" w:type="dxa"/>
              <w:bottom w:w="75" w:type="dxa"/>
              <w:left w:w="85" w:type="dxa"/>
              <w:right w:w="85" w:type="dxa"/>
            </w:tcMar>
            <w:shd w:fill="F3F4F5"/>
          </w:tcPr>
          <w:p>
            <w:pPr>
              <w:spacing w:after="0" w:line="252" w:lineRule="auto"/>
            </w:pPr>
            <w:r>
              <w:rPr>
                <w:sz w:val="19"/>
              </w:rPr>
              <w:t>Identity, exact payload, scope, expiry, and status</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Observability and evaluation</w:t>
            </w:r>
          </w:p>
        </w:tc>
        <w:tc>
          <w:tcPr>
            <w:tcW w:type="dxa" w:w="2347"/>
            <w:vAlign w:val="center"/>
            <w:tcMar>
              <w:top w:w="75" w:type="dxa"/>
              <w:bottom w:w="75" w:type="dxa"/>
              <w:left w:w="85" w:type="dxa"/>
              <w:right w:w="85" w:type="dxa"/>
            </w:tcMar>
            <w:shd w:fill="FFFFFF"/>
          </w:tcPr>
          <w:p>
            <w:pPr>
              <w:spacing w:after="0" w:line="252" w:lineRule="auto"/>
            </w:pPr>
            <w:r>
              <w:rPr>
                <w:sz w:val="19"/>
              </w:rPr>
              <w:t>Records behavior and measures performance</w:t>
            </w:r>
          </w:p>
        </w:tc>
        <w:tc>
          <w:tcPr>
            <w:tcW w:type="dxa" w:w="2477"/>
            <w:vAlign w:val="center"/>
            <w:tcMar>
              <w:top w:w="75" w:type="dxa"/>
              <w:bottom w:w="75" w:type="dxa"/>
              <w:left w:w="85" w:type="dxa"/>
              <w:right w:w="85" w:type="dxa"/>
            </w:tcMar>
            <w:shd w:fill="FFFFFF"/>
          </w:tcPr>
          <w:p>
            <w:pPr>
              <w:spacing w:after="0" w:line="252" w:lineRule="auto"/>
            </w:pPr>
            <w:r>
              <w:rPr>
                <w:sz w:val="19"/>
              </w:rPr>
              <w:t>Diagnose why a tool call failed</w:t>
            </w:r>
          </w:p>
        </w:tc>
        <w:tc>
          <w:tcPr>
            <w:tcW w:type="dxa" w:w="2506"/>
            <w:vAlign w:val="center"/>
            <w:tcMar>
              <w:top w:w="75" w:type="dxa"/>
              <w:bottom w:w="75" w:type="dxa"/>
              <w:left w:w="85" w:type="dxa"/>
              <w:right w:w="85" w:type="dxa"/>
            </w:tcMar>
            <w:shd w:fill="FFFFFF"/>
          </w:tcPr>
          <w:p>
            <w:pPr>
              <w:spacing w:after="0" w:line="252" w:lineRule="auto"/>
            </w:pPr>
            <w:r>
              <w:rPr>
                <w:sz w:val="19"/>
              </w:rPr>
              <w:t>Protected traces and repeatable test cases</w:t>
            </w:r>
          </w:p>
        </w:tc>
      </w:tr>
    </w:tbl>
    <w:p>
      <w:pPr>
        <w:spacing w:after="20"/>
      </w:pPr>
    </w:p>
    <w:p>
      <w:r>
        <w:t>The intent router identifies the type of outcome requested. Information retrieval, calculation, drafting, simulation, and operational change each have different completion criteria. An alarm explanation may be complete when the applicable source has been cited and explained. Creating a maintenance work order also requires a validated record, any necessary approval, and confirmation from the system of record. This distinction links the conversational request to an observable outcome.</w:t>
      </w:r>
    </w:p>
    <w:p>
      <w:r>
        <w:t>The context builder selects sufficient evidence for the task while retaining identifiers, units, timestamps, revisions, and source locations. Operator notes and retrieved documents enter this context as evidence, not as authority to redefine tool permissions or execution rules. This separation is especially relevant to prompt injection, in which text within a source attempts to redirect the agent’s behavior. Controls should remain effective even when the retrieved content is misleading or adversarial.</w:t>
      </w:r>
    </w:p>
    <w:p>
      <w:r>
        <w:t>The tool executor converts a permitted model proposal into an authenticated and validated operation. For a request to read machine status, it supplies credentials, checks access, validates arguments, and manages retries. Its response should distinguish success from failure and include the observation time, source identity, and relevant units. Preserving explicit failure information prevents an unavailable service from being interpreted as an empty result or as evidence that no problem exists.</w:t>
      </w:r>
    </w:p>
    <w:p>
      <w:r>
        <w:t>Verification should follow the acceptance criteria of the task. Numerical results can be recalculated, citations checked against source passages, schedules tested for resource conflicts, and process plans examined for missing prerequisites. An LLM reviewer may help identify omissions, although agreement between models does not provide independent engineering proof. Deterministic checks are particularly valuable when the required conditions can be specified precisely.</w:t>
      </w:r>
    </w:p>
    <w:p>
      <w:pPr>
        <w:pStyle w:val="Heading2"/>
        <w:numPr>
          <w:ilvl w:val="1"/>
          <w:numId w:val="70"/>
        </w:numPr>
      </w:pPr>
      <w:r>
        <w:t>LangChain and LangGraph</w:t>
      </w:r>
    </w:p>
    <w:p>
      <w:r>
        <w:t>LangChain supplies common interfaces for models and tools, together with a configurable agent execution loop. Its current documentation describes agents built on LangGraph. This arrangement is useful for applications that combine different model providers and external services through a consistent programming interface. LangChain belongs to the application-development layer; industrial data semantics and equipment communication require additional components</w:t>
      </w:r>
      <w:r>
        <w:t xml:space="preserve"> [</w:t>
      </w:r>
      <w:hyperlink w:anchor="reference_38">
        <w:r>
          <w:rPr>
            <w:color w:val="000000"/>
          </w:rPr>
          <w:t>38</w:t>
        </w:r>
      </w:hyperlink>
      <w:r>
        <w:t>].</w:t>
      </w:r>
      <w:r/>
    </w:p>
    <w:p>
      <w:r>
        <w:t>LangGraph provides lower-level orchestration and runtime mechanisms. It represents a workflow as nodes connected by transitions over shared state, allowing deterministic operations to be combined with model-driven decisions. Its documentation emphasizes persistence, streaming, and human participation in long-running tasks. LangGraph can operate independently of LangChain, although LangChain components can simplify model and tool integration</w:t>
      </w:r>
      <w:r>
        <w:t xml:space="preserve"> [</w:t>
      </w:r>
      <w:hyperlink w:anchor="reference_40">
        <w:r>
          <w:rPr>
            <w:color w:val="000000"/>
          </w:rPr>
          <w:t>40</w:t>
        </w:r>
      </w:hyperlink>
      <w:r>
        <w:t>].</w:t>
      </w:r>
      <w:r/>
    </w:p>
    <w:p>
      <w:r>
        <w:t>A maintenance investigation illustrates this graph structure. Nodes may validate the request, collect evidence, compare operating conditions, generate hypotheses, perform further checks, and verify the report. Conditional transitions determine whether the evidence is sufficient, another check is permitted, or specialist review is required. Explicit stopping conditions make the investigation assessable in terms of evidence and policy rather than the apparent confidence of the generated explanation.</w:t>
      </w:r>
    </w:p>
    <w:p>
      <w:r>
        <w:t>LangGraph checkpointers preserve state within a thread, while stores can retain information across threads. Workflows that must survive a process restart require durable storage rather than an in-memory checkpointer. Persistence also requires isolation between users and cases, protection of sensitive observations, and defined retention periods. Stored model outputs should retain their status as generated interpretations unless a separate review establishes them as authoritative knowledge</w:t>
      </w:r>
      <w:r>
        <w:t xml:space="preserve"> [</w:t>
      </w:r>
      <w:hyperlink w:anchor="reference_41">
        <w:r>
          <w:rPr>
            <w:color w:val="000000"/>
          </w:rPr>
          <w:t>41</w:t>
        </w:r>
      </w:hyperlink>
      <w:r>
        <w:t>].</w:t>
      </w:r>
      <w:r/>
    </w:p>
    <w:p>
      <w:r>
        <w:t>Interrupts allow execution to pause while awaiting external input. In the documented resume behavior, the interrupted node starts again from its beginning, which can repeat earlier operations within that node. A node that creates a work order before requesting approval would therefore require particular care. Separating approval collection from state-changing operations and preventing duplicate effects are application responsibilities. Workflow resumption alone cannot guarantee that another system executes an operation exactly once</w:t>
      </w:r>
      <w:r>
        <w:t xml:space="preserve"> [</w:t>
      </w:r>
      <w:hyperlink w:anchor="reference_39">
        <w:r>
          <w:rPr>
            <w:color w:val="000000"/>
          </w:rPr>
          <w:t>39</w:t>
        </w:r>
      </w:hyperlink>
      <w:r>
        <w:t>].</w:t>
      </w:r>
      <w:r/>
    </w:p>
    <w:p>
      <w:r>
        <w:t>An operational approval should be bound to the proposed action, target asset, parameter values, supporting evidence, and validity period. The execution service must then re-evaluate current conditions, since machine state or work-order status may change while approval is pending. This requirement connects human authorization to the actual conditions of execution and must be implemented beyond the graph library itself.</w:t>
      </w:r>
    </w:p>
    <w:p>
      <w:pPr>
        <w:pStyle w:val="Heading2"/>
        <w:numPr>
          <w:ilvl w:val="1"/>
          <w:numId w:val="70"/>
        </w:numPr>
      </w:pPr>
      <w:r>
        <w:t>Alternative Frameworks and Selection Criteria</w:t>
      </w:r>
    </w:p>
    <w:p>
      <w:pPr>
        <w:pStyle w:val="Caption"/>
      </w:pPr>
      <w:r>
        <w:t>Table 5 Comparison of Agent Frameworks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2347"/>
        <w:gridCol w:w="2477"/>
        <w:gridCol w:w="2506"/>
      </w:tblGrid>
      <w:tr>
        <w:trPr>
          <w:cantSplit/>
          <w:tblHeader/>
        </w:trPr>
        <w:tc>
          <w:tcPr>
            <w:tcW w:type="dxa" w:w="1987"/>
            <w:vAlign w:val="center"/>
            <w:tcMar>
              <w:top w:w="75" w:type="dxa"/>
              <w:bottom w:w="75" w:type="dxa"/>
              <w:left w:w="85" w:type="dxa"/>
              <w:right w:w="85" w:type="dxa"/>
            </w:tcMar>
            <w:shd w:fill="394047"/>
          </w:tcPr>
          <w:p>
            <w:pPr>
              <w:keepNext/>
              <w:spacing w:after="0" w:line="252" w:lineRule="auto"/>
            </w:pPr>
            <w:r>
              <w:rPr>
                <w:b/>
                <w:color w:val="FFFFFF"/>
                <w:sz w:val="19"/>
              </w:rPr>
              <w:t>Framework</w:t>
            </w:r>
          </w:p>
        </w:tc>
        <w:tc>
          <w:tcPr>
            <w:tcW w:type="dxa" w:w="2347"/>
            <w:vAlign w:val="center"/>
            <w:tcMar>
              <w:top w:w="75" w:type="dxa"/>
              <w:bottom w:w="75" w:type="dxa"/>
              <w:left w:w="85" w:type="dxa"/>
              <w:right w:w="85" w:type="dxa"/>
            </w:tcMar>
            <w:shd w:fill="394047"/>
          </w:tcPr>
          <w:p>
            <w:pPr>
              <w:keepNext/>
              <w:spacing w:after="0" w:line="252" w:lineRule="auto"/>
            </w:pPr>
            <w:r>
              <w:rPr>
                <w:b/>
                <w:color w:val="FFFFFF"/>
                <w:sz w:val="19"/>
              </w:rPr>
              <w:t>Main emphasis</w:t>
            </w:r>
          </w:p>
        </w:tc>
        <w:tc>
          <w:tcPr>
            <w:tcW w:type="dxa" w:w="2477"/>
            <w:vAlign w:val="center"/>
            <w:tcMar>
              <w:top w:w="75" w:type="dxa"/>
              <w:bottom w:w="75" w:type="dxa"/>
              <w:left w:w="85" w:type="dxa"/>
              <w:right w:w="85" w:type="dxa"/>
            </w:tcMar>
            <w:shd w:fill="394047"/>
          </w:tcPr>
          <w:p>
            <w:pPr>
              <w:keepNext/>
              <w:spacing w:after="0" w:line="252" w:lineRule="auto"/>
            </w:pPr>
            <w:r>
              <w:rPr>
                <w:b/>
                <w:color w:val="FFFFFF"/>
                <w:sz w:val="19"/>
              </w:rPr>
              <w:t>Appropriate application</w:t>
            </w:r>
          </w:p>
        </w:tc>
        <w:tc>
          <w:tcPr>
            <w:tcW w:type="dxa" w:w="2506"/>
            <w:vAlign w:val="center"/>
            <w:tcMar>
              <w:top w:w="75" w:type="dxa"/>
              <w:bottom w:w="75" w:type="dxa"/>
              <w:left w:w="85" w:type="dxa"/>
              <w:right w:w="85" w:type="dxa"/>
            </w:tcMar>
            <w:shd w:fill="394047"/>
          </w:tcPr>
          <w:p>
            <w:pPr>
              <w:keepNext/>
              <w:spacing w:after="0" w:line="252" w:lineRule="auto"/>
            </w:pPr>
            <w:r>
              <w:rPr>
                <w:b/>
                <w:color w:val="FFFFFF"/>
                <w:sz w:val="19"/>
              </w:rPr>
              <w:t>Important qualification</w:t>
            </w:r>
          </w:p>
        </w:tc>
      </w:tr>
      <w:tr>
        <w:trPr>
          <w:cantSplit/>
        </w:trPr>
        <w:tc>
          <w:tcPr>
            <w:tcW w:type="dxa" w:w="1987"/>
            <w:vAlign w:val="center"/>
            <w:tcMar>
              <w:top w:w="75" w:type="dxa"/>
              <w:bottom w:w="75" w:type="dxa"/>
              <w:left w:w="85" w:type="dxa"/>
              <w:right w:w="85" w:type="dxa"/>
            </w:tcMar>
            <w:shd w:fill="FFFFFF"/>
          </w:tcPr>
          <w:p>
            <w:pPr>
              <w:keepNext/>
              <w:spacing w:after="0" w:line="252" w:lineRule="auto"/>
            </w:pPr>
            <w:r>
              <w:rPr>
                <w:sz w:val="19"/>
              </w:rPr>
              <w:t>LangChain</w:t>
            </w:r>
          </w:p>
        </w:tc>
        <w:tc>
          <w:tcPr>
            <w:tcW w:type="dxa" w:w="2347"/>
            <w:vAlign w:val="center"/>
            <w:tcMar>
              <w:top w:w="75" w:type="dxa"/>
              <w:bottom w:w="75" w:type="dxa"/>
              <w:left w:w="85" w:type="dxa"/>
              <w:right w:w="85" w:type="dxa"/>
            </w:tcMar>
            <w:shd w:fill="FFFFFF"/>
          </w:tcPr>
          <w:p>
            <w:pPr>
              <w:keepNext/>
              <w:spacing w:after="0" w:line="252" w:lineRule="auto"/>
            </w:pPr>
            <w:r>
              <w:rPr>
                <w:sz w:val="19"/>
              </w:rPr>
              <w:t>Model and tool integration with agent loops</w:t>
            </w:r>
          </w:p>
        </w:tc>
        <w:tc>
          <w:tcPr>
            <w:tcW w:type="dxa" w:w="2477"/>
            <w:vAlign w:val="center"/>
            <w:tcMar>
              <w:top w:w="75" w:type="dxa"/>
              <w:bottom w:w="75" w:type="dxa"/>
              <w:left w:w="85" w:type="dxa"/>
              <w:right w:w="85" w:type="dxa"/>
            </w:tcMar>
            <w:shd w:fill="FFFFFF"/>
          </w:tcPr>
          <w:p>
            <w:pPr>
              <w:keepNext/>
              <w:spacing w:after="0" w:line="252" w:lineRule="auto"/>
            </w:pPr>
            <w:r>
              <w:rPr>
                <w:sz w:val="19"/>
              </w:rPr>
              <w:t>General assistants with many connectors</w:t>
            </w:r>
          </w:p>
        </w:tc>
        <w:tc>
          <w:tcPr>
            <w:tcW w:type="dxa" w:w="2506"/>
            <w:vAlign w:val="center"/>
            <w:tcMar>
              <w:top w:w="75" w:type="dxa"/>
              <w:bottom w:w="75" w:type="dxa"/>
              <w:left w:w="85" w:type="dxa"/>
              <w:right w:w="85" w:type="dxa"/>
            </w:tcMar>
            <w:shd w:fill="FFFFFF"/>
          </w:tcPr>
          <w:p>
            <w:pPr>
              <w:keepNext/>
              <w:spacing w:after="0" w:line="252" w:lineRule="auto"/>
            </w:pPr>
            <w:r>
              <w:rPr>
                <w:sz w:val="19"/>
              </w:rPr>
              <w:t>Workflow policy still needs explicit design</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LangGraph</w:t>
            </w:r>
          </w:p>
        </w:tc>
        <w:tc>
          <w:tcPr>
            <w:tcW w:type="dxa" w:w="2347"/>
            <w:vAlign w:val="center"/>
            <w:tcMar>
              <w:top w:w="75" w:type="dxa"/>
              <w:bottom w:w="75" w:type="dxa"/>
              <w:left w:w="85" w:type="dxa"/>
              <w:right w:w="85" w:type="dxa"/>
            </w:tcMar>
            <w:shd w:fill="F3F4F5"/>
          </w:tcPr>
          <w:p>
            <w:pPr>
              <w:spacing w:after="0" w:line="252" w:lineRule="auto"/>
            </w:pPr>
            <w:r>
              <w:rPr>
                <w:sz w:val="19"/>
              </w:rPr>
              <w:t>Stateful graph orchestration</w:t>
            </w:r>
          </w:p>
        </w:tc>
        <w:tc>
          <w:tcPr>
            <w:tcW w:type="dxa" w:w="2477"/>
            <w:vAlign w:val="center"/>
            <w:tcMar>
              <w:top w:w="75" w:type="dxa"/>
              <w:bottom w:w="75" w:type="dxa"/>
              <w:left w:w="85" w:type="dxa"/>
              <w:right w:w="85" w:type="dxa"/>
            </w:tcMar>
            <w:shd w:fill="F3F4F5"/>
          </w:tcPr>
          <w:p>
            <w:pPr>
              <w:spacing w:after="0" w:line="252" w:lineRule="auto"/>
            </w:pPr>
            <w:r>
              <w:rPr>
                <w:sz w:val="19"/>
              </w:rPr>
              <w:t>Investigations, approvals, and long-running tasks</w:t>
            </w:r>
          </w:p>
        </w:tc>
        <w:tc>
          <w:tcPr>
            <w:tcW w:type="dxa" w:w="2506"/>
            <w:vAlign w:val="center"/>
            <w:tcMar>
              <w:top w:w="75" w:type="dxa"/>
              <w:bottom w:w="75" w:type="dxa"/>
              <w:left w:w="85" w:type="dxa"/>
              <w:right w:w="85" w:type="dxa"/>
            </w:tcMar>
            <w:shd w:fill="F3F4F5"/>
          </w:tcPr>
          <w:p>
            <w:pPr>
              <w:spacing w:after="0" w:line="252" w:lineRule="auto"/>
            </w:pPr>
            <w:r>
              <w:rPr>
                <w:sz w:val="19"/>
              </w:rPr>
              <w:t>Persistence and side effects need careful implementation</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LlamaIndex</w:t>
            </w:r>
          </w:p>
        </w:tc>
        <w:tc>
          <w:tcPr>
            <w:tcW w:type="dxa" w:w="2347"/>
            <w:vAlign w:val="center"/>
            <w:tcMar>
              <w:top w:w="75" w:type="dxa"/>
              <w:bottom w:w="75" w:type="dxa"/>
              <w:left w:w="85" w:type="dxa"/>
              <w:right w:w="85" w:type="dxa"/>
            </w:tcMar>
            <w:shd w:fill="FFFFFF"/>
          </w:tcPr>
          <w:p>
            <w:pPr>
              <w:spacing w:after="0" w:line="252" w:lineRule="auto"/>
            </w:pPr>
            <w:r>
              <w:rPr>
                <w:sz w:val="19"/>
              </w:rPr>
              <w:t>Data ingestion, indexing, retrieval, and workflows</w:t>
            </w:r>
          </w:p>
        </w:tc>
        <w:tc>
          <w:tcPr>
            <w:tcW w:type="dxa" w:w="2477"/>
            <w:vAlign w:val="center"/>
            <w:tcMar>
              <w:top w:w="75" w:type="dxa"/>
              <w:bottom w:w="75" w:type="dxa"/>
              <w:left w:w="85" w:type="dxa"/>
              <w:right w:w="85" w:type="dxa"/>
            </w:tcMar>
            <w:shd w:fill="FFFFFF"/>
          </w:tcPr>
          <w:p>
            <w:pPr>
              <w:spacing w:after="0" w:line="252" w:lineRule="auto"/>
            </w:pPr>
            <w:r>
              <w:rPr>
                <w:sz w:val="19"/>
              </w:rPr>
              <w:t>Document-heavy knowledge assistants</w:t>
            </w:r>
          </w:p>
        </w:tc>
        <w:tc>
          <w:tcPr>
            <w:tcW w:type="dxa" w:w="2506"/>
            <w:vAlign w:val="center"/>
            <w:tcMar>
              <w:top w:w="75" w:type="dxa"/>
              <w:bottom w:w="75" w:type="dxa"/>
              <w:left w:w="85" w:type="dxa"/>
              <w:right w:w="85" w:type="dxa"/>
            </w:tcMar>
            <w:shd w:fill="FFFFFF"/>
          </w:tcPr>
          <w:p>
            <w:pPr>
              <w:spacing w:after="0" w:line="252" w:lineRule="auto"/>
            </w:pPr>
            <w:r>
              <w:rPr>
                <w:sz w:val="19"/>
              </w:rPr>
              <w:t>Distinguish local components from hosted services</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Haystack</w:t>
            </w:r>
          </w:p>
        </w:tc>
        <w:tc>
          <w:tcPr>
            <w:tcW w:type="dxa" w:w="2347"/>
            <w:vAlign w:val="center"/>
            <w:tcMar>
              <w:top w:w="75" w:type="dxa"/>
              <w:bottom w:w="75" w:type="dxa"/>
              <w:left w:w="85" w:type="dxa"/>
              <w:right w:w="85" w:type="dxa"/>
            </w:tcMar>
            <w:shd w:fill="F3F4F5"/>
          </w:tcPr>
          <w:p>
            <w:pPr>
              <w:spacing w:after="0" w:line="252" w:lineRule="auto"/>
            </w:pPr>
            <w:r>
              <w:rPr>
                <w:sz w:val="19"/>
              </w:rPr>
              <w:t>Reusable components and explicit pipelines</w:t>
            </w:r>
          </w:p>
        </w:tc>
        <w:tc>
          <w:tcPr>
            <w:tcW w:type="dxa" w:w="2477"/>
            <w:vAlign w:val="center"/>
            <w:tcMar>
              <w:top w:w="75" w:type="dxa"/>
              <w:bottom w:w="75" w:type="dxa"/>
              <w:left w:w="85" w:type="dxa"/>
              <w:right w:w="85" w:type="dxa"/>
            </w:tcMar>
            <w:shd w:fill="F3F4F5"/>
          </w:tcPr>
          <w:p>
            <w:pPr>
              <w:spacing w:after="0" w:line="252" w:lineRule="auto"/>
            </w:pPr>
            <w:r>
              <w:rPr>
                <w:sz w:val="19"/>
              </w:rPr>
              <w:t>Search and RAG applications with controlled processing</w:t>
            </w:r>
          </w:p>
        </w:tc>
        <w:tc>
          <w:tcPr>
            <w:tcW w:type="dxa" w:w="2506"/>
            <w:vAlign w:val="center"/>
            <w:tcMar>
              <w:top w:w="75" w:type="dxa"/>
              <w:bottom w:w="75" w:type="dxa"/>
              <w:left w:w="85" w:type="dxa"/>
              <w:right w:w="85" w:type="dxa"/>
            </w:tcMar>
            <w:shd w:fill="F3F4F5"/>
          </w:tcPr>
          <w:p>
            <w:pPr>
              <w:spacing w:after="0" w:line="252" w:lineRule="auto"/>
            </w:pPr>
            <w:r>
              <w:rPr>
                <w:sz w:val="19"/>
              </w:rPr>
              <w:t>Pipeline quality depends on retrieval and evaluation</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Microsoft Agent Framework</w:t>
            </w:r>
          </w:p>
        </w:tc>
        <w:tc>
          <w:tcPr>
            <w:tcW w:type="dxa" w:w="2347"/>
            <w:vAlign w:val="center"/>
            <w:tcMar>
              <w:top w:w="75" w:type="dxa"/>
              <w:bottom w:w="75" w:type="dxa"/>
              <w:left w:w="85" w:type="dxa"/>
              <w:right w:w="85" w:type="dxa"/>
            </w:tcMar>
            <w:shd w:fill="FFFFFF"/>
          </w:tcPr>
          <w:p>
            <w:pPr>
              <w:spacing w:after="0" w:line="252" w:lineRule="auto"/>
            </w:pPr>
            <w:r>
              <w:rPr>
                <w:sz w:val="19"/>
              </w:rPr>
              <w:t>Agent abstractions and enterprise workflows</w:t>
            </w:r>
          </w:p>
        </w:tc>
        <w:tc>
          <w:tcPr>
            <w:tcW w:type="dxa" w:w="2477"/>
            <w:vAlign w:val="center"/>
            <w:tcMar>
              <w:top w:w="75" w:type="dxa"/>
              <w:bottom w:w="75" w:type="dxa"/>
              <w:left w:w="85" w:type="dxa"/>
              <w:right w:w="85" w:type="dxa"/>
            </w:tcMar>
            <w:shd w:fill="FFFFFF"/>
          </w:tcPr>
          <w:p>
            <w:pPr>
              <w:spacing w:after="0" w:line="252" w:lineRule="auto"/>
            </w:pPr>
            <w:r>
              <w:rPr>
                <w:sz w:val="19"/>
              </w:rPr>
              <w:t>Python or .NET enterprise integration</w:t>
            </w:r>
          </w:p>
        </w:tc>
        <w:tc>
          <w:tcPr>
            <w:tcW w:type="dxa" w:w="2506"/>
            <w:vAlign w:val="center"/>
            <w:tcMar>
              <w:top w:w="75" w:type="dxa"/>
              <w:bottom w:w="75" w:type="dxa"/>
              <w:left w:w="85" w:type="dxa"/>
              <w:right w:w="85" w:type="dxa"/>
            </w:tcMar>
            <w:shd w:fill="FFFFFF"/>
          </w:tcPr>
          <w:p>
            <w:pPr>
              <w:spacing w:after="0" w:line="252" w:lineRule="auto"/>
            </w:pPr>
            <w:r>
              <w:rPr>
                <w:sz w:val="19"/>
              </w:rPr>
              <w:t>Evaluate the successor framework rather than assuming older APIs</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CrewAI</w:t>
            </w:r>
          </w:p>
        </w:tc>
        <w:tc>
          <w:tcPr>
            <w:tcW w:type="dxa" w:w="2347"/>
            <w:vAlign w:val="center"/>
            <w:tcMar>
              <w:top w:w="75" w:type="dxa"/>
              <w:bottom w:w="75" w:type="dxa"/>
              <w:left w:w="85" w:type="dxa"/>
              <w:right w:w="85" w:type="dxa"/>
            </w:tcMar>
            <w:shd w:fill="F3F4F5"/>
          </w:tcPr>
          <w:p>
            <w:pPr>
              <w:spacing w:after="0" w:line="252" w:lineRule="auto"/>
            </w:pPr>
            <w:r>
              <w:rPr>
                <w:sz w:val="19"/>
              </w:rPr>
              <w:t>Collaborative agent roles and event-driven Flows</w:t>
            </w:r>
          </w:p>
        </w:tc>
        <w:tc>
          <w:tcPr>
            <w:tcW w:type="dxa" w:w="2477"/>
            <w:vAlign w:val="center"/>
            <w:tcMar>
              <w:top w:w="75" w:type="dxa"/>
              <w:bottom w:w="75" w:type="dxa"/>
              <w:left w:w="85" w:type="dxa"/>
              <w:right w:w="85" w:type="dxa"/>
            </w:tcMar>
            <w:shd w:fill="F3F4F5"/>
          </w:tcPr>
          <w:p>
            <w:pPr>
              <w:spacing w:after="0" w:line="252" w:lineRule="auto"/>
            </w:pPr>
            <w:r>
              <w:rPr>
                <w:sz w:val="19"/>
              </w:rPr>
              <w:t>Departmental task decomposition</w:t>
            </w:r>
          </w:p>
        </w:tc>
        <w:tc>
          <w:tcPr>
            <w:tcW w:type="dxa" w:w="2506"/>
            <w:vAlign w:val="center"/>
            <w:tcMar>
              <w:top w:w="75" w:type="dxa"/>
              <w:bottom w:w="75" w:type="dxa"/>
              <w:left w:w="85" w:type="dxa"/>
              <w:right w:w="85" w:type="dxa"/>
            </w:tcMar>
            <w:shd w:fill="F3F4F5"/>
          </w:tcPr>
          <w:p>
            <w:pPr>
              <w:spacing w:after="0" w:line="252" w:lineRule="auto"/>
            </w:pPr>
            <w:r>
              <w:rPr>
                <w:sz w:val="19"/>
              </w:rPr>
              <w:t>Roles do not replace contracts or verification</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Pydantic AI</w:t>
            </w:r>
          </w:p>
        </w:tc>
        <w:tc>
          <w:tcPr>
            <w:tcW w:type="dxa" w:w="2347"/>
            <w:vAlign w:val="center"/>
            <w:tcMar>
              <w:top w:w="75" w:type="dxa"/>
              <w:bottom w:w="75" w:type="dxa"/>
              <w:left w:w="85" w:type="dxa"/>
              <w:right w:w="85" w:type="dxa"/>
            </w:tcMar>
            <w:shd w:fill="FFFFFF"/>
          </w:tcPr>
          <w:p>
            <w:pPr>
              <w:spacing w:after="0" w:line="252" w:lineRule="auto"/>
            </w:pPr>
            <w:r>
              <w:rPr>
                <w:sz w:val="19"/>
              </w:rPr>
              <w:t>Typed tools, outputs, and dependencies</w:t>
            </w:r>
          </w:p>
        </w:tc>
        <w:tc>
          <w:tcPr>
            <w:tcW w:type="dxa" w:w="2477"/>
            <w:vAlign w:val="center"/>
            <w:tcMar>
              <w:top w:w="75" w:type="dxa"/>
              <w:bottom w:w="75" w:type="dxa"/>
              <w:left w:w="85" w:type="dxa"/>
              <w:right w:w="85" w:type="dxa"/>
            </w:tcMar>
            <w:shd w:fill="FFFFFF"/>
          </w:tcPr>
          <w:p>
            <w:pPr>
              <w:spacing w:after="0" w:line="252" w:lineRule="auto"/>
            </w:pPr>
            <w:r>
              <w:rPr>
                <w:sz w:val="19"/>
              </w:rPr>
              <w:t>Python services needing explicit data contracts</w:t>
            </w:r>
          </w:p>
        </w:tc>
        <w:tc>
          <w:tcPr>
            <w:tcW w:type="dxa" w:w="2506"/>
            <w:vAlign w:val="center"/>
            <w:tcMar>
              <w:top w:w="75" w:type="dxa"/>
              <w:bottom w:w="75" w:type="dxa"/>
              <w:left w:w="85" w:type="dxa"/>
              <w:right w:w="85" w:type="dxa"/>
            </w:tcMar>
            <w:shd w:fill="FFFFFF"/>
          </w:tcPr>
          <w:p>
            <w:pPr>
              <w:spacing w:after="0" w:line="252" w:lineRule="auto"/>
            </w:pPr>
            <w:r>
              <w:rPr>
                <w:sz w:val="19"/>
              </w:rPr>
              <w:t>Type correctness does not establish factual correctness</w:t>
            </w:r>
          </w:p>
        </w:tc>
      </w:tr>
    </w:tbl>
    <w:p>
      <w:pPr>
        <w:spacing w:after="20"/>
      </w:pPr>
    </w:p>
    <w:p>
      <w:r>
        <w:t>LlamaIndex emphasizes data ingestion, indexing, retrieval, and event-driven workflows. Haystack organizes applications through reusable components, pipelines, document stores, agents, and tools. Both provide relevant foundations for maintenance-document assistance. Their comparative value should be measured with the same document collection and evaluation questions, because integration coverage alone does not establish retrieval accuracy</w:t>
      </w:r>
      <w:r>
        <w:t xml:space="preserve"> [</w:t>
      </w:r>
      <w:hyperlink w:anchor="reference_15">
        <w:r>
          <w:rPr>
            <w:color w:val="000000"/>
          </w:rPr>
          <w:t>15</w:t>
        </w:r>
      </w:hyperlink>
      <w:r>
        <w:t xml:space="preserve">, </w:t>
      </w:r>
      <w:hyperlink w:anchor="reference_45">
        <w:r>
          <w:rPr>
            <w:color w:val="000000"/>
          </w:rPr>
          <w:t>45</w:t>
        </w:r>
      </w:hyperlink>
      <w:r>
        <w:t>].</w:t>
      </w:r>
      <w:r/>
    </w:p>
    <w:p>
      <w:r>
        <w:t>Microsoft’s current documentation identifies Microsoft Agent Framework as the successor to AutoGen and Semantic Kernel, combining agent abstractions with enterprise features and explicit workflows. Earlier publications and tutorials remain useful for understanding the development of these approaches. Deployment decisions should nevertheless refer to the supported release under consideration and verify its compatibility and support conditions</w:t>
      </w:r>
      <w:r>
        <w:t xml:space="preserve"> [</w:t>
      </w:r>
      <w:hyperlink w:anchor="reference_46">
        <w:r>
          <w:rPr>
            <w:color w:val="000000"/>
          </w:rPr>
          <w:t>46</w:t>
        </w:r>
      </w:hyperlink>
      <w:r>
        <w:t>].</w:t>
      </w:r>
      <w:r/>
    </w:p>
    <w:p>
      <w:r>
        <w:t>CrewAI distinguishes collaborative Crews from Flows used to manage structured execution and state. Pydantic AI emphasizes typed dependencies, function tools, and structured outputs, with documented support options for durable execution. These frameworks express different development priorities. A small service with explicit data contracts may suit a bounded task, while a complex investigation may benefit from a graph or a coordinated workflow. Table 5 summarizes these architectural emphases</w:t>
      </w:r>
      <w:r>
        <w:t xml:space="preserve"> [</w:t>
      </w:r>
      <w:hyperlink w:anchor="reference_12">
        <w:r>
          <w:rPr>
            <w:color w:val="000000"/>
          </w:rPr>
          <w:t>12</w:t>
        </w:r>
      </w:hyperlink>
      <w:r>
        <w:t xml:space="preserve">, </w:t>
      </w:r>
      <w:hyperlink w:anchor="reference_53">
        <w:r>
          <w:rPr>
            <w:color w:val="000000"/>
          </w:rPr>
          <w:t>53</w:t>
        </w:r>
      </w:hyperlink>
      <w:r>
        <w:t>].</w:t>
      </w:r>
      <w:r/>
    </w:p>
    <w:p>
      <w:r>
        <w:t>Framework evaluation should include a representative task under normal execution and under interruption, tool failure, approval delay, and unauthorized access. Relevant criteria include trace readability, recovery behavior, development effort, local deployability, dependency burden, and testability. Hosted observability, storage, or management features should be distinguished from the open-source orchestration code, particularly when offline operation is required.</w:t>
      </w:r>
    </w:p>
    <w:p>
      <w:pPr>
        <w:pStyle w:val="Heading2"/>
        <w:numPr>
          <w:ilvl w:val="1"/>
          <w:numId w:val="70"/>
        </w:numPr>
      </w:pPr>
      <w:r>
        <w:t>Agent Communication Protocols and Industrial Interfaces</w:t>
      </w:r>
    </w:p>
    <w:p>
      <w:r>
        <w:t>The Model Context Protocol (MCP) standardizes communication between model applications and external capabilities. The specification reviewed here, dated 28 July 2026, describes tools, resources, prompts, and support for long-running tasks. A factory MCP server could expose approved manual search, a read-only production query, or a simulation service. The protocol provides an interface; authorization, tool validation, and the interpretation of industrial data remain separate design requirements</w:t>
      </w:r>
      <w:r>
        <w:t xml:space="preserve"> [</w:t>
      </w:r>
      <w:hyperlink w:anchor="reference_47">
        <w:r>
          <w:rPr>
            <w:color w:val="000000"/>
          </w:rPr>
          <w:t>47</w:t>
        </w:r>
      </w:hyperlink>
      <w:r>
        <w:t>].</w:t>
      </w:r>
      <w:r/>
    </w:p>
    <w:p>
      <w:r>
        <w:t>The Agent2Agent Protocol (A2A) addresses communication between independently implemented agent applications. Its documentation distinguishes this role from MCP’s integration of tools and context. For example, a production assistant could delegate an analytical task to a separately operated maintenance agent and receive its result and completion status. A2A is relevant to that application boundary, whereas components within one application may communicate through ordinary internal interfaces</w:t>
      </w:r>
      <w:r>
        <w:t xml:space="preserve"> [</w:t>
      </w:r>
      <w:hyperlink w:anchor="reference_1">
        <w:r>
          <w:rPr>
            <w:color w:val="000000"/>
          </w:rPr>
          <w:t>1</w:t>
        </w:r>
      </w:hyperlink>
      <w:r>
        <w:t>].</w:t>
      </w:r>
      <w:r/>
    </w:p>
    <w:p>
      <w:r>
        <w:t>The abbreviation ACP refers to two distinct protocols. Agent Communication Protocol originated in the BeeAI ecosystem, whose maintainers announced its merger with A2A on 25 August 2025. New inter-agent designs should therefore consider A2A and the documented migration path. Agent Client Protocol is a separate interface between coding agents and editors or integrated development environments (IDEs). Its principal relevance is to engineering software development rather than direct equipment integration. Table 6 distinguishes these protocols and the boundaries they address</w:t>
      </w:r>
      <w:r>
        <w:t xml:space="preserve"> [</w:t>
      </w:r>
      <w:hyperlink w:anchor="reference_3">
        <w:r>
          <w:rPr>
            <w:color w:val="000000"/>
          </w:rPr>
          <w:t>3</w:t>
        </w:r>
      </w:hyperlink>
      <w:r>
        <w:t xml:space="preserve">, </w:t>
      </w:r>
      <w:hyperlink w:anchor="reference_8">
        <w:r>
          <w:rPr>
            <w:color w:val="000000"/>
          </w:rPr>
          <w:t>8</w:t>
        </w:r>
      </w:hyperlink>
      <w:r>
        <w:t>].</w:t>
      </w:r>
      <w:r/>
    </w:p>
    <w:p>
      <w:pPr>
        <w:pStyle w:val="Caption"/>
      </w:pPr>
      <w:r>
        <w:t>Table 6 Communication Protocols and Their Integration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2347"/>
        <w:gridCol w:w="2477"/>
        <w:gridCol w:w="2506"/>
      </w:tblGrid>
      <w:tr>
        <w:trPr>
          <w:cantSplit/>
          <w:tblHeader/>
        </w:trPr>
        <w:tc>
          <w:tcPr>
            <w:tcW w:type="dxa" w:w="1987"/>
            <w:vAlign w:val="center"/>
            <w:tcMar>
              <w:top w:w="75" w:type="dxa"/>
              <w:bottom w:w="75" w:type="dxa"/>
              <w:left w:w="85" w:type="dxa"/>
              <w:right w:w="85" w:type="dxa"/>
            </w:tcMar>
            <w:shd w:fill="394047"/>
          </w:tcPr>
          <w:p>
            <w:pPr>
              <w:keepNext/>
              <w:spacing w:after="0" w:line="252" w:lineRule="auto"/>
            </w:pPr>
            <w:r>
              <w:rPr>
                <w:b/>
                <w:color w:val="FFFFFF"/>
                <w:sz w:val="19"/>
              </w:rPr>
              <w:t>Name</w:t>
            </w:r>
          </w:p>
        </w:tc>
        <w:tc>
          <w:tcPr>
            <w:tcW w:type="dxa" w:w="2347"/>
            <w:vAlign w:val="center"/>
            <w:tcMar>
              <w:top w:w="75" w:type="dxa"/>
              <w:bottom w:w="75" w:type="dxa"/>
              <w:left w:w="85" w:type="dxa"/>
              <w:right w:w="85" w:type="dxa"/>
            </w:tcMar>
            <w:shd w:fill="394047"/>
          </w:tcPr>
          <w:p>
            <w:pPr>
              <w:keepNext/>
              <w:spacing w:after="0" w:line="252" w:lineRule="auto"/>
            </w:pPr>
            <w:r>
              <w:rPr>
                <w:b/>
                <w:color w:val="FFFFFF"/>
                <w:sz w:val="19"/>
              </w:rPr>
              <w:t>Main boundary</w:t>
            </w:r>
          </w:p>
        </w:tc>
        <w:tc>
          <w:tcPr>
            <w:tcW w:type="dxa" w:w="2477"/>
            <w:vAlign w:val="center"/>
            <w:tcMar>
              <w:top w:w="75" w:type="dxa"/>
              <w:bottom w:w="75" w:type="dxa"/>
              <w:left w:w="85" w:type="dxa"/>
              <w:right w:w="85" w:type="dxa"/>
            </w:tcMar>
            <w:shd w:fill="394047"/>
          </w:tcPr>
          <w:p>
            <w:pPr>
              <w:keepNext/>
              <w:spacing w:after="0" w:line="252" w:lineRule="auto"/>
            </w:pPr>
            <w:r>
              <w:rPr>
                <w:b/>
                <w:color w:val="FFFFFF"/>
                <w:sz w:val="19"/>
              </w:rPr>
              <w:t>Example</w:t>
            </w:r>
          </w:p>
        </w:tc>
        <w:tc>
          <w:tcPr>
            <w:tcW w:type="dxa" w:w="2506"/>
            <w:vAlign w:val="center"/>
            <w:tcMar>
              <w:top w:w="75" w:type="dxa"/>
              <w:bottom w:w="75" w:type="dxa"/>
              <w:left w:w="85" w:type="dxa"/>
              <w:right w:w="85" w:type="dxa"/>
            </w:tcMar>
            <w:shd w:fill="394047"/>
          </w:tcPr>
          <w:p>
            <w:pPr>
              <w:keepNext/>
              <w:spacing w:after="0" w:line="252" w:lineRule="auto"/>
            </w:pPr>
            <w:r>
              <w:rPr>
                <w:b/>
                <w:color w:val="FFFFFF"/>
                <w:sz w:val="19"/>
              </w:rPr>
              <w:t>What it does not establish</w:t>
            </w:r>
          </w:p>
        </w:tc>
      </w:tr>
      <w:tr>
        <w:trPr>
          <w:cantSplit/>
        </w:trPr>
        <w:tc>
          <w:tcPr>
            <w:tcW w:type="dxa" w:w="1987"/>
            <w:vAlign w:val="center"/>
            <w:tcMar>
              <w:top w:w="75" w:type="dxa"/>
              <w:bottom w:w="75" w:type="dxa"/>
              <w:left w:w="85" w:type="dxa"/>
              <w:right w:w="85" w:type="dxa"/>
            </w:tcMar>
            <w:shd w:fill="FFFFFF"/>
          </w:tcPr>
          <w:p>
            <w:pPr>
              <w:keepNext/>
              <w:spacing w:after="0" w:line="252" w:lineRule="auto"/>
            </w:pPr>
            <w:r>
              <w:rPr>
                <w:sz w:val="19"/>
              </w:rPr>
              <w:t>MCP</w:t>
            </w:r>
          </w:p>
        </w:tc>
        <w:tc>
          <w:tcPr>
            <w:tcW w:type="dxa" w:w="2347"/>
            <w:vAlign w:val="center"/>
            <w:tcMar>
              <w:top w:w="75" w:type="dxa"/>
              <w:bottom w:w="75" w:type="dxa"/>
              <w:left w:w="85" w:type="dxa"/>
              <w:right w:w="85" w:type="dxa"/>
            </w:tcMar>
            <w:shd w:fill="FFFFFF"/>
          </w:tcPr>
          <w:p>
            <w:pPr>
              <w:keepNext/>
              <w:spacing w:after="0" w:line="252" w:lineRule="auto"/>
            </w:pPr>
            <w:r>
              <w:rPr>
                <w:sz w:val="19"/>
              </w:rPr>
              <w:t>Agent application to tools and context</w:t>
            </w:r>
          </w:p>
        </w:tc>
        <w:tc>
          <w:tcPr>
            <w:tcW w:type="dxa" w:w="2477"/>
            <w:vAlign w:val="center"/>
            <w:tcMar>
              <w:top w:w="75" w:type="dxa"/>
              <w:bottom w:w="75" w:type="dxa"/>
              <w:left w:w="85" w:type="dxa"/>
              <w:right w:w="85" w:type="dxa"/>
            </w:tcMar>
            <w:shd w:fill="FFFFFF"/>
          </w:tcPr>
          <w:p>
            <w:pPr>
              <w:keepNext/>
              <w:spacing w:after="0" w:line="252" w:lineRule="auto"/>
            </w:pPr>
            <w:r>
              <w:rPr>
                <w:sz w:val="19"/>
              </w:rPr>
              <w:t>Search approved manuals through a common interface</w:t>
            </w:r>
          </w:p>
        </w:tc>
        <w:tc>
          <w:tcPr>
            <w:tcW w:type="dxa" w:w="2506"/>
            <w:vAlign w:val="center"/>
            <w:tcMar>
              <w:top w:w="75" w:type="dxa"/>
              <w:bottom w:w="75" w:type="dxa"/>
              <w:left w:w="85" w:type="dxa"/>
              <w:right w:w="85" w:type="dxa"/>
            </w:tcMar>
            <w:shd w:fill="FFFFFF"/>
          </w:tcPr>
          <w:p>
            <w:pPr>
              <w:keepNext/>
              <w:spacing w:after="0" w:line="252" w:lineRule="auto"/>
            </w:pPr>
            <w:r>
              <w:rPr>
                <w:sz w:val="19"/>
              </w:rPr>
              <w:t>Manufacturing semantics or machine-action permission</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A2A</w:t>
            </w:r>
          </w:p>
        </w:tc>
        <w:tc>
          <w:tcPr>
            <w:tcW w:type="dxa" w:w="2347"/>
            <w:vAlign w:val="center"/>
            <w:tcMar>
              <w:top w:w="75" w:type="dxa"/>
              <w:bottom w:w="75" w:type="dxa"/>
              <w:left w:w="85" w:type="dxa"/>
              <w:right w:w="85" w:type="dxa"/>
            </w:tcMar>
            <w:shd w:fill="F3F4F5"/>
          </w:tcPr>
          <w:p>
            <w:pPr>
              <w:spacing w:after="0" w:line="252" w:lineRule="auto"/>
            </w:pPr>
            <w:r>
              <w:rPr>
                <w:sz w:val="19"/>
              </w:rPr>
              <w:t>Independent agent application to agent application</w:t>
            </w:r>
          </w:p>
        </w:tc>
        <w:tc>
          <w:tcPr>
            <w:tcW w:type="dxa" w:w="2477"/>
            <w:vAlign w:val="center"/>
            <w:tcMar>
              <w:top w:w="75" w:type="dxa"/>
              <w:bottom w:w="75" w:type="dxa"/>
              <w:left w:w="85" w:type="dxa"/>
              <w:right w:w="85" w:type="dxa"/>
            </w:tcMar>
            <w:shd w:fill="F3F4F5"/>
          </w:tcPr>
          <w:p>
            <w:pPr>
              <w:spacing w:after="0" w:line="252" w:lineRule="auto"/>
            </w:pPr>
            <w:r>
              <w:rPr>
                <w:sz w:val="19"/>
              </w:rPr>
              <w:t>Delegate a maintenance investigation</w:t>
            </w:r>
          </w:p>
        </w:tc>
        <w:tc>
          <w:tcPr>
            <w:tcW w:type="dxa" w:w="2506"/>
            <w:vAlign w:val="center"/>
            <w:tcMar>
              <w:top w:w="75" w:type="dxa"/>
              <w:bottom w:w="75" w:type="dxa"/>
              <w:left w:w="85" w:type="dxa"/>
              <w:right w:w="85" w:type="dxa"/>
            </w:tcMar>
            <w:shd w:fill="F3F4F5"/>
          </w:tcPr>
          <w:p>
            <w:pPr>
              <w:spacing w:after="0" w:line="252" w:lineRule="auto"/>
            </w:pPr>
            <w:r>
              <w:rPr>
                <w:sz w:val="19"/>
              </w:rPr>
              <w:t>Internal workflow correctness or physical safety</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ACP Agent Communication Protocol</w:t>
            </w:r>
          </w:p>
        </w:tc>
        <w:tc>
          <w:tcPr>
            <w:tcW w:type="dxa" w:w="2347"/>
            <w:vAlign w:val="center"/>
            <w:tcMar>
              <w:top w:w="75" w:type="dxa"/>
              <w:bottom w:w="75" w:type="dxa"/>
              <w:left w:w="85" w:type="dxa"/>
              <w:right w:w="85" w:type="dxa"/>
            </w:tcMar>
            <w:shd w:fill="FFFFFF"/>
          </w:tcPr>
          <w:p>
            <w:pPr>
              <w:spacing w:after="0" w:line="252" w:lineRule="auto"/>
            </w:pPr>
            <w:r>
              <w:rPr>
                <w:sz w:val="19"/>
              </w:rPr>
              <w:t>Historical inter-agent protocol converging into A2A</w:t>
            </w:r>
          </w:p>
        </w:tc>
        <w:tc>
          <w:tcPr>
            <w:tcW w:type="dxa" w:w="2477"/>
            <w:vAlign w:val="center"/>
            <w:tcMar>
              <w:top w:w="75" w:type="dxa"/>
              <w:bottom w:w="75" w:type="dxa"/>
              <w:left w:w="85" w:type="dxa"/>
              <w:right w:w="85" w:type="dxa"/>
            </w:tcMar>
            <w:shd w:fill="FFFFFF"/>
          </w:tcPr>
          <w:p>
            <w:pPr>
              <w:spacing w:after="0" w:line="252" w:lineRule="auto"/>
            </w:pPr>
            <w:r>
              <w:rPr>
                <w:sz w:val="19"/>
              </w:rPr>
              <w:t>Migrate a BeeAI agent integration</w:t>
            </w:r>
          </w:p>
        </w:tc>
        <w:tc>
          <w:tcPr>
            <w:tcW w:type="dxa" w:w="2506"/>
            <w:vAlign w:val="center"/>
            <w:tcMar>
              <w:top w:w="75" w:type="dxa"/>
              <w:bottom w:w="75" w:type="dxa"/>
              <w:left w:w="85" w:type="dxa"/>
              <w:right w:w="85" w:type="dxa"/>
            </w:tcMar>
            <w:shd w:fill="FFFFFF"/>
          </w:tcPr>
          <w:p>
            <w:pPr>
              <w:spacing w:after="0" w:line="252" w:lineRule="auto"/>
            </w:pPr>
            <w:r>
              <w:rPr>
                <w:sz w:val="19"/>
              </w:rPr>
              <w:t>A separate current default for every new integration</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ACP Agent Client Protocol</w:t>
            </w:r>
          </w:p>
        </w:tc>
        <w:tc>
          <w:tcPr>
            <w:tcW w:type="dxa" w:w="2347"/>
            <w:vAlign w:val="center"/>
            <w:tcMar>
              <w:top w:w="75" w:type="dxa"/>
              <w:bottom w:w="75" w:type="dxa"/>
              <w:left w:w="85" w:type="dxa"/>
              <w:right w:w="85" w:type="dxa"/>
            </w:tcMar>
            <w:shd w:fill="F3F4F5"/>
          </w:tcPr>
          <w:p>
            <w:pPr>
              <w:spacing w:after="0" w:line="252" w:lineRule="auto"/>
            </w:pPr>
            <w:r>
              <w:rPr>
                <w:sz w:val="19"/>
              </w:rPr>
              <w:t>Coding agent to editor or IDE</w:t>
            </w:r>
          </w:p>
        </w:tc>
        <w:tc>
          <w:tcPr>
            <w:tcW w:type="dxa" w:w="2477"/>
            <w:vAlign w:val="center"/>
            <w:tcMar>
              <w:top w:w="75" w:type="dxa"/>
              <w:bottom w:w="75" w:type="dxa"/>
              <w:left w:w="85" w:type="dxa"/>
              <w:right w:w="85" w:type="dxa"/>
            </w:tcMar>
            <w:shd w:fill="F3F4F5"/>
          </w:tcPr>
          <w:p>
            <w:pPr>
              <w:spacing w:after="0" w:line="252" w:lineRule="auto"/>
            </w:pPr>
            <w:r>
              <w:rPr>
                <w:sz w:val="19"/>
              </w:rPr>
              <w:t>Review an adapter code change in an editor</w:t>
            </w:r>
          </w:p>
        </w:tc>
        <w:tc>
          <w:tcPr>
            <w:tcW w:type="dxa" w:w="2506"/>
            <w:vAlign w:val="center"/>
            <w:tcMar>
              <w:top w:w="75" w:type="dxa"/>
              <w:bottom w:w="75" w:type="dxa"/>
              <w:left w:w="85" w:type="dxa"/>
              <w:right w:w="85" w:type="dxa"/>
            </w:tcMar>
            <w:shd w:fill="F3F4F5"/>
          </w:tcPr>
          <w:p>
            <w:pPr>
              <w:spacing w:after="0" w:line="252" w:lineRule="auto"/>
            </w:pPr>
            <w:r>
              <w:rPr>
                <w:sz w:val="19"/>
              </w:rPr>
              <w:t>CNC control or shop-floor execution</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OPC UA and companion models</w:t>
            </w:r>
          </w:p>
        </w:tc>
        <w:tc>
          <w:tcPr>
            <w:tcW w:type="dxa" w:w="2347"/>
            <w:vAlign w:val="center"/>
            <w:tcMar>
              <w:top w:w="75" w:type="dxa"/>
              <w:bottom w:w="75" w:type="dxa"/>
              <w:left w:w="85" w:type="dxa"/>
              <w:right w:w="85" w:type="dxa"/>
            </w:tcMar>
            <w:shd w:fill="FFFFFF"/>
          </w:tcPr>
          <w:p>
            <w:pPr>
              <w:spacing w:after="0" w:line="252" w:lineRule="auto"/>
            </w:pPr>
            <w:r>
              <w:rPr>
                <w:sz w:val="19"/>
              </w:rPr>
              <w:t>Industrial application to equipment information and services</w:t>
            </w:r>
          </w:p>
        </w:tc>
        <w:tc>
          <w:tcPr>
            <w:tcW w:type="dxa" w:w="2477"/>
            <w:vAlign w:val="center"/>
            <w:tcMar>
              <w:top w:w="75" w:type="dxa"/>
              <w:bottom w:w="75" w:type="dxa"/>
              <w:left w:w="85" w:type="dxa"/>
              <w:right w:w="85" w:type="dxa"/>
            </w:tcMar>
            <w:shd w:fill="FFFFFF"/>
          </w:tcPr>
          <w:p>
            <w:pPr>
              <w:spacing w:after="0" w:line="252" w:lineRule="auto"/>
            </w:pPr>
            <w:r>
              <w:rPr>
                <w:sz w:val="19"/>
              </w:rPr>
              <w:t>Read standardized machine status and job information</w:t>
            </w:r>
          </w:p>
        </w:tc>
        <w:tc>
          <w:tcPr>
            <w:tcW w:type="dxa" w:w="2506"/>
            <w:vAlign w:val="center"/>
            <w:tcMar>
              <w:top w:w="75" w:type="dxa"/>
              <w:bottom w:w="75" w:type="dxa"/>
              <w:left w:w="85" w:type="dxa"/>
              <w:right w:w="85" w:type="dxa"/>
            </w:tcMar>
            <w:shd w:fill="FFFFFF"/>
          </w:tcPr>
          <w:p>
            <w:pPr>
              <w:spacing w:after="0" w:line="252" w:lineRule="auto"/>
            </w:pPr>
            <w:r>
              <w:rPr>
                <w:sz w:val="19"/>
              </w:rPr>
              <w:t>Universal support for arbitrary machine commands</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REST or gRPC</w:t>
            </w:r>
          </w:p>
        </w:tc>
        <w:tc>
          <w:tcPr>
            <w:tcW w:type="dxa" w:w="2347"/>
            <w:vAlign w:val="center"/>
            <w:tcMar>
              <w:top w:w="75" w:type="dxa"/>
              <w:bottom w:w="75" w:type="dxa"/>
              <w:left w:w="85" w:type="dxa"/>
              <w:right w:w="85" w:type="dxa"/>
            </w:tcMar>
            <w:shd w:fill="F3F4F5"/>
          </w:tcPr>
          <w:p>
            <w:pPr>
              <w:spacing w:after="0" w:line="252" w:lineRule="auto"/>
            </w:pPr>
            <w:r>
              <w:rPr>
                <w:sz w:val="19"/>
              </w:rPr>
              <w:t>Application service interfaces</w:t>
            </w:r>
          </w:p>
        </w:tc>
        <w:tc>
          <w:tcPr>
            <w:tcW w:type="dxa" w:w="2477"/>
            <w:vAlign w:val="center"/>
            <w:tcMar>
              <w:top w:w="75" w:type="dxa"/>
              <w:bottom w:w="75" w:type="dxa"/>
              <w:left w:w="85" w:type="dxa"/>
              <w:right w:w="85" w:type="dxa"/>
            </w:tcMar>
            <w:shd w:fill="F3F4F5"/>
          </w:tcPr>
          <w:p>
            <w:pPr>
              <w:spacing w:after="0" w:line="252" w:lineRule="auto"/>
            </w:pPr>
            <w:r>
              <w:rPr>
                <w:sz w:val="19"/>
              </w:rPr>
              <w:t>Query an MES service or start a simulation job</w:t>
            </w:r>
          </w:p>
        </w:tc>
        <w:tc>
          <w:tcPr>
            <w:tcW w:type="dxa" w:w="2506"/>
            <w:vAlign w:val="center"/>
            <w:tcMar>
              <w:top w:w="75" w:type="dxa"/>
              <w:bottom w:w="75" w:type="dxa"/>
              <w:left w:w="85" w:type="dxa"/>
              <w:right w:w="85" w:type="dxa"/>
            </w:tcMar>
            <w:shd w:fill="F3F4F5"/>
          </w:tcPr>
          <w:p>
            <w:pPr>
              <w:spacing w:after="0" w:line="252" w:lineRule="auto"/>
            </w:pPr>
            <w:r>
              <w:rPr>
                <w:sz w:val="19"/>
              </w:rPr>
              <w:t>Agent behavior or domain correctness by themselves</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Messaging and event transport</w:t>
            </w:r>
          </w:p>
        </w:tc>
        <w:tc>
          <w:tcPr>
            <w:tcW w:type="dxa" w:w="2347"/>
            <w:vAlign w:val="center"/>
            <w:tcMar>
              <w:top w:w="75" w:type="dxa"/>
              <w:bottom w:w="75" w:type="dxa"/>
              <w:left w:w="85" w:type="dxa"/>
              <w:right w:w="85" w:type="dxa"/>
            </w:tcMar>
            <w:shd w:fill="FFFFFF"/>
          </w:tcPr>
          <w:p>
            <w:pPr>
              <w:spacing w:after="0" w:line="252" w:lineRule="auto"/>
            </w:pPr>
            <w:r>
              <w:rPr>
                <w:sz w:val="19"/>
              </w:rPr>
              <w:t>Asynchronous delivery of observations and events</w:t>
            </w:r>
          </w:p>
        </w:tc>
        <w:tc>
          <w:tcPr>
            <w:tcW w:type="dxa" w:w="2477"/>
            <w:vAlign w:val="center"/>
            <w:tcMar>
              <w:top w:w="75" w:type="dxa"/>
              <w:bottom w:w="75" w:type="dxa"/>
              <w:left w:w="85" w:type="dxa"/>
              <w:right w:w="85" w:type="dxa"/>
            </w:tcMar>
            <w:shd w:fill="FFFFFF"/>
          </w:tcPr>
          <w:p>
            <w:pPr>
              <w:spacing w:after="0" w:line="252" w:lineRule="auto"/>
            </w:pPr>
            <w:r>
              <w:rPr>
                <w:sz w:val="19"/>
              </w:rPr>
              <w:t>Publish a machine alarm or work-order update</w:t>
            </w:r>
          </w:p>
        </w:tc>
        <w:tc>
          <w:tcPr>
            <w:tcW w:type="dxa" w:w="2506"/>
            <w:vAlign w:val="center"/>
            <w:tcMar>
              <w:top w:w="75" w:type="dxa"/>
              <w:bottom w:w="75" w:type="dxa"/>
              <w:left w:w="85" w:type="dxa"/>
              <w:right w:w="85" w:type="dxa"/>
            </w:tcMar>
            <w:shd w:fill="FFFFFF"/>
          </w:tcPr>
          <w:p>
            <w:pPr>
              <w:spacing w:after="0" w:line="252" w:lineRule="auto"/>
            </w:pPr>
            <w:r>
              <w:rPr>
                <w:sz w:val="19"/>
              </w:rPr>
              <w:t>Exactly-once business effects or authoritative semantics</w:t>
            </w:r>
          </w:p>
        </w:tc>
      </w:tr>
    </w:tbl>
    <w:p>
      <w:pPr>
        <w:spacing w:after="20"/>
      </w:pPr>
    </w:p>
    <w:p>
      <w:r>
        <w:t>Equipment connectivity introduces requirements beyond agent communication. The OPC UA for Machine Tools companion specification organizes information for machine monitoring and job management. Individual machines may implement only some capabilities or add vendor-specific extensions, and writable operations require separate assessment. An MCP wrapper can expose an approved subset of those services to an agent while preserving the access and validation rules of the underlying industrial interface</w:t>
      </w:r>
      <w:r>
        <w:t xml:space="preserve"> [</w:t>
      </w:r>
      <w:hyperlink w:anchor="reference_51">
        <w:r>
          <w:rPr>
            <w:color w:val="000000"/>
          </w:rPr>
          <w:t>51</w:t>
        </w:r>
      </w:hyperlink>
      <w:r>
        <w:t>].</w:t>
      </w:r>
      <w:r/>
    </w:p>
    <w:p>
      <w:r>
        <w:t>Industrial data models provide meaning that transport protocols alone cannot supply. Asset Administration Shell specifications describe structures, interfaces, and semantics for digital assets, while ISA-95 provides a functional vocabulary for enterprise and manufacturing integration. These models help identify the product, resource, operation, and material associated with a task. Agent frameworks coordinate the workflow, communication protocols carry requests and observations, and industrial information models support consistent interpretation</w:t>
      </w:r>
      <w:r>
        <w:t xml:space="preserve"> [</w:t>
      </w:r>
      <w:hyperlink w:anchor="reference_34">
        <w:r>
          <w:rPr>
            <w:color w:val="000000"/>
          </w:rPr>
          <w:t>34</w:t>
        </w:r>
      </w:hyperlink>
      <w:r>
        <w:t xml:space="preserve">, </w:t>
      </w:r>
      <w:hyperlink w:anchor="reference_35">
        <w:r>
          <w:rPr>
            <w:color w:val="000000"/>
          </w:rPr>
          <w:t>35</w:t>
        </w:r>
      </w:hyperlink>
      <w:r>
        <w:t>].</w:t>
      </w:r>
      <w:r/>
    </w:p>
    <w:p>
      <w:pPr>
        <w:pStyle w:val="Heading2"/>
        <w:numPr>
          <w:ilvl w:val="1"/>
          <w:numId w:val="70"/>
        </w:numPr>
      </w:pPr>
      <w:r>
        <w:t>Knowledge Retrieval and Evidence Management</w:t>
      </w:r>
    </w:p>
    <w:p>
      <w:r>
        <w:t>A retrieval pipeline extracts document structure, divides content into retrievable units, attaches metadata, and builds an index for subsequent queries. The division into units, often called chunking, should preserve technical meaning. Procedure steps need their prerequisites and warnings, and table entries need their column headers. In a factory collection, retrieval must also account for machine model, serial applicability, document revision, language, and approval status.</w:t>
      </w:r>
    </w:p>
    <w:p>
      <w:r>
        <w:t>GraphRAG investigates the use of entity graphs and community summaries to answer questions across document collections. Its reported strengths concern broad questions, such as identifying themes across many documents. Applying this approach to manufacturing requires care because a graph extracted from text is not necessarily a causal model of equipment. Operational use should depend on relation provenance, expert review, and the period for which each relation remains applicable</w:t>
      </w:r>
      <w:r>
        <w:t xml:space="preserve"> [</w:t>
      </w:r>
      <w:hyperlink w:anchor="reference_21">
        <w:r>
          <w:rPr>
            <w:color w:val="000000"/>
          </w:rPr>
          <w:t>21</w:t>
        </w:r>
      </w:hyperlink>
      <w:r>
        <w:t>].</w:t>
      </w:r>
      <w:r/>
    </w:p>
    <w:p>
      <w:r>
        <w:t>An evidence record should preserve the source, extraction location, observation time, unit, access scope, and revision. A source snapshot records what the system consulted at a particular time; an excerpt identifies the passage or record supporting a specific claim. Together, they allow an investigation to be reviewed after a manual or database record changes. They also support correction when the original evidence is later found to be incomplete or inaccurate.</w:t>
      </w:r>
    </w:p>
    <w:p>
      <w:r>
        <w:t>Access control should be applied before retrieved information enters the model context. Filtering the final answer alone leaves protected information able to influence generation or appear in recorded traces. Authorization must therefore extend to vectors, metadata, graph neighborhoods, caches, and archived evidence. The data service should narrow query results and remove restricted fields according to the user’s task and permissions.</w:t>
      </w:r>
    </w:p>
    <w:p>
      <w:pPr>
        <w:pStyle w:val="Heading2"/>
        <w:numPr>
          <w:ilvl w:val="1"/>
          <w:numId w:val="70"/>
        </w:numPr>
      </w:pPr>
      <w:r>
        <w:t>Memory and Planning in Collaborative Agent Systems</w:t>
      </w:r>
    </w:p>
    <w:p>
      <w:r>
        <w:t>Short-term state retains the current request, observations, unresolved questions, and completed work. Long-term memory may preserve approved preferences or validated lessons across tasks. Authoritative maintenance and production knowledge should remain in governed records with ownership and revision history. Since equipment configurations and procedures change, durable memory also needs correction and expiry mechanisms. Saving an answer does not change the evidential status of its claims.</w:t>
      </w:r>
    </w:p>
    <w:p>
      <w:r>
        <w:t>Planning can follow fixed templates, model-generated candidate steps, or a combination of both. Repeated and tightly controlled work often benefits from a predefined sequence. Diagnosis may require adaptive planning because each observation changes which check is useful next. In either case, proposed steps must correspond to permitted tools and bounded purposes. A plan that assumes a sensor the machine does not possess should be rejected before execution.</w:t>
      </w:r>
    </w:p>
    <w:p>
      <w:r>
        <w:t>Specialized agents can divide maintenance, quality, production, and engineering tasks, but coordination introduces additional failure modes. Cemri and colleagues identify problems in system design, inter-agent alignment, and verification across the systems they studied. These findings support evaluating multi-agent arrangements against a well-designed single orchestrator. Benefits from specialization need to outweigh contradictory assumptions, duplicated work, and error propagation</w:t>
      </w:r>
      <w:r>
        <w:t xml:space="preserve"> [</w:t>
      </w:r>
      <w:hyperlink w:anchor="reference_10">
        <w:r>
          <w:rPr>
            <w:color w:val="000000"/>
          </w:rPr>
          <w:t>10</w:t>
        </w:r>
      </w:hyperlink>
      <w:r>
        <w:t>].</w:t>
      </w:r>
      <w:r/>
    </w:p>
    <w:p>
      <w:r>
        <w:t>Each specialist should receive a task contract defining permitted inputs, tool access, expected outputs, evidence requirements, deadlines, and stopping conditions. The orchestrator then resolves disagreements against authoritative records and operational rules. For example, a production proposal to use a lot cannot override an active quality hold. Reconciliation must preserve the authority of the source record rather than depend on a majority vote among models.</w:t>
      </w:r>
    </w:p>
    <w:p>
      <w:pPr>
        <w:pStyle w:val="Heading2"/>
        <w:numPr>
          <w:ilvl w:val="1"/>
          <w:numId w:val="70"/>
        </w:numPr>
      </w:pPr>
      <w:r>
        <w:t>Reliable Tool Use and System Evaluation</w:t>
      </w:r>
    </w:p>
    <w:p>
      <w:r>
        <w:t>Tool interfaces should distinguish reading, proposing, simulating, approving, and executing. These categories make permissions and expected effects easier to assess. Read operations should have no undocumented write effects, and simulations should preserve their assumptions without altering the released schedule. Execution interfaces need to return the authoritative outcome and support detection of duplicate requests.</w:t>
      </w:r>
    </w:p>
    <w:p>
      <w:r>
        <w:t>Recovery behavior depends on whether an operation can change external state. Repeating a document search differs from repeating a command that may already have reached a controller. State-changing operations require an operation identifier, idempotency where supported, and reconciliation with the target system. When delivery is uncertain, the appropriate next step is to establish execution status before attempting another change. A local workflow checkpoint cannot settle that external ambiguity on its own.</w:t>
      </w:r>
    </w:p>
    <w:p>
      <w:r>
        <w:t>Observability links an answer to the process that produced it. A useful record includes model and prompt revisions, selected evidence, tool requests and results, validation outcomes, state transitions, user decisions, timing, and final status. For an operator, the explanation should show what was checked, what the observations support, and which alternatives remain unresolved. Such an investigation record provides reviewable evidence; generated internal reasoning text should not be treated as proof of causality.</w:t>
      </w:r>
    </w:p>
    <w:p>
      <w:r>
        <w:t>RAGAS proposes automated evaluation of retrieval and grounded generation. Tau-bench evaluates interactions among tools, agents, and users, including reliability across repeated trials and correctness of the resulting state. These approaches motivate complementary assessments for factory agents: whether an answer follows its evidence and whether a workflow reaches the correct authorized outcome. Their reported benchmark results are not directly transferable to CNC tasks with different data and operating conditions</w:t>
      </w:r>
      <w:r>
        <w:t xml:space="preserve"> [</w:t>
      </w:r>
      <w:hyperlink w:anchor="reference_22">
        <w:r>
          <w:rPr>
            <w:color w:val="000000"/>
          </w:rPr>
          <w:t>22</w:t>
        </w:r>
      </w:hyperlink>
      <w:r>
        <w:t xml:space="preserve">, </w:t>
      </w:r>
      <w:hyperlink w:anchor="reference_67">
        <w:r>
          <w:rPr>
            <w:color w:val="000000"/>
          </w:rPr>
          <w:t>67</w:t>
        </w:r>
      </w:hyperlink>
      <w:r>
        <w:t>].</w:t>
      </w:r>
      <w:r/>
    </w:p>
    <w:p>
      <w:r>
        <w:t>A credible evaluation should include unavailable tools, interrupted jobs, stale approvals, conflicting records, prompt injection, malformed outputs, ambiguous identifiers, language changes, and requests beyond the agent’s authority. Correct abstention or escalation is a successful outcome when evidence or permission is insufficient. Reliability therefore depends partly on recognizing the conditions under which a requested task cannot yet be completed.</w:t>
      </w:r>
    </w:p>
    <w:p>
      <w:bookmarkStart w:id="4" w:name="section_4"/>
      <w:pPr>
        <w:pStyle w:val="Heading1"/>
        <w:numPr>
          <w:ilvl w:val="0"/>
          <w:numId w:val="70"/>
        </w:numPr>
      </w:pPr>
      <w:r>
        <w:t>Part Three Industrial Applications and Agent Responsibilities</w:t>
      </w:r>
      <w:bookmarkEnd w:id="4"/>
    </w:p>
    <w:p>
      <w:pPr>
        <w:pStyle w:val="Heading2"/>
        <w:numPr>
          <w:ilvl w:val="1"/>
          <w:numId w:val="70"/>
        </w:numPr>
      </w:pPr>
      <w:r>
        <w:t>The Agent as an Industrial Assistant and Coordinator</w:t>
      </w:r>
    </w:p>
    <w:p>
      <w:r>
        <w:t>Within a smart CNC factory, an AI agent can connect a user’s question to relevant evidence, analytical services, and approved work. This role includes retrieving information, combining observations across systems, preparing drafts, and coordinating tools. The appropriate degree of autonomy depends on the consequences of the operation and the available means of validation. A shared conversational interface can support these activities while preserving different levels of authority for each.</w:t>
      </w:r>
    </w:p>
    <w:p>
      <w:r>
        <w:t>Manufacturing-agent studies provide early evidence for this coordination role. Xia and colleagues connect LLM agents with digital twins and executable production skills in a modular facility. Zhao and colleagues investigate LLM-supported resource negotiation and machine selection, with a later journal record describing physical shop-floor experiments. These studies motivate further work on adaptive orchestration. Their results remain tied to the equipment, tasks, and interfaces evaluated and do not establish unrestricted transfer to other CNC environments</w:t>
      </w:r>
      <w:r>
        <w:t xml:space="preserve"> [</w:t>
      </w:r>
      <w:hyperlink w:anchor="reference_65">
        <w:r>
          <w:rPr>
            <w:color w:val="000000"/>
          </w:rPr>
          <w:t>65</w:t>
        </w:r>
      </w:hyperlink>
      <w:r>
        <w:t xml:space="preserve">, </w:t>
      </w:r>
      <w:hyperlink w:anchor="reference_70">
        <w:r>
          <w:rPr>
            <w:color w:val="000000"/>
          </w:rPr>
          <w:t>70</w:t>
        </w:r>
      </w:hyperlink>
      <w:r>
        <w:t>].</w:t>
      </w:r>
      <w:r/>
    </w:p>
    <w:p>
      <w:r>
        <w:t>The scope of a smart CNC factory includes two related manufacturing contexts. Component machining involves workpieces, cutting tools, fixtures, machining operations, inspection, and lot traceability. Manufacturing complete CNC machine tools additionally involves purchased components, subassemblies, mechanical and electrical assembly, controller configuration, calibration, and acceptance testing. The information model must distinguish a CNC machine used as a production resource from a CNC machine being manufactured as a product. This distinction shapes both the agent’s tools and the questions it can answer.</w:t>
      </w:r>
    </w:p>
    <w:p>
      <w:pPr>
        <w:pStyle w:val="Heading2"/>
        <w:numPr>
          <w:ilvl w:val="1"/>
          <w:numId w:val="70"/>
        </w:numPr>
      </w:pPr>
      <w:r>
        <w:t>Access to Technical Knowledge and Workforce Support</w:t>
      </w:r>
    </w:p>
    <w:p>
      <w:r>
        <w:t>Technical knowledge assistance begins by identifying the equipment and operating context relevant to the question. The agent can then retrieve applicable operating procedures, maintenance intervals, alarm explanations, and equipment documentation, and present an answer with source citations. Missing, superseded, or inconsistent sources should be reported explicitly. General technical background may still be helpful, provided that it is clearly distinguished from the factory’s approved procedure.</w:t>
      </w:r>
    </w:p>
    <w:p>
      <w:r>
        <w:t>The same retrieval and language capabilities can support translation, explanation of technical terms, and workforce learning. The question “What is the difference between tool wear compensation and work offset?” primarily requests an educational explanation. “Which offset should I enter now?” depends on the actual setup and an authorized procedure. Learning exercises and synthetic examples should be identified as such so they are not confused with production records or with evidence of model training on factory data.</w:t>
      </w:r>
    </w:p>
    <w:p>
      <w:pPr>
        <w:pStyle w:val="Heading2"/>
        <w:numPr>
          <w:ilvl w:val="1"/>
          <w:numId w:val="70"/>
        </w:numPr>
      </w:pPr>
      <w:r>
        <w:t>Production Reporting and Performance Analysis</w:t>
      </w:r>
    </w:p>
    <w:p>
      <w:r>
        <w:t>Production reporting requires a consistent definition of the period and performance measure. For a question about yesterday’s output, the agent needs the shift boundaries, timezone, machines, product mix, and metric definition before combining quantities, quality counts, runtime, downtime, and planned activity. Governed queries or deterministic code should perform the calculations. The written explanation can then interpret the result while making data gaps and analytical limitations visible.</w:t>
      </w:r>
    </w:p>
    <w:p>
      <w:r>
        <w:t>For example, a decrease in accepted output on a milling cell may reflect additional downtime, longer cycles, rework, or a change in product mix. Fewer completed pieces may be expected when a more complex product is scheduled. An informative comparison therefore separates these contributions and uses equivalent conditions where possible. Metric denominators and units must remain consistent so that the analysis does not create an apparent performance problem through incompatible measurements.</w:t>
      </w:r>
    </w:p>
    <w:p>
      <w:pPr>
        <w:pStyle w:val="Heading2"/>
        <w:numPr>
          <w:ilvl w:val="1"/>
          <w:numId w:val="70"/>
        </w:numPr>
      </w:pPr>
      <w:r>
        <w:t>Root Cause Analysis and Maintenance Investigation</w:t>
      </w:r>
    </w:p>
    <w:p>
      <w:r>
        <w:t>Root cause analysis (RCA) begins with a precise description of the observed problem and its time window. The agent can assemble event histories, operating conditions, maintenance records, quality results, and process relationships to develop candidate explanations. Each hypothesis should be examined against supporting and contradictory evidence, with additional checks proposed where necessary. The conclusion may identify several contributing factors and leave part of the problem unresolved. Co-occurring signal changes alone are insufficient to establish causality. Figure 2 summarizes this investigation process.</w:t>
      </w:r>
    </w:p>
    <w:p>
      <w:pPr>
        <w:keepNext/>
        <w:jc w:val="center"/>
      </w:pPr>
      <w:r>
        <w:drawing>
          <wp:inline xmlns:a="http://schemas.openxmlformats.org/drawingml/2006/main" xmlns:pic="http://schemas.openxmlformats.org/drawingml/2006/picture">
            <wp:extent cx="5349240" cy="4375584"/>
            <wp:docPr id="2" name="Picture 2" descr="Figure 2 Evidence Collection and Verification in a Maintenance Investigation"/>
            <wp:cNvGraphicFramePr>
              <a:graphicFrameLocks noChangeAspect="1"/>
            </wp:cNvGraphicFramePr>
            <a:graphic>
              <a:graphicData uri="http://schemas.openxmlformats.org/drawingml/2006/picture">
                <pic:pic>
                  <pic:nvPicPr>
                    <pic:cNvPr id="0" name="investigation.png"/>
                    <pic:cNvPicPr/>
                  </pic:nvPicPr>
                  <pic:blipFill>
                    <a:blip r:embed="rId11"/>
                    <a:stretch>
                      <a:fillRect/>
                    </a:stretch>
                  </pic:blipFill>
                  <pic:spPr>
                    <a:xfrm>
                      <a:off x="0" y="0"/>
                      <a:ext cx="5349240" cy="4375584"/>
                    </a:xfrm>
                    <a:prstGeom prst="rect"/>
                  </pic:spPr>
                </pic:pic>
              </a:graphicData>
            </a:graphic>
          </wp:inline>
        </w:drawing>
      </w:r>
    </w:p>
    <w:p>
      <w:pPr>
        <w:pStyle w:val="Caption"/>
        <w:keepNext w:val="0"/>
        <w:jc w:val="center"/>
      </w:pPr>
      <w:r>
        <w:t>Figure 2 Evidence Collection and Verification in a Maintenance Investigation</w:t>
      </w:r>
    </w:p>
    <w:p>
      <w:r>
        <w:t>Wehner and colleagues combine expert knowledge graphs with causal Bayesian networks for manufacturing diagnosis. OGPAL uses LLM-assisted concept extraction and process-aware graph learning for fault-cause retrieval. Its revised study reports nDCG@20 of 0.719, compared with 0.450 and 0.559 for the evaluated alternatives. This result concerns closed-set retrieval from candidates derived from failure mode and effects analysis (FMEA). The reported error of suggesting a camera-related cause at a step without a camera illustrates the importance of an accurate process representation</w:t>
      </w:r>
      <w:r>
        <w:t xml:space="preserve"> [</w:t>
      </w:r>
      <w:hyperlink w:anchor="reference_49">
        <w:r>
          <w:rPr>
            <w:color w:val="000000"/>
          </w:rPr>
          <w:t>49</w:t>
        </w:r>
      </w:hyperlink>
      <w:r>
        <w:t xml:space="preserve">, </w:t>
      </w:r>
      <w:hyperlink w:anchor="reference_64">
        <w:r>
          <w:rPr>
            <w:color w:val="000000"/>
          </w:rPr>
          <w:t>64</w:t>
        </w:r>
      </w:hyperlink>
      <w:r>
        <w:t>].</w:t>
      </w:r>
      <w:r/>
    </w:p>
    <w:p>
      <w:r>
        <w:t>DoWhy organizes causal analysis around assumptions, identification, estimation, and robustness checks. This perspective helps clarify the agent’s contribution: it can assemble observations, invoke analyses, and explain their results, while the strength of a causal conclusion depends on what the data and assumptions permit. Controlled engineering tests, intervention records, and well-supported causal models provide stronger grounds than a plausible verbal sequence. Where these grounds are insufficient, the appropriate result is a ranked hypothesis and a proposed next check</w:t>
      </w:r>
      <w:r>
        <w:t xml:space="preserve"> [</w:t>
      </w:r>
      <w:hyperlink w:anchor="reference_60">
        <w:r>
          <w:rPr>
            <w:color w:val="000000"/>
          </w:rPr>
          <w:t>60</w:t>
        </w:r>
      </w:hyperlink>
      <w:r>
        <w:t>].</w:t>
      </w:r>
      <w:r/>
    </w:p>
    <w:p>
      <w:r>
        <w:t>Consider a spindle that exhibits increased vibration and temperature alongside a quality deviation. Bearing degradation is one possible explanation, but tool imbalance, changed cutting conditions, sensor faults, and assembly issues may also be consistent with the observations. The agent should connect each candidate cause to the available evidence and permitted tests. An anomaly can justify further investigation without, by itself, establishing the need for component replacement.</w:t>
      </w:r>
    </w:p>
    <w:p>
      <w:pPr>
        <w:pStyle w:val="Heading2"/>
        <w:numPr>
          <w:ilvl w:val="1"/>
          <w:numId w:val="70"/>
        </w:numPr>
      </w:pPr>
      <w:r>
        <w:t>Predictive Maintenance and Condition Monitoring</w:t>
      </w:r>
    </w:p>
    <w:p>
      <w:r>
        <w:t>In predictive maintenance, dedicated signal-processing and predictive services perform the numerical analysis. The agent supplies operating context, coordinates those services, and explains whether their outputs apply to the asset under investigation. Relevant activities include forecasting, anomaly detection, trend analysis, and maintenance planning. The explanation should preserve the model’s operating range and uncertainty, distinguishing elevated predicted risk from a verified failure or an authorized stop instruction.</w:t>
      </w:r>
    </w:p>
    <w:p>
      <w:r>
        <w:t>Maintenance recommendations also depend on production commitments, spare-part availability, and approved procedures. An agent can combine this information to draft a work order or suggest an inspection window. Remaining useful life should be reported only when the underlying method has been trained and validated for that quantity. Similarly, thresholds learned for one machine family require assessment before use on another.</w:t>
      </w:r>
    </w:p>
    <w:p>
      <w:pPr>
        <w:pStyle w:val="Heading2"/>
        <w:numPr>
          <w:ilvl w:val="1"/>
          <w:numId w:val="70"/>
        </w:numPr>
      </w:pPr>
      <w:r>
        <w:t>Quality Inspection and Nonconformance Management</w:t>
      </w:r>
    </w:p>
    <w:p>
      <w:r>
        <w:t>Quality assistance can combine visual inspection, measurement analysis, inspection plans, and traceability records. The agent may explain an inspection outcome, identify lots that share a suspected cause, or prepare a nonconformance report. Acceptance of critical characteristics remains grounded in calibrated measurement systems or validated inspection methods. Language and vision models can assist the assessment without serving as the sole authority for product release.</w:t>
      </w:r>
    </w:p>
    <w:p>
      <w:r>
        <w:t>An inspection record should retain the drawing revision, characteristic identifier, measurement method, calibration status, raw values, units, and decision rule. For complete CNC machines, the evidence may also include geometry checks, motion accuracy, thermal behavior, electrical tests, and approved functional tests. The agent can assess whether the required records are present and identify missing or failed results. Certification, release of quarantined material, and resolution of failed tests remain subject to the designated quality authority.</w:t>
      </w:r>
    </w:p>
    <w:p>
      <w:pPr>
        <w:pStyle w:val="Heading2"/>
        <w:numPr>
          <w:ilvl w:val="1"/>
          <w:numId w:val="70"/>
        </w:numPr>
      </w:pPr>
      <w:r>
        <w:t>Engineering Design and Manufacturing Preparation</w:t>
      </w:r>
    </w:p>
    <w:p>
      <w:r>
        <w:t>Engineering preparation spans several applications with distinct purposes. Computer-aided design (CAD) represents geometry and design intent; computer-aided engineering (CAE) evaluates physical behavior under specified assumptions. Computer-aided process planning (CAPP) defines methods, operation sequences, resources, and checks, while computer-aided manufacturing (CAM) prepares toolpaths and manufacturing operations. Numerical control (NC) programs express the resulting instructions in a controller-specific form. An agent can coordinate these stages, provided that each output retains its own validation requirements.</w:t>
      </w:r>
    </w:p>
    <w:p>
      <w:r>
        <w:t>For process planning, an agent can retrieve comparable approved plans, interpret relevant product features, and propose operations and dependencies against available resources. Candidate machines, tooling, materials, and inspection requirements then need to be checked. The appropriate result is a revision-controlled draft with documented assumptions and provenance. In machine-tool assembly, planning additionally covers purchased parts, subassemblies, electrical work, controller configuration, calibration, and acceptance tests. The proposed sequence requires engineering confirmation of feasibility before release.</w:t>
      </w:r>
    </w:p>
    <w:p>
      <w:r>
        <w:t>CAD assistance may involve retrieving design knowledge, proposing parameter changes, or generating scripts for an isolated engineering environment. Geometry, constraints, tolerances, and design requirements must then be verified. In CAE, the agent can help prepare a simulation and summarize its results, but material properties, boundary conditions, mesh quality, and convergence evidence must remain explicit and supported. The responsible engineer needs enough information to judge what the simulation represents.</w:t>
      </w:r>
    </w:p>
    <w:p>
      <w:r>
        <w:t>CAM and NC assistance is most appropriately organized around controlled drafts and proposed edits. Validation may use CAD/CAM interfaces, controller-specific postprocessors, program checks, material-removal simulation, collision analysis, and supervised prove-out procedures. Syntactic validity alone does not justify transferring generated code to a live machine. GLLM provides a relevant research example of generation with corrective feedback, while leaving further industrial validation requirements open</w:t>
      </w:r>
      <w:r>
        <w:t xml:space="preserve"> [</w:t>
      </w:r>
      <w:hyperlink w:anchor="reference_2">
        <w:r>
          <w:rPr>
            <w:color w:val="000000"/>
          </w:rPr>
          <w:t>2</w:t>
        </w:r>
      </w:hyperlink>
      <w:r>
        <w:t>].</w:t>
      </w:r>
      <w:r/>
    </w:p>
    <w:p>
      <w:r>
        <w:t>Siemens’ June 2026 technical blog describes NX Manufacturing 2606 enhancements, including generative machining suggestions in NX X Manufacturing and associated tool definitions. A July 2026 demonstration report describes an NX X workflow on Microsoft Azure for humanoid components. These accounts indicate product capabilities and development direction, with evidence limited to the described editions and deployment arrangements. They do not establish equivalent functionality in earlier releases or offline installations</w:t>
      </w:r>
      <w:r>
        <w:t xml:space="preserve"> [</w:t>
      </w:r>
      <w:hyperlink w:anchor="reference_19">
        <w:r>
          <w:rPr>
            <w:color w:val="000000"/>
          </w:rPr>
          <w:t>19</w:t>
        </w:r>
      </w:hyperlink>
      <w:r>
        <w:t xml:space="preserve">, </w:t>
      </w:r>
      <w:hyperlink w:anchor="reference_20">
        <w:r>
          <w:rPr>
            <w:color w:val="000000"/>
          </w:rPr>
          <w:t>20</w:t>
        </w:r>
      </w:hyperlink>
      <w:r>
        <w:t>].</w:t>
      </w:r>
      <w:r/>
    </w:p>
    <w:p>
      <w:pPr>
        <w:pStyle w:val="Heading2"/>
        <w:numPr>
          <w:ilvl w:val="1"/>
          <w:numId w:val="70"/>
        </w:numPr>
      </w:pPr>
      <w:r>
        <w:t>Production Scheduling and Material Coordination</w:t>
      </w:r>
    </w:p>
    <w:p>
      <w:r>
        <w:t>Scheduling assistance begins by translating the user’s question into a defined scenario, including order priorities, available resources, frozen operations, and the objective to be evaluated. An advanced planning and scheduling (APS) engine, constraint solver, or validated simulation then assesses the alternatives. The agent can compare outcomes, explain tradeoffs, and prepare a proposed schedule revision. Claims of optimization require feasible solutions and an explicit objective, rather than a plausible sequence generated in conversation.</w:t>
      </w:r>
    </w:p>
    <w:p>
      <w:r>
        <w:t>Zhang and colleagues investigate learning dispatching rules through graph representations and reinforcement learning for job-shop scheduling. Digital-twin methods offer a complementary means of evaluating scenarios against a process model; NIST discusses manufacturing implementations based on ISO 23247. Simio’s public material describes simulation and scheduling capabilities. Comparative evaluation should apply learned dispatching, optimization, and discrete-event simulation to the same factory objectives and constraints</w:t>
      </w:r>
      <w:r>
        <w:t xml:space="preserve"> [</w:t>
      </w:r>
      <w:hyperlink w:anchor="reference_59">
        <w:r>
          <w:rPr>
            <w:color w:val="000000"/>
          </w:rPr>
          <w:t>59</w:t>
        </w:r>
      </w:hyperlink>
      <w:r>
        <w:t xml:space="preserve">, </w:t>
      </w:r>
      <w:hyperlink w:anchor="reference_61">
        <w:r>
          <w:rPr>
            <w:color w:val="000000"/>
          </w:rPr>
          <w:t>61</w:t>
        </w:r>
      </w:hyperlink>
      <w:r>
        <w:t xml:space="preserve">, </w:t>
      </w:r>
      <w:hyperlink w:anchor="reference_68">
        <w:r>
          <w:rPr>
            <w:color w:val="000000"/>
          </w:rPr>
          <w:t>68</w:t>
        </w:r>
      </w:hyperlink>
      <w:r>
        <w:t>].</w:t>
      </w:r>
      <w:r/>
    </w:p>
    <w:p>
      <w:r>
        <w:t>Material coordination requires linking bill-of-material demand to inventory, reservations, lead times, supplier information, and work-order priorities. An agent can identify likely shortages, trace affected orders, and prepare purchase or transfer requests. For complete machine tools, a missing purchased component can prevent several assembly and acceptance activities despite completed machining. Purchasing commitments, controlled-material substitutions, and delivery promises must remain within the relevant authority and confirmation process.</w:t>
      </w:r>
    </w:p>
    <w:p>
      <w:pPr>
        <w:pStyle w:val="Heading2"/>
        <w:numPr>
          <w:ilvl w:val="1"/>
          <w:numId w:val="70"/>
        </w:numPr>
      </w:pPr>
      <w:r>
        <w:t>Machine and Robot Operations</w:t>
      </w:r>
    </w:p>
    <w:p>
      <w:r>
        <w:t>For machine operations, the agent can explain current state, prepare a parameter-change proposal, or invoke a narrowly defined action through a validated interface. The proposed action requires verified asset identity, sufficiently recent state information, compatible tooling and workpiece conditions, configured limits, user permissions, and any required approval. The control service must re-check the execution conditions immediately before acting. Its observed result should be recorded separately from the agent’s proposal.</w:t>
      </w:r>
    </w:p>
    <w:p>
      <w:r>
        <w:t>Programmable logic controller (PLC) interlocks, emergency-stop functions, servo loops, and other deterministic motion and safety controls should remain independent of the language-model application. These functions require validation and timing characteristics that general language generation does not provide. The agent must not bypass guards, disable protective alarms, or continue an operation when equipment state is uncertain. NIST’s operational-technology guidance supports preserving the physical process protections on which safe operation depends</w:t>
      </w:r>
      <w:r>
        <w:t xml:space="preserve"> [</w:t>
      </w:r>
      <w:hyperlink w:anchor="reference_62">
        <w:r>
          <w:rPr>
            <w:color w:val="000000"/>
          </w:rPr>
          <w:t>62</w:t>
        </w:r>
      </w:hyperlink>
      <w:r>
        <w:t>].</w:t>
      </w:r>
      <w:r/>
    </w:p>
    <w:p>
      <w:r>
        <w:t>Vision-language-action models such as pi zero investigate robot control conditioned on visual and language inputs. Their relevance to CNC tending and precision assembly is a research question, since the reported tasks and training distributions differ from those environments. Factory adoption would require task-specific validation, controlled workspaces, safety engineering, and recovery procedures. The demonstrated robot behaviors therefore provide a starting point for investigation rather than evidence of unrestricted shop-floor readiness</w:t>
      </w:r>
      <w:r>
        <w:t xml:space="preserve"> [</w:t>
      </w:r>
      <w:hyperlink w:anchor="reference_9">
        <w:r>
          <w:rPr>
            <w:color w:val="000000"/>
          </w:rPr>
          <w:t>9</w:t>
        </w:r>
      </w:hyperlink>
      <w:r>
        <w:t>].</w:t>
      </w:r>
      <w:r/>
    </w:p>
    <w:p>
      <w:pPr>
        <w:pStyle w:val="Heading2"/>
        <w:numPr>
          <w:ilvl w:val="1"/>
          <w:numId w:val="70"/>
        </w:numPr>
      </w:pPr>
      <w:r>
        <w:t>Agent Responsibilities and Limits of Authority</w:t>
      </w:r>
    </w:p>
    <w:p>
      <w:pPr>
        <w:pStyle w:val="Caption"/>
      </w:pPr>
      <w:r>
        <w:t>Table 7 Levels of Agent Authority and Required Controls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2347"/>
        <w:gridCol w:w="2477"/>
        <w:gridCol w:w="2506"/>
      </w:tblGrid>
      <w:tr>
        <w:trPr>
          <w:cantSplit/>
          <w:tblHeader/>
        </w:trPr>
        <w:tc>
          <w:tcPr>
            <w:tcW w:type="dxa" w:w="1987"/>
            <w:vAlign w:val="center"/>
            <w:tcMar>
              <w:top w:w="75" w:type="dxa"/>
              <w:bottom w:w="75" w:type="dxa"/>
              <w:left w:w="85" w:type="dxa"/>
              <w:right w:w="85" w:type="dxa"/>
            </w:tcMar>
            <w:shd w:fill="394047"/>
          </w:tcPr>
          <w:p>
            <w:pPr>
              <w:keepNext/>
              <w:spacing w:after="0" w:line="252" w:lineRule="auto"/>
            </w:pPr>
            <w:r>
              <w:rPr>
                <w:b/>
                <w:color w:val="FFFFFF"/>
                <w:sz w:val="19"/>
              </w:rPr>
              <w:t>Level</w:t>
            </w:r>
          </w:p>
        </w:tc>
        <w:tc>
          <w:tcPr>
            <w:tcW w:type="dxa" w:w="2347"/>
            <w:vAlign w:val="center"/>
            <w:tcMar>
              <w:top w:w="75" w:type="dxa"/>
              <w:bottom w:w="75" w:type="dxa"/>
              <w:left w:w="85" w:type="dxa"/>
              <w:right w:w="85" w:type="dxa"/>
            </w:tcMar>
            <w:shd w:fill="394047"/>
          </w:tcPr>
          <w:p>
            <w:pPr>
              <w:keepNext/>
              <w:spacing w:after="0" w:line="252" w:lineRule="auto"/>
            </w:pPr>
            <w:r>
              <w:rPr>
                <w:b/>
                <w:color w:val="FFFFFF"/>
                <w:sz w:val="19"/>
              </w:rPr>
              <w:t>What the agent may do</w:t>
            </w:r>
          </w:p>
        </w:tc>
        <w:tc>
          <w:tcPr>
            <w:tcW w:type="dxa" w:w="2477"/>
            <w:vAlign w:val="center"/>
            <w:tcMar>
              <w:top w:w="75" w:type="dxa"/>
              <w:bottom w:w="75" w:type="dxa"/>
              <w:left w:w="85" w:type="dxa"/>
              <w:right w:w="85" w:type="dxa"/>
            </w:tcMar>
            <w:shd w:fill="394047"/>
          </w:tcPr>
          <w:p>
            <w:pPr>
              <w:keepNext/>
              <w:spacing w:after="0" w:line="252" w:lineRule="auto"/>
            </w:pPr>
            <w:r>
              <w:rPr>
                <w:b/>
                <w:color w:val="FFFFFF"/>
                <w:sz w:val="19"/>
              </w:rPr>
              <w:t>What it must establish</w:t>
            </w:r>
          </w:p>
        </w:tc>
        <w:tc>
          <w:tcPr>
            <w:tcW w:type="dxa" w:w="2506"/>
            <w:vAlign w:val="center"/>
            <w:tcMar>
              <w:top w:w="75" w:type="dxa"/>
              <w:bottom w:w="75" w:type="dxa"/>
              <w:left w:w="85" w:type="dxa"/>
              <w:right w:w="85" w:type="dxa"/>
            </w:tcMar>
            <w:shd w:fill="394047"/>
          </w:tcPr>
          <w:p>
            <w:pPr>
              <w:keepNext/>
              <w:spacing w:after="0" w:line="252" w:lineRule="auto"/>
            </w:pPr>
            <w:r>
              <w:rPr>
                <w:b/>
                <w:color w:val="FFFFFF"/>
                <w:sz w:val="19"/>
              </w:rPr>
              <w:t>Boundary</w:t>
            </w:r>
          </w:p>
        </w:tc>
      </w:tr>
      <w:tr>
        <w:trPr>
          <w:cantSplit/>
        </w:trPr>
        <w:tc>
          <w:tcPr>
            <w:tcW w:type="dxa" w:w="1987"/>
            <w:vAlign w:val="center"/>
            <w:tcMar>
              <w:top w:w="75" w:type="dxa"/>
              <w:bottom w:w="75" w:type="dxa"/>
              <w:left w:w="85" w:type="dxa"/>
              <w:right w:w="85" w:type="dxa"/>
            </w:tcMar>
            <w:shd w:fill="FFFFFF"/>
          </w:tcPr>
          <w:p>
            <w:pPr>
              <w:keepNext/>
              <w:spacing w:after="0" w:line="252" w:lineRule="auto"/>
            </w:pPr>
            <w:r>
              <w:rPr>
                <w:sz w:val="19"/>
              </w:rPr>
              <w:t>Explain and retrieve</w:t>
            </w:r>
          </w:p>
        </w:tc>
        <w:tc>
          <w:tcPr>
            <w:tcW w:type="dxa" w:w="2347"/>
            <w:vAlign w:val="center"/>
            <w:tcMar>
              <w:top w:w="75" w:type="dxa"/>
              <w:bottom w:w="75" w:type="dxa"/>
              <w:left w:w="85" w:type="dxa"/>
              <w:right w:w="85" w:type="dxa"/>
            </w:tcMar>
            <w:shd w:fill="FFFFFF"/>
          </w:tcPr>
          <w:p>
            <w:pPr>
              <w:keepNext/>
              <w:spacing w:after="0" w:line="252" w:lineRule="auto"/>
            </w:pPr>
            <w:r>
              <w:rPr>
                <w:sz w:val="19"/>
              </w:rPr>
              <w:t>Answer from authorized records</w:t>
            </w:r>
          </w:p>
        </w:tc>
        <w:tc>
          <w:tcPr>
            <w:tcW w:type="dxa" w:w="2477"/>
            <w:vAlign w:val="center"/>
            <w:tcMar>
              <w:top w:w="75" w:type="dxa"/>
              <w:bottom w:w="75" w:type="dxa"/>
              <w:left w:w="85" w:type="dxa"/>
              <w:right w:w="85" w:type="dxa"/>
            </w:tcMar>
            <w:shd w:fill="FFFFFF"/>
          </w:tcPr>
          <w:p>
            <w:pPr>
              <w:keepNext/>
              <w:spacing w:after="0" w:line="252" w:lineRule="auto"/>
            </w:pPr>
            <w:r>
              <w:rPr>
                <w:sz w:val="19"/>
              </w:rPr>
              <w:t>Correct source, revision, scope, and uncertainty</w:t>
            </w:r>
          </w:p>
        </w:tc>
        <w:tc>
          <w:tcPr>
            <w:tcW w:type="dxa" w:w="2506"/>
            <w:vAlign w:val="center"/>
            <w:tcMar>
              <w:top w:w="75" w:type="dxa"/>
              <w:bottom w:w="75" w:type="dxa"/>
              <w:left w:w="85" w:type="dxa"/>
              <w:right w:w="85" w:type="dxa"/>
            </w:tcMar>
            <w:shd w:fill="FFFFFF"/>
          </w:tcPr>
          <w:p>
            <w:pPr>
              <w:keepNext/>
              <w:spacing w:after="0" w:line="252" w:lineRule="auto"/>
            </w:pPr>
            <w:r>
              <w:rPr>
                <w:sz w:val="19"/>
              </w:rPr>
              <w:t>Do not invent missing facts</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Calculate and analyze</w:t>
            </w:r>
          </w:p>
        </w:tc>
        <w:tc>
          <w:tcPr>
            <w:tcW w:type="dxa" w:w="2347"/>
            <w:vAlign w:val="center"/>
            <w:tcMar>
              <w:top w:w="75" w:type="dxa"/>
              <w:bottom w:w="75" w:type="dxa"/>
              <w:left w:w="85" w:type="dxa"/>
              <w:right w:w="85" w:type="dxa"/>
            </w:tcMar>
            <w:shd w:fill="F3F4F5"/>
          </w:tcPr>
          <w:p>
            <w:pPr>
              <w:spacing w:after="0" w:line="252" w:lineRule="auto"/>
            </w:pPr>
            <w:r>
              <w:rPr>
                <w:sz w:val="19"/>
              </w:rPr>
              <w:t>Run approved numerical and diagnostic tools</w:t>
            </w:r>
          </w:p>
        </w:tc>
        <w:tc>
          <w:tcPr>
            <w:tcW w:type="dxa" w:w="2477"/>
            <w:vAlign w:val="center"/>
            <w:tcMar>
              <w:top w:w="75" w:type="dxa"/>
              <w:bottom w:w="75" w:type="dxa"/>
              <w:left w:w="85" w:type="dxa"/>
              <w:right w:w="85" w:type="dxa"/>
            </w:tcMar>
            <w:shd w:fill="F3F4F5"/>
          </w:tcPr>
          <w:p>
            <w:pPr>
              <w:spacing w:after="0" w:line="252" w:lineRule="auto"/>
            </w:pPr>
            <w:r>
              <w:rPr>
                <w:sz w:val="19"/>
              </w:rPr>
              <w:t>Inputs, definitions, units, and reproducible results</w:t>
            </w:r>
          </w:p>
        </w:tc>
        <w:tc>
          <w:tcPr>
            <w:tcW w:type="dxa" w:w="2506"/>
            <w:vAlign w:val="center"/>
            <w:tcMar>
              <w:top w:w="75" w:type="dxa"/>
              <w:bottom w:w="75" w:type="dxa"/>
              <w:left w:w="85" w:type="dxa"/>
              <w:right w:w="85" w:type="dxa"/>
            </w:tcMar>
            <w:shd w:fill="F3F4F5"/>
          </w:tcPr>
          <w:p>
            <w:pPr>
              <w:spacing w:after="0" w:line="252" w:lineRule="auto"/>
            </w:pPr>
            <w:r>
              <w:rPr>
                <w:sz w:val="19"/>
              </w:rPr>
              <w:t>Do not turn correlation into proven cause</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Draft and simulate</w:t>
            </w:r>
          </w:p>
        </w:tc>
        <w:tc>
          <w:tcPr>
            <w:tcW w:type="dxa" w:w="2347"/>
            <w:vAlign w:val="center"/>
            <w:tcMar>
              <w:top w:w="75" w:type="dxa"/>
              <w:bottom w:w="75" w:type="dxa"/>
              <w:left w:w="85" w:type="dxa"/>
              <w:right w:w="85" w:type="dxa"/>
            </w:tcMar>
            <w:shd w:fill="FFFFFF"/>
          </w:tcPr>
          <w:p>
            <w:pPr>
              <w:spacing w:after="0" w:line="252" w:lineRule="auto"/>
            </w:pPr>
            <w:r>
              <w:rPr>
                <w:sz w:val="19"/>
              </w:rPr>
              <w:t>Prepare plans, code, reports, and scenarios</w:t>
            </w:r>
          </w:p>
        </w:tc>
        <w:tc>
          <w:tcPr>
            <w:tcW w:type="dxa" w:w="2477"/>
            <w:vAlign w:val="center"/>
            <w:tcMar>
              <w:top w:w="75" w:type="dxa"/>
              <w:bottom w:w="75" w:type="dxa"/>
              <w:left w:w="85" w:type="dxa"/>
              <w:right w:w="85" w:type="dxa"/>
            </w:tcMar>
            <w:shd w:fill="FFFFFF"/>
          </w:tcPr>
          <w:p>
            <w:pPr>
              <w:spacing w:after="0" w:line="252" w:lineRule="auto"/>
            </w:pPr>
            <w:r>
              <w:rPr>
                <w:sz w:val="19"/>
              </w:rPr>
              <w:t>Assumptions, validation results, and draft status</w:t>
            </w:r>
          </w:p>
        </w:tc>
        <w:tc>
          <w:tcPr>
            <w:tcW w:type="dxa" w:w="2506"/>
            <w:vAlign w:val="center"/>
            <w:tcMar>
              <w:top w:w="75" w:type="dxa"/>
              <w:bottom w:w="75" w:type="dxa"/>
              <w:left w:w="85" w:type="dxa"/>
              <w:right w:w="85" w:type="dxa"/>
            </w:tcMar>
            <w:shd w:fill="FFFFFF"/>
          </w:tcPr>
          <w:p>
            <w:pPr>
              <w:spacing w:after="0" w:line="252" w:lineRule="auto"/>
            </w:pPr>
            <w:r>
              <w:rPr>
                <w:sz w:val="19"/>
              </w:rPr>
              <w:t>Do not treat a draft as released work</w:t>
            </w:r>
          </w:p>
        </w:tc>
      </w:tr>
      <w:tr>
        <w:trPr>
          <w:cantSplit/>
        </w:trPr>
        <w:tc>
          <w:tcPr>
            <w:tcW w:type="dxa" w:w="1987"/>
            <w:vAlign w:val="center"/>
            <w:tcMar>
              <w:top w:w="75" w:type="dxa"/>
              <w:bottom w:w="75" w:type="dxa"/>
              <w:left w:w="85" w:type="dxa"/>
              <w:right w:w="85" w:type="dxa"/>
            </w:tcMar>
            <w:shd w:fill="F3F4F5"/>
          </w:tcPr>
          <w:p>
            <w:pPr>
              <w:spacing w:after="0" w:line="252" w:lineRule="auto"/>
            </w:pPr>
            <w:r>
              <w:rPr>
                <w:sz w:val="19"/>
              </w:rPr>
              <w:t>Propose a change</w:t>
            </w:r>
          </w:p>
        </w:tc>
        <w:tc>
          <w:tcPr>
            <w:tcW w:type="dxa" w:w="2347"/>
            <w:vAlign w:val="center"/>
            <w:tcMar>
              <w:top w:w="75" w:type="dxa"/>
              <w:bottom w:w="75" w:type="dxa"/>
              <w:left w:w="85" w:type="dxa"/>
              <w:right w:w="85" w:type="dxa"/>
            </w:tcMar>
            <w:shd w:fill="F3F4F5"/>
          </w:tcPr>
          <w:p>
            <w:pPr>
              <w:spacing w:after="0" w:line="252" w:lineRule="auto"/>
            </w:pPr>
            <w:r>
              <w:rPr>
                <w:sz w:val="19"/>
              </w:rPr>
              <w:t>Present an exact operation for review</w:t>
            </w:r>
          </w:p>
        </w:tc>
        <w:tc>
          <w:tcPr>
            <w:tcW w:type="dxa" w:w="2477"/>
            <w:vAlign w:val="center"/>
            <w:tcMar>
              <w:top w:w="75" w:type="dxa"/>
              <w:bottom w:w="75" w:type="dxa"/>
              <w:left w:w="85" w:type="dxa"/>
              <w:right w:w="85" w:type="dxa"/>
            </w:tcMar>
            <w:shd w:fill="F3F4F5"/>
          </w:tcPr>
          <w:p>
            <w:pPr>
              <w:spacing w:after="0" w:line="252" w:lineRule="auto"/>
            </w:pPr>
            <w:r>
              <w:rPr>
                <w:sz w:val="19"/>
              </w:rPr>
              <w:t>Target, values, consequences, evidence, and permissions</w:t>
            </w:r>
          </w:p>
        </w:tc>
        <w:tc>
          <w:tcPr>
            <w:tcW w:type="dxa" w:w="2506"/>
            <w:vAlign w:val="center"/>
            <w:tcMar>
              <w:top w:w="75" w:type="dxa"/>
              <w:bottom w:w="75" w:type="dxa"/>
              <w:left w:w="85" w:type="dxa"/>
              <w:right w:w="85" w:type="dxa"/>
            </w:tcMar>
            <w:shd w:fill="F3F4F5"/>
          </w:tcPr>
          <w:p>
            <w:pPr>
              <w:spacing w:after="0" w:line="252" w:lineRule="auto"/>
            </w:pPr>
            <w:r>
              <w:rPr>
                <w:sz w:val="19"/>
              </w:rPr>
              <w:t>Do not imply approval has occurred</w:t>
            </w:r>
          </w:p>
        </w:tc>
      </w:tr>
      <w:tr>
        <w:trPr>
          <w:cantSplit/>
        </w:trPr>
        <w:tc>
          <w:tcPr>
            <w:tcW w:type="dxa" w:w="1987"/>
            <w:vAlign w:val="center"/>
            <w:tcMar>
              <w:top w:w="75" w:type="dxa"/>
              <w:bottom w:w="75" w:type="dxa"/>
              <w:left w:w="85" w:type="dxa"/>
              <w:right w:w="85" w:type="dxa"/>
            </w:tcMar>
            <w:shd w:fill="FFFFFF"/>
          </w:tcPr>
          <w:p>
            <w:pPr>
              <w:spacing w:after="0" w:line="252" w:lineRule="auto"/>
            </w:pPr>
            <w:r>
              <w:rPr>
                <w:sz w:val="19"/>
              </w:rPr>
              <w:t>Execute an approved operation</w:t>
            </w:r>
          </w:p>
        </w:tc>
        <w:tc>
          <w:tcPr>
            <w:tcW w:type="dxa" w:w="2347"/>
            <w:vAlign w:val="center"/>
            <w:tcMar>
              <w:top w:w="75" w:type="dxa"/>
              <w:bottom w:w="75" w:type="dxa"/>
              <w:left w:w="85" w:type="dxa"/>
              <w:right w:w="85" w:type="dxa"/>
            </w:tcMar>
            <w:shd w:fill="FFFFFF"/>
          </w:tcPr>
          <w:p>
            <w:pPr>
              <w:spacing w:after="0" w:line="252" w:lineRule="auto"/>
            </w:pPr>
            <w:r>
              <w:rPr>
                <w:sz w:val="19"/>
              </w:rPr>
              <w:t>Invoke a bounded validated interface</w:t>
            </w:r>
          </w:p>
        </w:tc>
        <w:tc>
          <w:tcPr>
            <w:tcW w:type="dxa" w:w="2477"/>
            <w:vAlign w:val="center"/>
            <w:tcMar>
              <w:top w:w="75" w:type="dxa"/>
              <w:bottom w:w="75" w:type="dxa"/>
              <w:left w:w="85" w:type="dxa"/>
              <w:right w:w="85" w:type="dxa"/>
            </w:tcMar>
            <w:shd w:fill="FFFFFF"/>
          </w:tcPr>
          <w:p>
            <w:pPr>
              <w:spacing w:after="0" w:line="252" w:lineRule="auto"/>
            </w:pPr>
            <w:r>
              <w:rPr>
                <w:sz w:val="19"/>
              </w:rPr>
              <w:t>Valid approval, current preconditions, and execution status</w:t>
            </w:r>
          </w:p>
        </w:tc>
        <w:tc>
          <w:tcPr>
            <w:tcW w:type="dxa" w:w="2506"/>
            <w:vAlign w:val="center"/>
            <w:tcMar>
              <w:top w:w="75" w:type="dxa"/>
              <w:bottom w:w="75" w:type="dxa"/>
              <w:left w:w="85" w:type="dxa"/>
              <w:right w:w="85" w:type="dxa"/>
            </w:tcMar>
            <w:shd w:fill="FFFFFF"/>
          </w:tcPr>
          <w:p>
            <w:pPr>
              <w:spacing w:after="0" w:line="252" w:lineRule="auto"/>
            </w:pPr>
            <w:r>
              <w:rPr>
                <w:sz w:val="19"/>
              </w:rPr>
              <w:t>Do not bypass interlocks or retry uncertain actions blindly</w:t>
            </w:r>
          </w:p>
        </w:tc>
      </w:tr>
    </w:tbl>
    <w:p>
      <w:pPr>
        <w:spacing w:after="20"/>
      </w:pPr>
    </w:p>
    <w:p>
      <w:r>
        <w:t>The responsibilities summarized in Table 7 connect the requested outcome to the evidence and authority needed to support it. Clarification is necessary when missing information would materially change the answer or operation. The agent should distinguish observations, calculations, hypotheses, recommendations, approvals, and execution results, and explain conflicts between them. When full completion is not justified, a useful response can still identify supported findings, missing information, and the next permitted check.</w:t>
      </w:r>
    </w:p>
    <w:p>
      <w:r>
        <w:t>These responsibilities also define limits. Ambiguous machines, revisions, units, or time periods must not be resolved silently when the choice has operational consequences. Information restricted to another role must remain protected. Unreviewed conversation should not become an operating rule, and authoritative records must not be altered merely to match a generated explanation. A claim of successful execution requires a checked result from the relevant tool or system of record, regardless of the model or framework used.</w:t>
      </w:r>
    </w:p>
    <w:p>
      <w:pPr>
        <w:pStyle w:val="Heading2"/>
        <w:numPr>
          <w:ilvl w:val="1"/>
          <w:numId w:val="70"/>
        </w:numPr>
      </w:pPr>
      <w:r>
        <w:t>Representative Questions and Requests</w:t>
      </w:r>
    </w:p>
    <w:p>
      <w:r>
        <w:t>Tables 8 and 9 translate the application areas into representative questions and requests. Each entry identifies the evidence, tools, and outcome needed to make the capability meaningful. Availability depends on implementing and validating those supporting services; the examples do not imply that a particular factory already provides them. Similar wording can also conceal different authority requirements: explaining a procedure and executing that procedure are distinct tasks.</w:t>
      </w:r>
    </w:p>
    <w:p>
      <w:pPr>
        <w:pStyle w:val="Caption"/>
      </w:pPr>
      <w:r>
        <w:t>Table 8 Representative Information and Analysis Requests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326"/>
        <w:gridCol w:w="2966"/>
      </w:tblGrid>
      <w:tr>
        <w:trPr>
          <w:cantSplit/>
          <w:tblHeader/>
        </w:trPr>
        <w:tc>
          <w:tcPr>
            <w:tcW w:type="dxa" w:w="3024"/>
            <w:vAlign w:val="center"/>
            <w:tcMar>
              <w:top w:w="75" w:type="dxa"/>
              <w:bottom w:w="75" w:type="dxa"/>
              <w:left w:w="85" w:type="dxa"/>
              <w:right w:w="85" w:type="dxa"/>
            </w:tcMar>
            <w:shd w:fill="394047"/>
          </w:tcPr>
          <w:p>
            <w:pPr>
              <w:keepNext/>
              <w:spacing w:after="0" w:line="252" w:lineRule="auto"/>
            </w:pPr>
            <w:r>
              <w:rPr>
                <w:b/>
                <w:color w:val="FFFFFF"/>
                <w:sz w:val="19"/>
              </w:rPr>
              <w:t>Example request</w:t>
            </w:r>
          </w:p>
        </w:tc>
        <w:tc>
          <w:tcPr>
            <w:tcW w:type="dxa" w:w="3326"/>
            <w:vAlign w:val="center"/>
            <w:tcMar>
              <w:top w:w="75" w:type="dxa"/>
              <w:bottom w:w="75" w:type="dxa"/>
              <w:left w:w="85" w:type="dxa"/>
              <w:right w:w="85" w:type="dxa"/>
            </w:tcMar>
            <w:shd w:fill="394047"/>
          </w:tcPr>
          <w:p>
            <w:pPr>
              <w:keepNext/>
              <w:spacing w:after="0" w:line="252" w:lineRule="auto"/>
            </w:pPr>
            <w:r>
              <w:rPr>
                <w:b/>
                <w:color w:val="FFFFFF"/>
                <w:sz w:val="19"/>
              </w:rPr>
              <w:t>Main evidence and tools</w:t>
            </w:r>
          </w:p>
        </w:tc>
        <w:tc>
          <w:tcPr>
            <w:tcW w:type="dxa" w:w="2966"/>
            <w:vAlign w:val="center"/>
            <w:tcMar>
              <w:top w:w="75" w:type="dxa"/>
              <w:bottom w:w="75" w:type="dxa"/>
              <w:left w:w="85" w:type="dxa"/>
              <w:right w:w="85" w:type="dxa"/>
            </w:tcMar>
            <w:shd w:fill="394047"/>
          </w:tcPr>
          <w:p>
            <w:pPr>
              <w:keepNext/>
              <w:spacing w:after="0" w:line="252" w:lineRule="auto"/>
            </w:pPr>
            <w:r>
              <w:rPr>
                <w:b/>
                <w:color w:val="FFFFFF"/>
                <w:sz w:val="19"/>
              </w:rPr>
              <w:t>Appropriate result</w:t>
            </w:r>
          </w:p>
        </w:tc>
      </w:tr>
      <w:tr>
        <w:trPr>
          <w:cantSplit/>
        </w:trPr>
        <w:tc>
          <w:tcPr>
            <w:tcW w:type="dxa" w:w="3024"/>
            <w:vAlign w:val="center"/>
            <w:tcMar>
              <w:top w:w="75" w:type="dxa"/>
              <w:bottom w:w="75" w:type="dxa"/>
              <w:left w:w="85" w:type="dxa"/>
              <w:right w:w="85" w:type="dxa"/>
            </w:tcMar>
            <w:shd w:fill="FFFFFF"/>
          </w:tcPr>
          <w:p>
            <w:pPr>
              <w:keepNext/>
              <w:spacing w:after="0" w:line="252" w:lineRule="auto"/>
            </w:pPr>
            <w:r>
              <w:rPr>
                <w:sz w:val="19"/>
              </w:rPr>
              <w:t>What does alarm 700301 mean for this machine model and software revision?</w:t>
            </w:r>
          </w:p>
        </w:tc>
        <w:tc>
          <w:tcPr>
            <w:tcW w:type="dxa" w:w="3326"/>
            <w:vAlign w:val="center"/>
            <w:tcMar>
              <w:top w:w="75" w:type="dxa"/>
              <w:bottom w:w="75" w:type="dxa"/>
              <w:left w:w="85" w:type="dxa"/>
              <w:right w:w="85" w:type="dxa"/>
            </w:tcMar>
            <w:shd w:fill="FFFFFF"/>
          </w:tcPr>
          <w:p>
            <w:pPr>
              <w:keepNext/>
              <w:spacing w:after="0" w:line="252" w:lineRule="auto"/>
            </w:pPr>
            <w:r>
              <w:rPr>
                <w:sz w:val="19"/>
              </w:rPr>
              <w:t>Applicable alarm manual and equipment identity</w:t>
            </w:r>
          </w:p>
        </w:tc>
        <w:tc>
          <w:tcPr>
            <w:tcW w:type="dxa" w:w="2966"/>
            <w:vAlign w:val="center"/>
            <w:tcMar>
              <w:top w:w="75" w:type="dxa"/>
              <w:bottom w:w="75" w:type="dxa"/>
              <w:left w:w="85" w:type="dxa"/>
              <w:right w:w="85" w:type="dxa"/>
            </w:tcMar>
            <w:shd w:fill="FFFFFF"/>
          </w:tcPr>
          <w:p>
            <w:pPr>
              <w:keepNext/>
              <w:spacing w:after="0" w:line="252" w:lineRule="auto"/>
            </w:pPr>
            <w:r>
              <w:rPr>
                <w:sz w:val="19"/>
              </w:rPr>
              <w:t>Cited explanation and approved next checks</w:t>
            </w:r>
          </w:p>
        </w:tc>
      </w:tr>
      <w:tr>
        <w:trPr>
          <w:cantSplit/>
        </w:trPr>
        <w:tc>
          <w:tcPr>
            <w:tcW w:type="dxa" w:w="3024"/>
            <w:vAlign w:val="center"/>
            <w:tcMar>
              <w:top w:w="75" w:type="dxa"/>
              <w:bottom w:w="75" w:type="dxa"/>
              <w:left w:w="85" w:type="dxa"/>
              <w:right w:w="85" w:type="dxa"/>
            </w:tcMar>
            <w:shd w:fill="F3F4F5"/>
          </w:tcPr>
          <w:p>
            <w:pPr>
              <w:spacing w:after="0" w:line="252" w:lineRule="auto"/>
            </w:pPr>
            <w:r>
              <w:rPr>
                <w:sz w:val="19"/>
              </w:rPr>
              <w:t>Which warm-up procedure applies to this spindle?</w:t>
            </w:r>
          </w:p>
        </w:tc>
        <w:tc>
          <w:tcPr>
            <w:tcW w:type="dxa" w:w="3326"/>
            <w:vAlign w:val="center"/>
            <w:tcMar>
              <w:top w:w="75" w:type="dxa"/>
              <w:bottom w:w="75" w:type="dxa"/>
              <w:left w:w="85" w:type="dxa"/>
              <w:right w:w="85" w:type="dxa"/>
            </w:tcMar>
            <w:shd w:fill="F3F4F5"/>
          </w:tcPr>
          <w:p>
            <w:pPr>
              <w:spacing w:after="0" w:line="252" w:lineRule="auto"/>
            </w:pPr>
            <w:r>
              <w:rPr>
                <w:sz w:val="19"/>
              </w:rPr>
              <w:t>Serial applicability and current procedure</w:t>
            </w:r>
          </w:p>
        </w:tc>
        <w:tc>
          <w:tcPr>
            <w:tcW w:type="dxa" w:w="2966"/>
            <w:vAlign w:val="center"/>
            <w:tcMar>
              <w:top w:w="75" w:type="dxa"/>
              <w:bottom w:w="75" w:type="dxa"/>
              <w:left w:w="85" w:type="dxa"/>
              <w:right w:w="85" w:type="dxa"/>
            </w:tcMar>
            <w:shd w:fill="F3F4F5"/>
          </w:tcPr>
          <w:p>
            <w:pPr>
              <w:spacing w:after="0" w:line="252" w:lineRule="auto"/>
            </w:pPr>
            <w:r>
              <w:rPr>
                <w:sz w:val="19"/>
              </w:rPr>
              <w:t>Correct procedure or a clarification request</w:t>
            </w:r>
          </w:p>
        </w:tc>
      </w:tr>
      <w:tr>
        <w:trPr>
          <w:cantSplit/>
        </w:trPr>
        <w:tc>
          <w:tcPr>
            <w:tcW w:type="dxa" w:w="3024"/>
            <w:vAlign w:val="center"/>
            <w:tcMar>
              <w:top w:w="75" w:type="dxa"/>
              <w:bottom w:w="75" w:type="dxa"/>
              <w:left w:w="85" w:type="dxa"/>
              <w:right w:w="85" w:type="dxa"/>
            </w:tcMar>
            <w:shd w:fill="FFFFFF"/>
          </w:tcPr>
          <w:p>
            <w:pPr>
              <w:spacing w:after="0" w:line="252" w:lineRule="auto"/>
            </w:pPr>
            <w:r>
              <w:rPr>
                <w:sz w:val="19"/>
              </w:rPr>
              <w:t>Explain this maintenance instruction in plain English</w:t>
            </w:r>
          </w:p>
        </w:tc>
        <w:tc>
          <w:tcPr>
            <w:tcW w:type="dxa" w:w="3326"/>
            <w:vAlign w:val="center"/>
            <w:tcMar>
              <w:top w:w="75" w:type="dxa"/>
              <w:bottom w:w="75" w:type="dxa"/>
              <w:left w:w="85" w:type="dxa"/>
              <w:right w:w="85" w:type="dxa"/>
            </w:tcMar>
            <w:shd w:fill="FFFFFF"/>
          </w:tcPr>
          <w:p>
            <w:pPr>
              <w:spacing w:after="0" w:line="252" w:lineRule="auto"/>
            </w:pPr>
            <w:r>
              <w:rPr>
                <w:sz w:val="19"/>
              </w:rPr>
              <w:t>Approved source and language model</w:t>
            </w:r>
          </w:p>
        </w:tc>
        <w:tc>
          <w:tcPr>
            <w:tcW w:type="dxa" w:w="2966"/>
            <w:vAlign w:val="center"/>
            <w:tcMar>
              <w:top w:w="75" w:type="dxa"/>
              <w:bottom w:w="75" w:type="dxa"/>
              <w:left w:w="85" w:type="dxa"/>
              <w:right w:w="85" w:type="dxa"/>
            </w:tcMar>
            <w:shd w:fill="FFFFFF"/>
          </w:tcPr>
          <w:p>
            <w:pPr>
              <w:spacing w:after="0" w:line="252" w:lineRule="auto"/>
            </w:pPr>
            <w:r>
              <w:rPr>
                <w:sz w:val="19"/>
              </w:rPr>
              <w:t>Faithful explanation with source location</w:t>
            </w:r>
          </w:p>
        </w:tc>
      </w:tr>
      <w:tr>
        <w:trPr>
          <w:cantSplit/>
        </w:trPr>
        <w:tc>
          <w:tcPr>
            <w:tcW w:type="dxa" w:w="3024"/>
            <w:vAlign w:val="center"/>
            <w:tcMar>
              <w:top w:w="75" w:type="dxa"/>
              <w:bottom w:w="75" w:type="dxa"/>
              <w:left w:w="85" w:type="dxa"/>
              <w:right w:w="85" w:type="dxa"/>
            </w:tcMar>
            <w:shd w:fill="F3F4F5"/>
          </w:tcPr>
          <w:p>
            <w:pPr>
              <w:spacing w:after="0" w:line="252" w:lineRule="auto"/>
            </w:pPr>
            <w:r>
              <w:rPr>
                <w:sz w:val="19"/>
              </w:rPr>
              <w:t>Compare accepted output across the last three shifts</w:t>
            </w:r>
          </w:p>
        </w:tc>
        <w:tc>
          <w:tcPr>
            <w:tcW w:type="dxa" w:w="3326"/>
            <w:vAlign w:val="center"/>
            <w:tcMar>
              <w:top w:w="75" w:type="dxa"/>
              <w:bottom w:w="75" w:type="dxa"/>
              <w:left w:w="85" w:type="dxa"/>
              <w:right w:w="85" w:type="dxa"/>
            </w:tcMar>
            <w:shd w:fill="F3F4F5"/>
          </w:tcPr>
          <w:p>
            <w:pPr>
              <w:spacing w:after="0" w:line="252" w:lineRule="auto"/>
            </w:pPr>
            <w:r>
              <w:rPr>
                <w:sz w:val="19"/>
              </w:rPr>
              <w:t>Production and quality records plus calculator</w:t>
            </w:r>
          </w:p>
        </w:tc>
        <w:tc>
          <w:tcPr>
            <w:tcW w:type="dxa" w:w="2966"/>
            <w:vAlign w:val="center"/>
            <w:tcMar>
              <w:top w:w="75" w:type="dxa"/>
              <w:bottom w:w="75" w:type="dxa"/>
              <w:left w:w="85" w:type="dxa"/>
              <w:right w:w="85" w:type="dxa"/>
            </w:tcMar>
            <w:shd w:fill="F3F4F5"/>
          </w:tcPr>
          <w:p>
            <w:pPr>
              <w:spacing w:after="0" w:line="252" w:lineRule="auto"/>
            </w:pPr>
            <w:r>
              <w:rPr>
                <w:sz w:val="19"/>
              </w:rPr>
              <w:t>Reproducible comparison with metric definitions</w:t>
            </w:r>
          </w:p>
        </w:tc>
      </w:tr>
      <w:tr>
        <w:trPr>
          <w:cantSplit/>
        </w:trPr>
        <w:tc>
          <w:tcPr>
            <w:tcW w:type="dxa" w:w="3024"/>
            <w:vAlign w:val="center"/>
            <w:tcMar>
              <w:top w:w="75" w:type="dxa"/>
              <w:bottom w:w="75" w:type="dxa"/>
              <w:left w:w="85" w:type="dxa"/>
              <w:right w:w="85" w:type="dxa"/>
            </w:tcMar>
            <w:shd w:fill="FFFFFF"/>
          </w:tcPr>
          <w:p>
            <w:pPr>
              <w:spacing w:after="0" w:line="252" w:lineRule="auto"/>
            </w:pPr>
            <w:r>
              <w:rPr>
                <w:sz w:val="19"/>
              </w:rPr>
              <w:t>Why did output decrease on the milling cell yesterday?</w:t>
            </w:r>
          </w:p>
        </w:tc>
        <w:tc>
          <w:tcPr>
            <w:tcW w:type="dxa" w:w="3326"/>
            <w:vAlign w:val="center"/>
            <w:tcMar>
              <w:top w:w="75" w:type="dxa"/>
              <w:bottom w:w="75" w:type="dxa"/>
              <w:left w:w="85" w:type="dxa"/>
              <w:right w:w="85" w:type="dxa"/>
            </w:tcMar>
            <w:shd w:fill="FFFFFF"/>
          </w:tcPr>
          <w:p>
            <w:pPr>
              <w:spacing w:after="0" w:line="252" w:lineRule="auto"/>
            </w:pPr>
            <w:r>
              <w:rPr>
                <w:sz w:val="19"/>
              </w:rPr>
              <w:t>Events, product mix, runtime, quality, and maintenance</w:t>
            </w:r>
          </w:p>
        </w:tc>
        <w:tc>
          <w:tcPr>
            <w:tcW w:type="dxa" w:w="2966"/>
            <w:vAlign w:val="center"/>
            <w:tcMar>
              <w:top w:w="75" w:type="dxa"/>
              <w:bottom w:w="75" w:type="dxa"/>
              <w:left w:w="85" w:type="dxa"/>
              <w:right w:w="85" w:type="dxa"/>
            </w:tcMar>
            <w:shd w:fill="FFFFFF"/>
          </w:tcPr>
          <w:p>
            <w:pPr>
              <w:spacing w:after="0" w:line="252" w:lineRule="auto"/>
            </w:pPr>
            <w:r>
              <w:rPr>
                <w:sz w:val="19"/>
              </w:rPr>
              <w:t>Evidence-backed hypotheses and unresolved checks</w:t>
            </w:r>
          </w:p>
        </w:tc>
      </w:tr>
      <w:tr>
        <w:trPr>
          <w:cantSplit/>
        </w:trPr>
        <w:tc>
          <w:tcPr>
            <w:tcW w:type="dxa" w:w="3024"/>
            <w:vAlign w:val="center"/>
            <w:tcMar>
              <w:top w:w="75" w:type="dxa"/>
              <w:bottom w:w="75" w:type="dxa"/>
              <w:left w:w="85" w:type="dxa"/>
              <w:right w:w="85" w:type="dxa"/>
            </w:tcMar>
            <w:shd w:fill="F3F4F5"/>
          </w:tcPr>
          <w:p>
            <w:pPr>
              <w:spacing w:after="0" w:line="252" w:lineRule="auto"/>
            </w:pPr>
            <w:r>
              <w:rPr>
                <w:sz w:val="19"/>
              </w:rPr>
              <w:t>Which tool changes are associated with rising scrap?</w:t>
            </w:r>
          </w:p>
        </w:tc>
        <w:tc>
          <w:tcPr>
            <w:tcW w:type="dxa" w:w="3326"/>
            <w:vAlign w:val="center"/>
            <w:tcMar>
              <w:top w:w="75" w:type="dxa"/>
              <w:bottom w:w="75" w:type="dxa"/>
              <w:left w:w="85" w:type="dxa"/>
              <w:right w:w="85" w:type="dxa"/>
            </w:tcMar>
            <w:shd w:fill="F3F4F5"/>
          </w:tcPr>
          <w:p>
            <w:pPr>
              <w:spacing w:after="0" w:line="252" w:lineRule="auto"/>
            </w:pPr>
            <w:r>
              <w:rPr>
                <w:sz w:val="19"/>
              </w:rPr>
              <w:t>Tool history, inspection data, and statistical analysis</w:t>
            </w:r>
          </w:p>
        </w:tc>
        <w:tc>
          <w:tcPr>
            <w:tcW w:type="dxa" w:w="2966"/>
            <w:vAlign w:val="center"/>
            <w:tcMar>
              <w:top w:w="75" w:type="dxa"/>
              <w:bottom w:w="75" w:type="dxa"/>
              <w:left w:w="85" w:type="dxa"/>
              <w:right w:w="85" w:type="dxa"/>
            </w:tcMar>
            <w:shd w:fill="F3F4F5"/>
          </w:tcPr>
          <w:p>
            <w:pPr>
              <w:spacing w:after="0" w:line="252" w:lineRule="auto"/>
            </w:pPr>
            <w:r>
              <w:rPr>
                <w:sz w:val="19"/>
              </w:rPr>
              <w:t>Association analysis with causal limitations</w:t>
            </w:r>
          </w:p>
        </w:tc>
      </w:tr>
      <w:tr>
        <w:trPr>
          <w:cantSplit/>
        </w:trPr>
        <w:tc>
          <w:tcPr>
            <w:tcW w:type="dxa" w:w="3024"/>
            <w:vAlign w:val="center"/>
            <w:tcMar>
              <w:top w:w="75" w:type="dxa"/>
              <w:bottom w:w="75" w:type="dxa"/>
              <w:left w:w="85" w:type="dxa"/>
              <w:right w:w="85" w:type="dxa"/>
            </w:tcMar>
            <w:shd w:fill="FFFFFF"/>
          </w:tcPr>
          <w:p>
            <w:pPr>
              <w:spacing w:after="0" w:line="252" w:lineRule="auto"/>
            </w:pPr>
            <w:r>
              <w:rPr>
                <w:sz w:val="19"/>
              </w:rPr>
              <w:t>Is this vibration pattern unusual for the current operating condition?</w:t>
            </w:r>
          </w:p>
        </w:tc>
        <w:tc>
          <w:tcPr>
            <w:tcW w:type="dxa" w:w="3326"/>
            <w:vAlign w:val="center"/>
            <w:tcMar>
              <w:top w:w="75" w:type="dxa"/>
              <w:bottom w:w="75" w:type="dxa"/>
              <w:left w:w="85" w:type="dxa"/>
              <w:right w:w="85" w:type="dxa"/>
            </w:tcMar>
            <w:shd w:fill="FFFFFF"/>
          </w:tcPr>
          <w:p>
            <w:pPr>
              <w:spacing w:after="0" w:line="252" w:lineRule="auto"/>
            </w:pPr>
            <w:r>
              <w:rPr>
                <w:sz w:val="19"/>
              </w:rPr>
              <w:t>Sensor history and a validated analytical model</w:t>
            </w:r>
          </w:p>
        </w:tc>
        <w:tc>
          <w:tcPr>
            <w:tcW w:type="dxa" w:w="2966"/>
            <w:vAlign w:val="center"/>
            <w:tcMar>
              <w:top w:w="75" w:type="dxa"/>
              <w:bottom w:w="75" w:type="dxa"/>
              <w:left w:w="85" w:type="dxa"/>
              <w:right w:w="85" w:type="dxa"/>
            </w:tcMar>
            <w:shd w:fill="FFFFFF"/>
          </w:tcPr>
          <w:p>
            <w:pPr>
              <w:spacing w:after="0" w:line="252" w:lineRule="auto"/>
            </w:pPr>
            <w:r>
              <w:rPr>
                <w:sz w:val="19"/>
              </w:rPr>
              <w:t>Anomaly assessment and uncertainty</w:t>
            </w:r>
          </w:p>
        </w:tc>
      </w:tr>
      <w:tr>
        <w:trPr>
          <w:cantSplit/>
        </w:trPr>
        <w:tc>
          <w:tcPr>
            <w:tcW w:type="dxa" w:w="3024"/>
            <w:vAlign w:val="center"/>
            <w:tcMar>
              <w:top w:w="75" w:type="dxa"/>
              <w:bottom w:w="75" w:type="dxa"/>
              <w:left w:w="85" w:type="dxa"/>
              <w:right w:w="85" w:type="dxa"/>
            </w:tcMar>
            <w:shd w:fill="F3F4F5"/>
          </w:tcPr>
          <w:p>
            <w:pPr>
              <w:spacing w:after="0" w:line="252" w:lineRule="auto"/>
            </w:pPr>
            <w:r>
              <w:rPr>
                <w:sz w:val="19"/>
              </w:rPr>
              <w:t>Which lots may be affected by the same supplier component?</w:t>
            </w:r>
          </w:p>
        </w:tc>
        <w:tc>
          <w:tcPr>
            <w:tcW w:type="dxa" w:w="3326"/>
            <w:vAlign w:val="center"/>
            <w:tcMar>
              <w:top w:w="75" w:type="dxa"/>
              <w:bottom w:w="75" w:type="dxa"/>
              <w:left w:w="85" w:type="dxa"/>
              <w:right w:w="85" w:type="dxa"/>
            </w:tcMar>
            <w:shd w:fill="F3F4F5"/>
          </w:tcPr>
          <w:p>
            <w:pPr>
              <w:spacing w:after="0" w:line="252" w:lineRule="auto"/>
            </w:pPr>
            <w:r>
              <w:rPr>
                <w:sz w:val="19"/>
              </w:rPr>
              <w:t>Genealogy, receipts, assembly, and quality records</w:t>
            </w:r>
          </w:p>
        </w:tc>
        <w:tc>
          <w:tcPr>
            <w:tcW w:type="dxa" w:w="2966"/>
            <w:vAlign w:val="center"/>
            <w:tcMar>
              <w:top w:w="75" w:type="dxa"/>
              <w:bottom w:w="75" w:type="dxa"/>
              <w:left w:w="85" w:type="dxa"/>
              <w:right w:w="85" w:type="dxa"/>
            </w:tcMar>
            <w:shd w:fill="F3F4F5"/>
          </w:tcPr>
          <w:p>
            <w:pPr>
              <w:spacing w:after="0" w:line="252" w:lineRule="auto"/>
            </w:pPr>
            <w:r>
              <w:rPr>
                <w:sz w:val="19"/>
              </w:rPr>
              <w:t>Traceable affected-lot list</w:t>
            </w:r>
          </w:p>
        </w:tc>
      </w:tr>
      <w:tr>
        <w:trPr>
          <w:cantSplit/>
        </w:trPr>
        <w:tc>
          <w:tcPr>
            <w:tcW w:type="dxa" w:w="3024"/>
            <w:vAlign w:val="center"/>
            <w:tcMar>
              <w:top w:w="75" w:type="dxa"/>
              <w:bottom w:w="75" w:type="dxa"/>
              <w:left w:w="85" w:type="dxa"/>
              <w:right w:w="85" w:type="dxa"/>
            </w:tcMar>
            <w:shd w:fill="FFFFFF"/>
          </w:tcPr>
          <w:p>
            <w:pPr>
              <w:spacing w:after="0" w:line="252" w:lineRule="auto"/>
            </w:pPr>
            <w:r>
              <w:rPr>
                <w:sz w:val="19"/>
              </w:rPr>
              <w:t>Are all acceptance tests complete for this finished CNC machine?</w:t>
            </w:r>
          </w:p>
        </w:tc>
        <w:tc>
          <w:tcPr>
            <w:tcW w:type="dxa" w:w="3326"/>
            <w:vAlign w:val="center"/>
            <w:tcMar>
              <w:top w:w="75" w:type="dxa"/>
              <w:bottom w:w="75" w:type="dxa"/>
              <w:left w:w="85" w:type="dxa"/>
              <w:right w:w="85" w:type="dxa"/>
            </w:tcMar>
            <w:shd w:fill="FFFFFF"/>
          </w:tcPr>
          <w:p>
            <w:pPr>
              <w:spacing w:after="0" w:line="252" w:lineRule="auto"/>
            </w:pPr>
            <w:r>
              <w:rPr>
                <w:sz w:val="19"/>
              </w:rPr>
              <w:t>Product serial number and approved test plan</w:t>
            </w:r>
          </w:p>
        </w:tc>
        <w:tc>
          <w:tcPr>
            <w:tcW w:type="dxa" w:w="2966"/>
            <w:vAlign w:val="center"/>
            <w:tcMar>
              <w:top w:w="75" w:type="dxa"/>
              <w:bottom w:w="75" w:type="dxa"/>
              <w:left w:w="85" w:type="dxa"/>
              <w:right w:w="85" w:type="dxa"/>
            </w:tcMar>
            <w:shd w:fill="FFFFFF"/>
          </w:tcPr>
          <w:p>
            <w:pPr>
              <w:spacing w:after="0" w:line="252" w:lineRule="auto"/>
            </w:pPr>
            <w:r>
              <w:rPr>
                <w:sz w:val="19"/>
              </w:rPr>
              <w:t>Missing or failed evidence, without automatic release</w:t>
            </w:r>
          </w:p>
        </w:tc>
      </w:tr>
      <w:tr>
        <w:trPr>
          <w:cantSplit/>
        </w:trPr>
        <w:tc>
          <w:tcPr>
            <w:tcW w:type="dxa" w:w="3024"/>
            <w:vAlign w:val="center"/>
            <w:tcMar>
              <w:top w:w="75" w:type="dxa"/>
              <w:bottom w:w="75" w:type="dxa"/>
              <w:left w:w="85" w:type="dxa"/>
              <w:right w:w="85" w:type="dxa"/>
            </w:tcMar>
            <w:shd w:fill="F3F4F5"/>
          </w:tcPr>
          <w:p>
            <w:pPr>
              <w:spacing w:after="0" w:line="252" w:lineRule="auto"/>
            </w:pPr>
            <w:r>
              <w:rPr>
                <w:sz w:val="19"/>
              </w:rPr>
              <w:t>What is the energy used per accepted part this week?</w:t>
            </w:r>
          </w:p>
        </w:tc>
        <w:tc>
          <w:tcPr>
            <w:tcW w:type="dxa" w:w="3326"/>
            <w:vAlign w:val="center"/>
            <w:tcMar>
              <w:top w:w="75" w:type="dxa"/>
              <w:bottom w:w="75" w:type="dxa"/>
              <w:left w:w="85" w:type="dxa"/>
              <w:right w:w="85" w:type="dxa"/>
            </w:tcMar>
            <w:shd w:fill="F3F4F5"/>
          </w:tcPr>
          <w:p>
            <w:pPr>
              <w:spacing w:after="0" w:line="252" w:lineRule="auto"/>
            </w:pPr>
            <w:r>
              <w:rPr>
                <w:sz w:val="19"/>
              </w:rPr>
              <w:t>Metering, allocation rules, production, and quality</w:t>
            </w:r>
          </w:p>
        </w:tc>
        <w:tc>
          <w:tcPr>
            <w:tcW w:type="dxa" w:w="2966"/>
            <w:vAlign w:val="center"/>
            <w:tcMar>
              <w:top w:w="75" w:type="dxa"/>
              <w:bottom w:w="75" w:type="dxa"/>
              <w:left w:w="85" w:type="dxa"/>
              <w:right w:w="85" w:type="dxa"/>
            </w:tcMar>
            <w:shd w:fill="F3F4F5"/>
          </w:tcPr>
          <w:p>
            <w:pPr>
              <w:spacing w:after="0" w:line="252" w:lineRule="auto"/>
            </w:pPr>
            <w:r>
              <w:rPr>
                <w:sz w:val="19"/>
              </w:rPr>
              <w:t>Calculation with units and allocation assumptions</w:t>
            </w:r>
          </w:p>
        </w:tc>
      </w:tr>
      <w:tr>
        <w:trPr>
          <w:cantSplit/>
        </w:trPr>
        <w:tc>
          <w:tcPr>
            <w:tcW w:type="dxa" w:w="3024"/>
            <w:vAlign w:val="center"/>
            <w:tcMar>
              <w:top w:w="75" w:type="dxa"/>
              <w:bottom w:w="75" w:type="dxa"/>
              <w:left w:w="85" w:type="dxa"/>
              <w:right w:w="85" w:type="dxa"/>
            </w:tcMar>
            <w:shd w:fill="FFFFFF"/>
          </w:tcPr>
          <w:p>
            <w:pPr>
              <w:spacing w:after="0" w:line="252" w:lineRule="auto"/>
            </w:pPr>
            <w:r>
              <w:rPr>
                <w:sz w:val="19"/>
              </w:rPr>
              <w:t>Which orders are at risk because a purchased spindle is late?</w:t>
            </w:r>
          </w:p>
        </w:tc>
        <w:tc>
          <w:tcPr>
            <w:tcW w:type="dxa" w:w="3326"/>
            <w:vAlign w:val="center"/>
            <w:tcMar>
              <w:top w:w="75" w:type="dxa"/>
              <w:bottom w:w="75" w:type="dxa"/>
              <w:left w:w="85" w:type="dxa"/>
              <w:right w:w="85" w:type="dxa"/>
            </w:tcMar>
            <w:shd w:fill="FFFFFF"/>
          </w:tcPr>
          <w:p>
            <w:pPr>
              <w:spacing w:after="0" w:line="252" w:lineRule="auto"/>
            </w:pPr>
            <w:r>
              <w:rPr>
                <w:sz w:val="19"/>
              </w:rPr>
              <w:t>BOM, procurement, routing, and schedule</w:t>
            </w:r>
          </w:p>
        </w:tc>
        <w:tc>
          <w:tcPr>
            <w:tcW w:type="dxa" w:w="2966"/>
            <w:vAlign w:val="center"/>
            <w:tcMar>
              <w:top w:w="75" w:type="dxa"/>
              <w:bottom w:w="75" w:type="dxa"/>
              <w:left w:w="85" w:type="dxa"/>
              <w:right w:w="85" w:type="dxa"/>
            </w:tcMar>
            <w:shd w:fill="FFFFFF"/>
          </w:tcPr>
          <w:p>
            <w:pPr>
              <w:spacing w:after="0" w:line="252" w:lineRule="auto"/>
            </w:pPr>
            <w:r>
              <w:rPr>
                <w:sz w:val="19"/>
              </w:rPr>
              <w:t>Dependency and delivery-risk analysis</w:t>
            </w:r>
          </w:p>
        </w:tc>
      </w:tr>
      <w:tr>
        <w:trPr>
          <w:cantSplit/>
        </w:trPr>
        <w:tc>
          <w:tcPr>
            <w:tcW w:type="dxa" w:w="3024"/>
            <w:vAlign w:val="center"/>
            <w:tcMar>
              <w:top w:w="75" w:type="dxa"/>
              <w:bottom w:w="75" w:type="dxa"/>
              <w:left w:w="85" w:type="dxa"/>
              <w:right w:w="85" w:type="dxa"/>
            </w:tcMar>
            <w:shd w:fill="F3F4F5"/>
          </w:tcPr>
          <w:p>
            <w:pPr>
              <w:spacing w:after="0" w:line="252" w:lineRule="auto"/>
            </w:pPr>
            <w:r>
              <w:rPr>
                <w:sz w:val="19"/>
              </w:rPr>
              <w:t>What evidence contradicts the proposed bearing-failure explanation?</w:t>
            </w:r>
          </w:p>
        </w:tc>
        <w:tc>
          <w:tcPr>
            <w:tcW w:type="dxa" w:w="3326"/>
            <w:vAlign w:val="center"/>
            <w:tcMar>
              <w:top w:w="75" w:type="dxa"/>
              <w:bottom w:w="75" w:type="dxa"/>
              <w:left w:w="85" w:type="dxa"/>
              <w:right w:w="85" w:type="dxa"/>
            </w:tcMar>
            <w:shd w:fill="F3F4F5"/>
          </w:tcPr>
          <w:p>
            <w:pPr>
              <w:spacing w:after="0" w:line="252" w:lineRule="auto"/>
            </w:pPr>
            <w:r>
              <w:rPr>
                <w:sz w:val="19"/>
              </w:rPr>
              <w:t>RCA evidence set and alternative hypotheses</w:t>
            </w:r>
          </w:p>
        </w:tc>
        <w:tc>
          <w:tcPr>
            <w:tcW w:type="dxa" w:w="2966"/>
            <w:vAlign w:val="center"/>
            <w:tcMar>
              <w:top w:w="75" w:type="dxa"/>
              <w:bottom w:w="75" w:type="dxa"/>
              <w:left w:w="85" w:type="dxa"/>
              <w:right w:w="85" w:type="dxa"/>
            </w:tcMar>
            <w:shd w:fill="F3F4F5"/>
          </w:tcPr>
          <w:p>
            <w:pPr>
              <w:spacing w:after="0" w:line="252" w:lineRule="auto"/>
            </w:pPr>
            <w:r>
              <w:rPr>
                <w:sz w:val="19"/>
              </w:rPr>
              <w:t>Specific contradictions and additional checks</w:t>
            </w:r>
          </w:p>
        </w:tc>
      </w:tr>
    </w:tbl>
    <w:p>
      <w:pPr>
        <w:spacing w:after="20"/>
      </w:pPr>
    </w:p>
    <w:p>
      <w:pPr>
        <w:pStyle w:val="Caption"/>
      </w:pPr>
      <w:r>
        <w:t>Table 9 Representative Requests for Drafting and Operational Support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326"/>
        <w:gridCol w:w="2966"/>
      </w:tblGrid>
      <w:tr>
        <w:trPr>
          <w:cantSplit/>
          <w:tblHeader/>
        </w:trPr>
        <w:tc>
          <w:tcPr>
            <w:tcW w:type="dxa" w:w="3024"/>
            <w:vAlign w:val="center"/>
            <w:tcMar>
              <w:top w:w="75" w:type="dxa"/>
              <w:bottom w:w="75" w:type="dxa"/>
              <w:left w:w="85" w:type="dxa"/>
              <w:right w:w="85" w:type="dxa"/>
            </w:tcMar>
            <w:shd w:fill="394047"/>
          </w:tcPr>
          <w:p>
            <w:pPr>
              <w:keepNext/>
              <w:spacing w:after="0" w:line="252" w:lineRule="auto"/>
            </w:pPr>
            <w:r>
              <w:rPr>
                <w:b/>
                <w:color w:val="FFFFFF"/>
                <w:sz w:val="19"/>
              </w:rPr>
              <w:t>Example request</w:t>
            </w:r>
          </w:p>
        </w:tc>
        <w:tc>
          <w:tcPr>
            <w:tcW w:type="dxa" w:w="3326"/>
            <w:vAlign w:val="center"/>
            <w:tcMar>
              <w:top w:w="75" w:type="dxa"/>
              <w:bottom w:w="75" w:type="dxa"/>
              <w:left w:w="85" w:type="dxa"/>
              <w:right w:w="85" w:type="dxa"/>
            </w:tcMar>
            <w:shd w:fill="394047"/>
          </w:tcPr>
          <w:p>
            <w:pPr>
              <w:keepNext/>
              <w:spacing w:after="0" w:line="252" w:lineRule="auto"/>
            </w:pPr>
            <w:r>
              <w:rPr>
                <w:b/>
                <w:color w:val="FFFFFF"/>
                <w:sz w:val="19"/>
              </w:rPr>
              <w:t>How the agent should proceed</w:t>
            </w:r>
          </w:p>
        </w:tc>
        <w:tc>
          <w:tcPr>
            <w:tcW w:type="dxa" w:w="2966"/>
            <w:vAlign w:val="center"/>
            <w:tcMar>
              <w:top w:w="75" w:type="dxa"/>
              <w:bottom w:w="75" w:type="dxa"/>
              <w:left w:w="85" w:type="dxa"/>
              <w:right w:w="85" w:type="dxa"/>
            </w:tcMar>
            <w:shd w:fill="394047"/>
          </w:tcPr>
          <w:p>
            <w:pPr>
              <w:keepNext/>
              <w:spacing w:after="0" w:line="252" w:lineRule="auto"/>
            </w:pPr>
            <w:r>
              <w:rPr>
                <w:b/>
                <w:color w:val="FFFFFF"/>
                <w:sz w:val="19"/>
              </w:rPr>
              <w:t>Required boundary</w:t>
            </w:r>
          </w:p>
        </w:tc>
      </w:tr>
      <w:tr>
        <w:trPr>
          <w:cantSplit/>
        </w:trPr>
        <w:tc>
          <w:tcPr>
            <w:tcW w:type="dxa" w:w="3024"/>
            <w:vAlign w:val="center"/>
            <w:tcMar>
              <w:top w:w="75" w:type="dxa"/>
              <w:bottom w:w="75" w:type="dxa"/>
              <w:left w:w="85" w:type="dxa"/>
              <w:right w:w="85" w:type="dxa"/>
            </w:tcMar>
            <w:shd w:fill="FFFFFF"/>
          </w:tcPr>
          <w:p>
            <w:pPr>
              <w:keepNext/>
              <w:spacing w:after="0" w:line="252" w:lineRule="auto"/>
            </w:pPr>
            <w:r>
              <w:rPr>
                <w:sz w:val="19"/>
              </w:rPr>
              <w:t>Draft a maintenance work order for the verified coolant issue</w:t>
            </w:r>
          </w:p>
        </w:tc>
        <w:tc>
          <w:tcPr>
            <w:tcW w:type="dxa" w:w="3326"/>
            <w:vAlign w:val="center"/>
            <w:tcMar>
              <w:top w:w="75" w:type="dxa"/>
              <w:bottom w:w="75" w:type="dxa"/>
              <w:left w:w="85" w:type="dxa"/>
              <w:right w:w="85" w:type="dxa"/>
            </w:tcMar>
            <w:shd w:fill="FFFFFF"/>
          </w:tcPr>
          <w:p>
            <w:pPr>
              <w:keepNext/>
              <w:spacing w:after="0" w:line="252" w:lineRule="auto"/>
            </w:pPr>
            <w:r>
              <w:rPr>
                <w:sz w:val="19"/>
              </w:rPr>
              <w:t>Populate a structured draft from evidence</w:t>
            </w:r>
          </w:p>
        </w:tc>
        <w:tc>
          <w:tcPr>
            <w:tcW w:type="dxa" w:w="2966"/>
            <w:vAlign w:val="center"/>
            <w:tcMar>
              <w:top w:w="75" w:type="dxa"/>
              <w:bottom w:w="75" w:type="dxa"/>
              <w:left w:w="85" w:type="dxa"/>
              <w:right w:w="85" w:type="dxa"/>
            </w:tcMar>
            <w:shd w:fill="FFFFFF"/>
          </w:tcPr>
          <w:p>
            <w:pPr>
              <w:keepNext/>
              <w:spacing w:after="0" w:line="252" w:lineRule="auto"/>
            </w:pPr>
            <w:r>
              <w:rPr>
                <w:sz w:val="19"/>
              </w:rPr>
              <w:t>Authorized approval before creation where required</w:t>
            </w:r>
          </w:p>
        </w:tc>
      </w:tr>
      <w:tr>
        <w:trPr>
          <w:cantSplit/>
        </w:trPr>
        <w:tc>
          <w:tcPr>
            <w:tcW w:type="dxa" w:w="3024"/>
            <w:vAlign w:val="center"/>
            <w:tcMar>
              <w:top w:w="75" w:type="dxa"/>
              <w:bottom w:w="75" w:type="dxa"/>
              <w:left w:w="85" w:type="dxa"/>
              <w:right w:w="85" w:type="dxa"/>
            </w:tcMar>
            <w:shd w:fill="F3F4F5"/>
          </w:tcPr>
          <w:p>
            <w:pPr>
              <w:spacing w:after="0" w:line="252" w:lineRule="auto"/>
            </w:pPr>
            <w:r>
              <w:rPr>
                <w:sz w:val="19"/>
              </w:rPr>
              <w:t>Summarize this daily report and propose database records</w:t>
            </w:r>
          </w:p>
        </w:tc>
        <w:tc>
          <w:tcPr>
            <w:tcW w:type="dxa" w:w="3326"/>
            <w:vAlign w:val="center"/>
            <w:tcMar>
              <w:top w:w="75" w:type="dxa"/>
              <w:bottom w:w="75" w:type="dxa"/>
              <w:left w:w="85" w:type="dxa"/>
              <w:right w:w="85" w:type="dxa"/>
            </w:tcMar>
            <w:shd w:fill="F3F4F5"/>
          </w:tcPr>
          <w:p>
            <w:pPr>
              <w:spacing w:after="0" w:line="252" w:lineRule="auto"/>
            </w:pPr>
            <w:r>
              <w:rPr>
                <w:sz w:val="19"/>
              </w:rPr>
              <w:t>Extract fields, validate units, detect duplicates, show proposed rows</w:t>
            </w:r>
          </w:p>
        </w:tc>
        <w:tc>
          <w:tcPr>
            <w:tcW w:type="dxa" w:w="2966"/>
            <w:vAlign w:val="center"/>
            <w:tcMar>
              <w:top w:w="75" w:type="dxa"/>
              <w:bottom w:w="75" w:type="dxa"/>
              <w:left w:w="85" w:type="dxa"/>
              <w:right w:w="85" w:type="dxa"/>
            </w:tcMar>
            <w:shd w:fill="F3F4F5"/>
          </w:tcPr>
          <w:p>
            <w:pPr>
              <w:spacing w:after="0" w:line="252" w:lineRule="auto"/>
            </w:pPr>
            <w:r>
              <w:rPr>
                <w:sz w:val="19"/>
              </w:rPr>
              <w:t>Approval and a governed write service</w:t>
            </w:r>
          </w:p>
        </w:tc>
      </w:tr>
      <w:tr>
        <w:trPr>
          <w:cantSplit/>
        </w:trPr>
        <w:tc>
          <w:tcPr>
            <w:tcW w:type="dxa" w:w="3024"/>
            <w:vAlign w:val="center"/>
            <w:tcMar>
              <w:top w:w="75" w:type="dxa"/>
              <w:bottom w:w="75" w:type="dxa"/>
              <w:left w:w="85" w:type="dxa"/>
              <w:right w:w="85" w:type="dxa"/>
            </w:tcMar>
            <w:shd w:fill="FFFFFF"/>
          </w:tcPr>
          <w:p>
            <w:pPr>
              <w:spacing w:after="0" w:line="252" w:lineRule="auto"/>
            </w:pPr>
            <w:r>
              <w:rPr>
                <w:sz w:val="19"/>
              </w:rPr>
              <w:t>Draft a process plan for this new machined housing</w:t>
            </w:r>
          </w:p>
        </w:tc>
        <w:tc>
          <w:tcPr>
            <w:tcW w:type="dxa" w:w="3326"/>
            <w:vAlign w:val="center"/>
            <w:tcMar>
              <w:top w:w="75" w:type="dxa"/>
              <w:bottom w:w="75" w:type="dxa"/>
              <w:left w:w="85" w:type="dxa"/>
              <w:right w:w="85" w:type="dxa"/>
            </w:tcMar>
            <w:shd w:fill="FFFFFF"/>
          </w:tcPr>
          <w:p>
            <w:pPr>
              <w:spacing w:after="0" w:line="252" w:lineRule="auto"/>
            </w:pPr>
            <w:r>
              <w:rPr>
                <w:sz w:val="19"/>
              </w:rPr>
              <w:t>Retrieve analogues, check features and resources, propose operations</w:t>
            </w:r>
          </w:p>
        </w:tc>
        <w:tc>
          <w:tcPr>
            <w:tcW w:type="dxa" w:w="2966"/>
            <w:vAlign w:val="center"/>
            <w:tcMar>
              <w:top w:w="75" w:type="dxa"/>
              <w:bottom w:w="75" w:type="dxa"/>
              <w:left w:w="85" w:type="dxa"/>
              <w:right w:w="85" w:type="dxa"/>
            </w:tcMar>
            <w:shd w:fill="FFFFFF"/>
          </w:tcPr>
          <w:p>
            <w:pPr>
              <w:spacing w:after="0" w:line="252" w:lineRule="auto"/>
            </w:pPr>
            <w:r>
              <w:rPr>
                <w:sz w:val="19"/>
              </w:rPr>
              <w:t>Manufacturing-engineer review and release</w:t>
            </w:r>
          </w:p>
        </w:tc>
      </w:tr>
      <w:tr>
        <w:trPr>
          <w:cantSplit/>
        </w:trPr>
        <w:tc>
          <w:tcPr>
            <w:tcW w:type="dxa" w:w="3024"/>
            <w:vAlign w:val="center"/>
            <w:tcMar>
              <w:top w:w="75" w:type="dxa"/>
              <w:bottom w:w="75" w:type="dxa"/>
              <w:left w:w="85" w:type="dxa"/>
              <w:right w:w="85" w:type="dxa"/>
            </w:tcMar>
            <w:shd w:fill="F3F4F5"/>
          </w:tcPr>
          <w:p>
            <w:pPr>
              <w:spacing w:after="0" w:line="252" w:lineRule="auto"/>
            </w:pPr>
            <w:r>
              <w:rPr>
                <w:sz w:val="19"/>
              </w:rPr>
              <w:t>Draft an assembly plan for this complete CNC machine</w:t>
            </w:r>
          </w:p>
        </w:tc>
        <w:tc>
          <w:tcPr>
            <w:tcW w:type="dxa" w:w="3326"/>
            <w:vAlign w:val="center"/>
            <w:tcMar>
              <w:top w:w="75" w:type="dxa"/>
              <w:bottom w:w="75" w:type="dxa"/>
              <w:left w:w="85" w:type="dxa"/>
              <w:right w:w="85" w:type="dxa"/>
            </w:tcMar>
            <w:shd w:fill="F3F4F5"/>
          </w:tcPr>
          <w:p>
            <w:pPr>
              <w:spacing w:after="0" w:line="252" w:lineRule="auto"/>
            </w:pPr>
            <w:r>
              <w:rPr>
                <w:sz w:val="19"/>
              </w:rPr>
              <w:t>Resolve BOM, subassemblies, dependencies, and test requirements</w:t>
            </w:r>
          </w:p>
        </w:tc>
        <w:tc>
          <w:tcPr>
            <w:tcW w:type="dxa" w:w="2966"/>
            <w:vAlign w:val="center"/>
            <w:tcMar>
              <w:top w:w="75" w:type="dxa"/>
              <w:bottom w:w="75" w:type="dxa"/>
              <w:left w:w="85" w:type="dxa"/>
              <w:right w:w="85" w:type="dxa"/>
            </w:tcMar>
            <w:shd w:fill="F3F4F5"/>
          </w:tcPr>
          <w:p>
            <w:pPr>
              <w:spacing w:after="0" w:line="252" w:lineRule="auto"/>
            </w:pPr>
            <w:r>
              <w:rPr>
                <w:sz w:val="19"/>
              </w:rPr>
              <w:t>Controlled revision and responsible approval</w:t>
            </w:r>
          </w:p>
        </w:tc>
      </w:tr>
      <w:tr>
        <w:trPr>
          <w:cantSplit/>
        </w:trPr>
        <w:tc>
          <w:tcPr>
            <w:tcW w:type="dxa" w:w="3024"/>
            <w:vAlign w:val="center"/>
            <w:tcMar>
              <w:top w:w="75" w:type="dxa"/>
              <w:bottom w:w="75" w:type="dxa"/>
              <w:left w:w="85" w:type="dxa"/>
              <w:right w:w="85" w:type="dxa"/>
            </w:tcMar>
            <w:shd w:fill="FFFFFF"/>
          </w:tcPr>
          <w:p>
            <w:pPr>
              <w:spacing w:after="0" w:line="252" w:lineRule="auto"/>
            </w:pPr>
            <w:r>
              <w:rPr>
                <w:sz w:val="19"/>
              </w:rPr>
              <w:t>Generate a candidate CAD script for this bracket</w:t>
            </w:r>
          </w:p>
        </w:tc>
        <w:tc>
          <w:tcPr>
            <w:tcW w:type="dxa" w:w="3326"/>
            <w:vAlign w:val="center"/>
            <w:tcMar>
              <w:top w:w="75" w:type="dxa"/>
              <w:bottom w:w="75" w:type="dxa"/>
              <w:left w:w="85" w:type="dxa"/>
              <w:right w:w="85" w:type="dxa"/>
            </w:tcMar>
            <w:shd w:fill="FFFFFF"/>
          </w:tcPr>
          <w:p>
            <w:pPr>
              <w:spacing w:after="0" w:line="252" w:lineRule="auto"/>
            </w:pPr>
            <w:r>
              <w:rPr>
                <w:sz w:val="19"/>
              </w:rPr>
              <w:t>Produce a script and run it in an isolated CAD environment</w:t>
            </w:r>
          </w:p>
        </w:tc>
        <w:tc>
          <w:tcPr>
            <w:tcW w:type="dxa" w:w="2966"/>
            <w:vAlign w:val="center"/>
            <w:tcMar>
              <w:top w:w="75" w:type="dxa"/>
              <w:bottom w:w="75" w:type="dxa"/>
              <w:left w:w="85" w:type="dxa"/>
              <w:right w:w="85" w:type="dxa"/>
            </w:tcMar>
            <w:shd w:fill="FFFFFF"/>
          </w:tcPr>
          <w:p>
            <w:pPr>
              <w:spacing w:after="0" w:line="252" w:lineRule="auto"/>
            </w:pPr>
            <w:r>
              <w:rPr>
                <w:sz w:val="19"/>
              </w:rPr>
              <w:t>Geometry and design checks before adoption</w:t>
            </w:r>
          </w:p>
        </w:tc>
      </w:tr>
      <w:tr>
        <w:trPr>
          <w:cantSplit/>
        </w:trPr>
        <w:tc>
          <w:tcPr>
            <w:tcW w:type="dxa" w:w="3024"/>
            <w:vAlign w:val="center"/>
            <w:tcMar>
              <w:top w:w="75" w:type="dxa"/>
              <w:bottom w:w="75" w:type="dxa"/>
              <w:left w:w="85" w:type="dxa"/>
              <w:right w:w="85" w:type="dxa"/>
            </w:tcMar>
            <w:shd w:fill="F3F4F5"/>
          </w:tcPr>
          <w:p>
            <w:pPr>
              <w:spacing w:after="0" w:line="252" w:lineRule="auto"/>
            </w:pPr>
            <w:r>
              <w:rPr>
                <w:sz w:val="19"/>
              </w:rPr>
              <w:t>Compare two fixture concepts for this setup</w:t>
            </w:r>
          </w:p>
        </w:tc>
        <w:tc>
          <w:tcPr>
            <w:tcW w:type="dxa" w:w="3326"/>
            <w:vAlign w:val="center"/>
            <w:tcMar>
              <w:top w:w="75" w:type="dxa"/>
              <w:bottom w:w="75" w:type="dxa"/>
              <w:left w:w="85" w:type="dxa"/>
              <w:right w:w="85" w:type="dxa"/>
            </w:tcMar>
            <w:shd w:fill="F3F4F5"/>
          </w:tcPr>
          <w:p>
            <w:pPr>
              <w:spacing w:after="0" w:line="252" w:lineRule="auto"/>
            </w:pPr>
            <w:r>
              <w:rPr>
                <w:sz w:val="19"/>
              </w:rPr>
              <w:t>Retrieve requirements and run supported engineering checks</w:t>
            </w:r>
          </w:p>
        </w:tc>
        <w:tc>
          <w:tcPr>
            <w:tcW w:type="dxa" w:w="2966"/>
            <w:vAlign w:val="center"/>
            <w:tcMar>
              <w:top w:w="75" w:type="dxa"/>
              <w:bottom w:w="75" w:type="dxa"/>
              <w:left w:w="85" w:type="dxa"/>
              <w:right w:w="85" w:type="dxa"/>
            </w:tcMar>
            <w:shd w:fill="F3F4F5"/>
          </w:tcPr>
          <w:p>
            <w:pPr>
              <w:spacing w:after="0" w:line="252" w:lineRule="auto"/>
            </w:pPr>
            <w:r>
              <w:rPr>
                <w:sz w:val="19"/>
              </w:rPr>
              <w:t>Engineer validates assumptions and constraints</w:t>
            </w:r>
          </w:p>
        </w:tc>
      </w:tr>
      <w:tr>
        <w:trPr>
          <w:cantSplit/>
        </w:trPr>
        <w:tc>
          <w:tcPr>
            <w:tcW w:type="dxa" w:w="3024"/>
            <w:vAlign w:val="center"/>
            <w:tcMar>
              <w:top w:w="75" w:type="dxa"/>
              <w:bottom w:w="75" w:type="dxa"/>
              <w:left w:w="85" w:type="dxa"/>
              <w:right w:w="85" w:type="dxa"/>
            </w:tcMar>
            <w:shd w:fill="FFFFFF"/>
          </w:tcPr>
          <w:p>
            <w:pPr>
              <w:spacing w:after="0" w:line="252" w:lineRule="auto"/>
            </w:pPr>
            <w:r>
              <w:rPr>
                <w:sz w:val="19"/>
              </w:rPr>
              <w:t>Review this NC program for unsupported commands</w:t>
            </w:r>
          </w:p>
        </w:tc>
        <w:tc>
          <w:tcPr>
            <w:tcW w:type="dxa" w:w="3326"/>
            <w:vAlign w:val="center"/>
            <w:tcMar>
              <w:top w:w="75" w:type="dxa"/>
              <w:bottom w:w="75" w:type="dxa"/>
              <w:left w:w="85" w:type="dxa"/>
              <w:right w:w="85" w:type="dxa"/>
            </w:tcMar>
            <w:shd w:fill="FFFFFF"/>
          </w:tcPr>
          <w:p>
            <w:pPr>
              <w:spacing w:after="0" w:line="252" w:lineRule="auto"/>
            </w:pPr>
            <w:r>
              <w:rPr>
                <w:sz w:val="19"/>
              </w:rPr>
              <w:t>Parse the program against the declared controller profile</w:t>
            </w:r>
          </w:p>
        </w:tc>
        <w:tc>
          <w:tcPr>
            <w:tcW w:type="dxa" w:w="2966"/>
            <w:vAlign w:val="center"/>
            <w:tcMar>
              <w:top w:w="75" w:type="dxa"/>
              <w:bottom w:w="75" w:type="dxa"/>
              <w:left w:w="85" w:type="dxa"/>
              <w:right w:w="85" w:type="dxa"/>
            </w:tcMar>
            <w:shd w:fill="FFFFFF"/>
          </w:tcPr>
          <w:p>
            <w:pPr>
              <w:spacing w:after="0" w:line="252" w:lineRule="auto"/>
            </w:pPr>
            <w:r>
              <w:rPr>
                <w:sz w:val="19"/>
              </w:rPr>
              <w:t>Review is limited to implemented checks</w:t>
            </w:r>
          </w:p>
        </w:tc>
      </w:tr>
      <w:tr>
        <w:trPr>
          <w:cantSplit/>
        </w:trPr>
        <w:tc>
          <w:tcPr>
            <w:tcW w:type="dxa" w:w="3024"/>
            <w:vAlign w:val="center"/>
            <w:tcMar>
              <w:top w:w="75" w:type="dxa"/>
              <w:bottom w:w="75" w:type="dxa"/>
              <w:left w:w="85" w:type="dxa"/>
              <w:right w:w="85" w:type="dxa"/>
            </w:tcMar>
            <w:shd w:fill="F3F4F5"/>
          </w:tcPr>
          <w:p>
            <w:pPr>
              <w:spacing w:after="0" w:line="252" w:lineRule="auto"/>
            </w:pPr>
            <w:r>
              <w:rPr>
                <w:sz w:val="19"/>
              </w:rPr>
              <w:t>Simulate the machining consequences of this CAM change</w:t>
            </w:r>
          </w:p>
        </w:tc>
        <w:tc>
          <w:tcPr>
            <w:tcW w:type="dxa" w:w="3326"/>
            <w:vAlign w:val="center"/>
            <w:tcMar>
              <w:top w:w="75" w:type="dxa"/>
              <w:bottom w:w="75" w:type="dxa"/>
              <w:left w:w="85" w:type="dxa"/>
              <w:right w:w="85" w:type="dxa"/>
            </w:tcMar>
            <w:shd w:fill="F3F4F5"/>
          </w:tcPr>
          <w:p>
            <w:pPr>
              <w:spacing w:after="0" w:line="252" w:lineRule="auto"/>
            </w:pPr>
            <w:r>
              <w:rPr>
                <w:sz w:val="19"/>
              </w:rPr>
              <w:t>Invoke approved simulation with actual setup information</w:t>
            </w:r>
          </w:p>
        </w:tc>
        <w:tc>
          <w:tcPr>
            <w:tcW w:type="dxa" w:w="2966"/>
            <w:vAlign w:val="center"/>
            <w:tcMar>
              <w:top w:w="75" w:type="dxa"/>
              <w:bottom w:w="75" w:type="dxa"/>
              <w:left w:w="85" w:type="dxa"/>
              <w:right w:w="85" w:type="dxa"/>
            </w:tcMar>
            <w:shd w:fill="F3F4F5"/>
          </w:tcPr>
          <w:p>
            <w:pPr>
              <w:spacing w:after="0" w:line="252" w:lineRule="auto"/>
            </w:pPr>
            <w:r>
              <w:rPr>
                <w:sz w:val="19"/>
              </w:rPr>
              <w:t>No transfer to a live machine</w:t>
            </w:r>
          </w:p>
        </w:tc>
      </w:tr>
      <w:tr>
        <w:trPr>
          <w:cantSplit/>
        </w:trPr>
        <w:tc>
          <w:tcPr>
            <w:tcW w:type="dxa" w:w="3024"/>
            <w:vAlign w:val="center"/>
            <w:tcMar>
              <w:top w:w="75" w:type="dxa"/>
              <w:bottom w:w="75" w:type="dxa"/>
              <w:left w:w="85" w:type="dxa"/>
              <w:right w:w="85" w:type="dxa"/>
            </w:tcMar>
            <w:shd w:fill="FFFFFF"/>
          </w:tcPr>
          <w:p>
            <w:pPr>
              <w:spacing w:after="0" w:line="252" w:lineRule="auto"/>
            </w:pPr>
            <w:r>
              <w:rPr>
                <w:sz w:val="19"/>
              </w:rPr>
              <w:t>What if this machine is unavailable for the next shift?</w:t>
            </w:r>
          </w:p>
        </w:tc>
        <w:tc>
          <w:tcPr>
            <w:tcW w:type="dxa" w:w="3326"/>
            <w:vAlign w:val="center"/>
            <w:tcMar>
              <w:top w:w="75" w:type="dxa"/>
              <w:bottom w:w="75" w:type="dxa"/>
              <w:left w:w="85" w:type="dxa"/>
              <w:right w:w="85" w:type="dxa"/>
            </w:tcMar>
            <w:shd w:fill="FFFFFF"/>
          </w:tcPr>
          <w:p>
            <w:pPr>
              <w:spacing w:after="0" w:line="252" w:lineRule="auto"/>
            </w:pPr>
            <w:r>
              <w:rPr>
                <w:sz w:val="19"/>
              </w:rPr>
              <w:t>Create a scheduling scenario and run a solver or simulation</w:t>
            </w:r>
          </w:p>
        </w:tc>
        <w:tc>
          <w:tcPr>
            <w:tcW w:type="dxa" w:w="2966"/>
            <w:vAlign w:val="center"/>
            <w:tcMar>
              <w:top w:w="75" w:type="dxa"/>
              <w:bottom w:w="75" w:type="dxa"/>
              <w:left w:w="85" w:type="dxa"/>
              <w:right w:w="85" w:type="dxa"/>
            </w:tcMar>
            <w:shd w:fill="FFFFFF"/>
          </w:tcPr>
          <w:p>
            <w:pPr>
              <w:spacing w:after="0" w:line="252" w:lineRule="auto"/>
            </w:pPr>
            <w:r>
              <w:rPr>
                <w:sz w:val="19"/>
              </w:rPr>
              <w:t>Keep the scenario separate from the released schedule</w:t>
            </w:r>
          </w:p>
        </w:tc>
      </w:tr>
      <w:tr>
        <w:trPr>
          <w:cantSplit/>
        </w:trPr>
        <w:tc>
          <w:tcPr>
            <w:tcW w:type="dxa" w:w="3024"/>
            <w:vAlign w:val="center"/>
            <w:tcMar>
              <w:top w:w="75" w:type="dxa"/>
              <w:bottom w:w="75" w:type="dxa"/>
              <w:left w:w="85" w:type="dxa"/>
              <w:right w:w="85" w:type="dxa"/>
            </w:tcMar>
            <w:shd w:fill="F3F4F5"/>
          </w:tcPr>
          <w:p>
            <w:pPr>
              <w:spacing w:after="0" w:line="252" w:lineRule="auto"/>
            </w:pPr>
            <w:r>
              <w:rPr>
                <w:sz w:val="19"/>
              </w:rPr>
              <w:t>Prepare a purchase request for the material shortage</w:t>
            </w:r>
          </w:p>
        </w:tc>
        <w:tc>
          <w:tcPr>
            <w:tcW w:type="dxa" w:w="3326"/>
            <w:vAlign w:val="center"/>
            <w:tcMar>
              <w:top w:w="75" w:type="dxa"/>
              <w:bottom w:w="75" w:type="dxa"/>
              <w:left w:w="85" w:type="dxa"/>
              <w:right w:w="85" w:type="dxa"/>
            </w:tcMar>
            <w:shd w:fill="F3F4F5"/>
          </w:tcPr>
          <w:p>
            <w:pPr>
              <w:spacing w:after="0" w:line="252" w:lineRule="auto"/>
            </w:pPr>
            <w:r>
              <w:rPr>
                <w:sz w:val="19"/>
              </w:rPr>
              <w:t>Calculate net need from approved demand and reservations</w:t>
            </w:r>
          </w:p>
        </w:tc>
        <w:tc>
          <w:tcPr>
            <w:tcW w:type="dxa" w:w="2966"/>
            <w:vAlign w:val="center"/>
            <w:tcMar>
              <w:top w:w="75" w:type="dxa"/>
              <w:bottom w:w="75" w:type="dxa"/>
              <w:left w:w="85" w:type="dxa"/>
              <w:right w:w="85" w:type="dxa"/>
            </w:tcMar>
            <w:shd w:fill="F3F4F5"/>
          </w:tcPr>
          <w:p>
            <w:pPr>
              <w:spacing w:after="0" w:line="252" w:lineRule="auto"/>
            </w:pPr>
            <w:r>
              <w:rPr>
                <w:sz w:val="19"/>
              </w:rPr>
              <w:t>Purchasing authority controls commitment</w:t>
            </w:r>
          </w:p>
        </w:tc>
      </w:tr>
      <w:tr>
        <w:trPr>
          <w:cantSplit/>
        </w:trPr>
        <w:tc>
          <w:tcPr>
            <w:tcW w:type="dxa" w:w="3024"/>
            <w:vAlign w:val="center"/>
            <w:tcMar>
              <w:top w:w="75" w:type="dxa"/>
              <w:bottom w:w="75" w:type="dxa"/>
              <w:left w:w="85" w:type="dxa"/>
              <w:right w:w="85" w:type="dxa"/>
            </w:tcMar>
            <w:shd w:fill="FFFFFF"/>
          </w:tcPr>
          <w:p>
            <w:pPr>
              <w:spacing w:after="0" w:line="252" w:lineRule="auto"/>
            </w:pPr>
            <w:r>
              <w:rPr>
                <w:sz w:val="19"/>
              </w:rPr>
              <w:t>Propose changing spindle speed to 7000 RPM</w:t>
            </w:r>
          </w:p>
        </w:tc>
        <w:tc>
          <w:tcPr>
            <w:tcW w:type="dxa" w:w="3326"/>
            <w:vAlign w:val="center"/>
            <w:tcMar>
              <w:top w:w="75" w:type="dxa"/>
              <w:bottom w:w="75" w:type="dxa"/>
              <w:left w:w="85" w:type="dxa"/>
              <w:right w:w="85" w:type="dxa"/>
            </w:tcMar>
            <w:shd w:fill="FFFFFF"/>
          </w:tcPr>
          <w:p>
            <w:pPr>
              <w:spacing w:after="0" w:line="252" w:lineRule="auto"/>
            </w:pPr>
            <w:r>
              <w:rPr>
                <w:sz w:val="19"/>
              </w:rPr>
              <w:t>Verify machine, setup, tooling, material, limits, and permissions</w:t>
            </w:r>
          </w:p>
        </w:tc>
        <w:tc>
          <w:tcPr>
            <w:tcW w:type="dxa" w:w="2966"/>
            <w:vAlign w:val="center"/>
            <w:tcMar>
              <w:top w:w="75" w:type="dxa"/>
              <w:bottom w:w="75" w:type="dxa"/>
              <w:left w:w="85" w:type="dxa"/>
              <w:right w:w="85" w:type="dxa"/>
            </w:tcMar>
            <w:shd w:fill="FFFFFF"/>
          </w:tcPr>
          <w:p>
            <w:pPr>
              <w:spacing w:after="0" w:line="252" w:lineRule="auto"/>
            </w:pPr>
            <w:r>
              <w:rPr>
                <w:sz w:val="19"/>
              </w:rPr>
              <w:t>Exact approval and fresh preconditions before any execution</w:t>
            </w:r>
          </w:p>
        </w:tc>
      </w:tr>
      <w:tr>
        <w:trPr>
          <w:cantSplit/>
        </w:trPr>
        <w:tc>
          <w:tcPr>
            <w:tcW w:type="dxa" w:w="3024"/>
            <w:vAlign w:val="center"/>
            <w:tcMar>
              <w:top w:w="75" w:type="dxa"/>
              <w:bottom w:w="75" w:type="dxa"/>
              <w:left w:w="85" w:type="dxa"/>
              <w:right w:w="85" w:type="dxa"/>
            </w:tcMar>
            <w:shd w:fill="F3F4F5"/>
          </w:tcPr>
          <w:p>
            <w:pPr>
              <w:spacing w:after="0" w:line="252" w:lineRule="auto"/>
            </w:pPr>
            <w:r>
              <w:rPr>
                <w:sz w:val="19"/>
              </w:rPr>
              <w:t>Run the approved inspection routine on the selected asset</w:t>
            </w:r>
          </w:p>
        </w:tc>
        <w:tc>
          <w:tcPr>
            <w:tcW w:type="dxa" w:w="3326"/>
            <w:vAlign w:val="center"/>
            <w:tcMar>
              <w:top w:w="75" w:type="dxa"/>
              <w:bottom w:w="75" w:type="dxa"/>
              <w:left w:w="85" w:type="dxa"/>
              <w:right w:w="85" w:type="dxa"/>
            </w:tcMar>
            <w:shd w:fill="F3F4F5"/>
          </w:tcPr>
          <w:p>
            <w:pPr>
              <w:spacing w:after="0" w:line="252" w:lineRule="auto"/>
            </w:pPr>
            <w:r>
              <w:rPr>
                <w:sz w:val="19"/>
              </w:rPr>
              <w:t>Verify routine version, permissions, readiness, and approval</w:t>
            </w:r>
          </w:p>
        </w:tc>
        <w:tc>
          <w:tcPr>
            <w:tcW w:type="dxa" w:w="2966"/>
            <w:vAlign w:val="center"/>
            <w:tcMar>
              <w:top w:w="75" w:type="dxa"/>
              <w:bottom w:w="75" w:type="dxa"/>
              <w:left w:w="85" w:type="dxa"/>
              <w:right w:w="85" w:type="dxa"/>
            </w:tcMar>
            <w:shd w:fill="F3F4F5"/>
          </w:tcPr>
          <w:p>
            <w:pPr>
              <w:spacing w:after="0" w:line="252" w:lineRule="auto"/>
            </w:pPr>
            <w:r>
              <w:rPr>
                <w:sz w:val="19"/>
              </w:rPr>
              <w:t>Use a validated interface and report actual execution status</w:t>
            </w:r>
          </w:p>
        </w:tc>
      </w:tr>
    </w:tbl>
    <w:p>
      <w:pPr>
        <w:spacing w:after="20"/>
      </w:pPr>
    </w:p>
    <w:p>
      <w:pPr>
        <w:pStyle w:val="Heading2"/>
        <w:numPr>
          <w:ilvl w:val="1"/>
          <w:numId w:val="70"/>
        </w:numPr>
      </w:pPr>
      <w:r>
        <w:t>An Illustrative Production Investigation</w:t>
      </w:r>
    </w:p>
    <w:p>
      <w:r>
        <w:t>The question “Why did accepted production fall yesterday?” illustrates how an agent can combine conversation with an accountable analysis. It first resolves the production cell, shift boundaries, and products involved. Production and quality records are then used to calculate the change under a consistent definition. Checking scheduled time, product mix, and standard cycle assumptions establishes whether the compared periods are sufficiently similar for the intended interpretation.</w:t>
      </w:r>
    </w:p>
    <w:p>
      <w:r>
        <w:t>Suppose the records indicate both additional setup time and increased rework. The agent investigates these as separate contributors using changeover events, tool records, inspection findings, and relevant operator notes. Timestamps and source references remain attached to the observations. The analysis may support contributions from both factors while leaving the cause of rework unresolved. The largest recorded loss is not necessarily the sole root cause of the overall change.</w:t>
      </w:r>
    </w:p>
    <w:p>
      <w:r>
        <w:t>The resulting explanation should state the observed change, show the calculations, identify supported contributors and contradictory evidence, and describe limitations and recommended checks. Any maintenance or process-change proposal then follows its own validation and approval route. If quality records are unavailable, the answer should explain that gross output and accepted output cannot yet be distinguished. Making this limitation explicit preserves the usefulness of the analysis without overstating what the evidence establishes.</w:t>
      </w:r>
    </w:p>
    <w:p>
      <w:bookmarkStart w:id="5" w:name="section_5"/>
      <w:pPr>
        <w:pStyle w:val="Heading1"/>
        <w:numPr>
          <w:ilvl w:val="0"/>
          <w:numId w:val="70"/>
        </w:numPr>
      </w:pPr>
      <w:r>
        <w:t>Research Gaps and Directions for Doctoral Study</w:t>
      </w:r>
      <w:bookmarkEnd w:id="5"/>
    </w:p>
    <w:p>
      <w:pPr>
        <w:pStyle w:val="Heading2"/>
        <w:numPr>
          <w:ilvl w:val="1"/>
          <w:numId w:val="70"/>
        </w:numPr>
      </w:pPr>
      <w:r>
        <w:t>Research Gaps Identified in the Review</w:t>
      </w:r>
    </w:p>
    <w:p>
      <w:r>
        <w:t>The reviewed literature points to a need for evaluation that reflects complete manufacturing tasks. General language, coding, and retrieval benchmarks do not jointly capture engineering correctness, revision applicability, permissions, and operational consequences. CAD generation and G-code studies address important subproblems, yet further acceptance conditions separate a successful benchmark output from a released manufacturing artifact. Defining and evaluating those conditions offers a concrete direction for doctoral research.</w:t>
      </w:r>
    </w:p>
    <w:p>
      <w:r>
        <w:t>A second direction concerns evidence under changing factory conditions. Documents are revised, equipment configurations change, observations arrive late, and terminology differs between systems. Retrieval and knowledge graphs help organize this information but do not, on their own, resolve incompatible revisions or missing observations. Research is needed on representations and decision rules that preserve uncertainty and identify when a conclusion is not yet supported.</w:t>
      </w:r>
    </w:p>
    <w:p>
      <w:r>
        <w:t>Reliable execution across systems presents a further challenge. Agent frameworks increasingly support persistence, interruption, and recovery, while external operations may remain difficult to reconcile. An approval can expire, a timed-out command may have completed, and a restarted workflow may repeat an effect. These problems arise at the boundary between the agent and external services, requiring system-level methods alongside improvements in model behavior.</w:t>
      </w:r>
    </w:p>
    <w:p>
      <w:r>
        <w:t>Transfer between manufacturing contexts also remains uncertain. Results on simple part geometries or a particular assembly line may not extend to multi-axis machining, complete machine-tool assembly, or another controller family. The process-representation limitations in OGPAL and the constrained task scope of GLLM illustrate the need for explicit domain boundaries and carefully designed holdouts. Shared industrial terminology is an insufficient basis for assuming equivalent operational performance.</w:t>
      </w:r>
    </w:p>
    <w:p>
      <w:r>
        <w:t>Finally, quality, latency, and deployment cost need to be assessed together. Larger models, additional agents, repeated self-review, and longer contexts can increase resource consumption without improving the required outcome proportionately. Studies that evaluate quantization, routing, retrieval, and workflow limits in combination would help identify configurations that meet the task’s reliability requirements at an acceptable operational cost.</w:t>
      </w:r>
    </w:p>
    <w:p>
      <w:pPr>
        <w:pStyle w:val="Heading2"/>
        <w:numPr>
          <w:ilvl w:val="1"/>
          <w:numId w:val="70"/>
        </w:numPr>
      </w:pPr>
      <w:r>
        <w:t>Research Questions and Evaluation Strategies</w:t>
      </w:r>
    </w:p>
    <w:p>
      <w:pPr>
        <w:pStyle w:val="Caption"/>
      </w:pPr>
      <w:r>
        <w:t>Table 10 Research Questions and Comparative Evaluation Designs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326"/>
        <w:gridCol w:w="3038"/>
      </w:tblGrid>
      <w:tr>
        <w:trPr>
          <w:cantSplit/>
          <w:tblHeader/>
        </w:trPr>
        <w:tc>
          <w:tcPr>
            <w:tcW w:type="dxa" w:w="2952"/>
            <w:vAlign w:val="center"/>
            <w:tcMar>
              <w:top w:w="75" w:type="dxa"/>
              <w:bottom w:w="75" w:type="dxa"/>
              <w:left w:w="85" w:type="dxa"/>
              <w:right w:w="85" w:type="dxa"/>
            </w:tcMar>
            <w:shd w:fill="394047"/>
          </w:tcPr>
          <w:p>
            <w:pPr>
              <w:keepNext/>
              <w:spacing w:after="0" w:line="252" w:lineRule="auto"/>
            </w:pPr>
            <w:r>
              <w:rPr>
                <w:b/>
                <w:color w:val="FFFFFF"/>
                <w:sz w:val="19"/>
              </w:rPr>
              <w:t>Research question</w:t>
            </w:r>
          </w:p>
        </w:tc>
        <w:tc>
          <w:tcPr>
            <w:tcW w:type="dxa" w:w="3326"/>
            <w:vAlign w:val="center"/>
            <w:tcMar>
              <w:top w:w="75" w:type="dxa"/>
              <w:bottom w:w="75" w:type="dxa"/>
              <w:left w:w="85" w:type="dxa"/>
              <w:right w:w="85" w:type="dxa"/>
            </w:tcMar>
            <w:shd w:fill="394047"/>
          </w:tcPr>
          <w:p>
            <w:pPr>
              <w:keepNext/>
              <w:spacing w:after="0" w:line="252" w:lineRule="auto"/>
            </w:pPr>
            <w:r>
              <w:rPr>
                <w:b/>
                <w:color w:val="FFFFFF"/>
                <w:sz w:val="19"/>
              </w:rPr>
              <w:t>Comparison</w:t>
            </w:r>
          </w:p>
        </w:tc>
        <w:tc>
          <w:tcPr>
            <w:tcW w:type="dxa" w:w="3038"/>
            <w:vAlign w:val="center"/>
            <w:tcMar>
              <w:top w:w="75" w:type="dxa"/>
              <w:bottom w:w="75" w:type="dxa"/>
              <w:left w:w="85" w:type="dxa"/>
              <w:right w:w="85" w:type="dxa"/>
            </w:tcMar>
            <w:shd w:fill="394047"/>
          </w:tcPr>
          <w:p>
            <w:pPr>
              <w:keepNext/>
              <w:spacing w:after="0" w:line="252" w:lineRule="auto"/>
            </w:pPr>
            <w:r>
              <w:rPr>
                <w:b/>
                <w:color w:val="FFFFFF"/>
                <w:sz w:val="19"/>
              </w:rPr>
              <w:t>Main measures</w:t>
            </w:r>
          </w:p>
        </w:tc>
      </w:tr>
      <w:tr>
        <w:trPr>
          <w:cantSplit/>
        </w:trPr>
        <w:tc>
          <w:tcPr>
            <w:tcW w:type="dxa" w:w="2952"/>
            <w:vAlign w:val="center"/>
            <w:tcMar>
              <w:top w:w="75" w:type="dxa"/>
              <w:bottom w:w="75" w:type="dxa"/>
              <w:left w:w="85" w:type="dxa"/>
              <w:right w:w="85" w:type="dxa"/>
            </w:tcMar>
            <w:shd w:fill="FFFFFF"/>
          </w:tcPr>
          <w:p>
            <w:pPr>
              <w:keepNext/>
              <w:spacing w:after="0" w:line="252" w:lineRule="auto"/>
            </w:pPr>
            <w:r>
              <w:rPr>
                <w:sz w:val="19"/>
              </w:rPr>
              <w:t>When does task adaptation improve a factory assistant beyond retrieval alone?</w:t>
            </w:r>
          </w:p>
        </w:tc>
        <w:tc>
          <w:tcPr>
            <w:tcW w:type="dxa" w:w="3326"/>
            <w:vAlign w:val="center"/>
            <w:tcMar>
              <w:top w:w="75" w:type="dxa"/>
              <w:bottom w:w="75" w:type="dxa"/>
              <w:left w:w="85" w:type="dxa"/>
              <w:right w:w="85" w:type="dxa"/>
            </w:tcMar>
            <w:shd w:fill="FFFFFF"/>
          </w:tcPr>
          <w:p>
            <w:pPr>
              <w:keepNext/>
              <w:spacing w:after="0" w:line="252" w:lineRule="auto"/>
            </w:pPr>
            <w:r>
              <w:rPr>
                <w:sz w:val="19"/>
              </w:rPr>
              <w:t>Same base model with prompting, RAG, and RAG plus LoRA or QLoRA</w:t>
            </w:r>
          </w:p>
        </w:tc>
        <w:tc>
          <w:tcPr>
            <w:tcW w:type="dxa" w:w="3038"/>
            <w:vAlign w:val="center"/>
            <w:tcMar>
              <w:top w:w="75" w:type="dxa"/>
              <w:bottom w:w="75" w:type="dxa"/>
              <w:left w:w="85" w:type="dxa"/>
              <w:right w:w="85" w:type="dxa"/>
            </w:tcMar>
            <w:shd w:fill="FFFFFF"/>
          </w:tcPr>
          <w:p>
            <w:pPr>
              <w:keepNext/>
              <w:spacing w:after="0" w:line="252" w:lineRule="auto"/>
            </w:pPr>
            <w:r>
              <w:rPr>
                <w:sz w:val="19"/>
              </w:rPr>
              <w:t>Task accuracy, abstention, citation correctness, and cost</w:t>
            </w:r>
          </w:p>
        </w:tc>
      </w:tr>
      <w:tr>
        <w:trPr>
          <w:cantSplit/>
        </w:trPr>
        <w:tc>
          <w:tcPr>
            <w:tcW w:type="dxa" w:w="2952"/>
            <w:vAlign w:val="center"/>
            <w:tcMar>
              <w:top w:w="75" w:type="dxa"/>
              <w:bottom w:w="75" w:type="dxa"/>
              <w:left w:w="85" w:type="dxa"/>
              <w:right w:w="85" w:type="dxa"/>
            </w:tcMar>
            <w:shd w:fill="F3F4F5"/>
          </w:tcPr>
          <w:p>
            <w:pPr>
              <w:spacing w:after="0" w:line="252" w:lineRule="auto"/>
            </w:pPr>
            <w:r>
              <w:rPr>
                <w:sz w:val="19"/>
              </w:rPr>
              <w:t>Which model portfolio gives the best useful performance under resource limits?</w:t>
            </w:r>
          </w:p>
        </w:tc>
        <w:tc>
          <w:tcPr>
            <w:tcW w:type="dxa" w:w="3326"/>
            <w:vAlign w:val="center"/>
            <w:tcMar>
              <w:top w:w="75" w:type="dxa"/>
              <w:bottom w:w="75" w:type="dxa"/>
              <w:left w:w="85" w:type="dxa"/>
              <w:right w:w="85" w:type="dxa"/>
            </w:tcMar>
            <w:shd w:fill="F3F4F5"/>
          </w:tcPr>
          <w:p>
            <w:pPr>
              <w:spacing w:after="0" w:line="252" w:lineRule="auto"/>
            </w:pPr>
            <w:r>
              <w:rPr>
                <w:sz w:val="19"/>
              </w:rPr>
              <w:t>General model alone versus general plus code, retrieval, and perception specialists</w:t>
            </w:r>
          </w:p>
        </w:tc>
        <w:tc>
          <w:tcPr>
            <w:tcW w:type="dxa" w:w="3038"/>
            <w:vAlign w:val="center"/>
            <w:tcMar>
              <w:top w:w="75" w:type="dxa"/>
              <w:bottom w:w="75" w:type="dxa"/>
              <w:left w:w="85" w:type="dxa"/>
              <w:right w:w="85" w:type="dxa"/>
            </w:tcMar>
            <w:shd w:fill="F3F4F5"/>
          </w:tcPr>
          <w:p>
            <w:pPr>
              <w:spacing w:after="0" w:line="252" w:lineRule="auto"/>
            </w:pPr>
            <w:r>
              <w:rPr>
                <w:sz w:val="19"/>
              </w:rPr>
              <w:t>End-to-end success, latency, memory, and maintenance burden</w:t>
            </w:r>
          </w:p>
        </w:tc>
      </w:tr>
      <w:tr>
        <w:trPr>
          <w:cantSplit/>
        </w:trPr>
        <w:tc>
          <w:tcPr>
            <w:tcW w:type="dxa" w:w="2952"/>
            <w:vAlign w:val="center"/>
            <w:tcMar>
              <w:top w:w="75" w:type="dxa"/>
              <w:bottom w:w="75" w:type="dxa"/>
              <w:left w:w="85" w:type="dxa"/>
              <w:right w:w="85" w:type="dxa"/>
            </w:tcMar>
            <w:shd w:fill="FFFFFF"/>
          </w:tcPr>
          <w:p>
            <w:pPr>
              <w:spacing w:after="0" w:line="252" w:lineRule="auto"/>
            </w:pPr>
            <w:r>
              <w:rPr>
                <w:sz w:val="19"/>
              </w:rPr>
              <w:t>Does explicit graph orchestration improve recovery and authorization?</w:t>
            </w:r>
          </w:p>
        </w:tc>
        <w:tc>
          <w:tcPr>
            <w:tcW w:type="dxa" w:w="3326"/>
            <w:vAlign w:val="center"/>
            <w:tcMar>
              <w:top w:w="75" w:type="dxa"/>
              <w:bottom w:w="75" w:type="dxa"/>
              <w:left w:w="85" w:type="dxa"/>
              <w:right w:w="85" w:type="dxa"/>
            </w:tcMar>
            <w:shd w:fill="FFFFFF"/>
          </w:tcPr>
          <w:p>
            <w:pPr>
              <w:spacing w:after="0" w:line="252" w:lineRule="auto"/>
            </w:pPr>
            <w:r>
              <w:rPr>
                <w:sz w:val="19"/>
              </w:rPr>
              <w:t>Standard tool loop versus controlled workflow on identical tasks</w:t>
            </w:r>
          </w:p>
        </w:tc>
        <w:tc>
          <w:tcPr>
            <w:tcW w:type="dxa" w:w="3038"/>
            <w:vAlign w:val="center"/>
            <w:tcMar>
              <w:top w:w="75" w:type="dxa"/>
              <w:bottom w:w="75" w:type="dxa"/>
              <w:left w:w="85" w:type="dxa"/>
              <w:right w:w="85" w:type="dxa"/>
            </w:tcMar>
            <w:shd w:fill="FFFFFF"/>
          </w:tcPr>
          <w:p>
            <w:pPr>
              <w:spacing w:after="0" w:line="252" w:lineRule="auto"/>
            </w:pPr>
            <w:r>
              <w:rPr>
                <w:sz w:val="19"/>
              </w:rPr>
              <w:t>Recovery success, duplicate effects, approval violations, and completion</w:t>
            </w:r>
          </w:p>
        </w:tc>
      </w:tr>
      <w:tr>
        <w:trPr>
          <w:cantSplit/>
        </w:trPr>
        <w:tc>
          <w:tcPr>
            <w:tcW w:type="dxa" w:w="2952"/>
            <w:vAlign w:val="center"/>
            <w:tcMar>
              <w:top w:w="75" w:type="dxa"/>
              <w:bottom w:w="75" w:type="dxa"/>
              <w:left w:w="85" w:type="dxa"/>
              <w:right w:w="85" w:type="dxa"/>
            </w:tcMar>
            <w:shd w:fill="F3F4F5"/>
          </w:tcPr>
          <w:p>
            <w:pPr>
              <w:spacing w:after="0" w:line="252" w:lineRule="auto"/>
            </w:pPr>
            <w:r>
              <w:rPr>
                <w:sz w:val="19"/>
              </w:rPr>
              <w:t>When do knowledge graphs improve RCA?</w:t>
            </w:r>
          </w:p>
        </w:tc>
        <w:tc>
          <w:tcPr>
            <w:tcW w:type="dxa" w:w="3326"/>
            <w:vAlign w:val="center"/>
            <w:tcMar>
              <w:top w:w="75" w:type="dxa"/>
              <w:bottom w:w="75" w:type="dxa"/>
              <w:left w:w="85" w:type="dxa"/>
              <w:right w:w="85" w:type="dxa"/>
            </w:tcMar>
            <w:shd w:fill="F3F4F5"/>
          </w:tcPr>
          <w:p>
            <w:pPr>
              <w:spacing w:after="0" w:line="252" w:lineRule="auto"/>
            </w:pPr>
            <w:r>
              <w:rPr>
                <w:sz w:val="19"/>
              </w:rPr>
              <w:t>Document RAG versus curated graph retrieval versus causal analysis</w:t>
            </w:r>
          </w:p>
        </w:tc>
        <w:tc>
          <w:tcPr>
            <w:tcW w:type="dxa" w:w="3038"/>
            <w:vAlign w:val="center"/>
            <w:tcMar>
              <w:top w:w="75" w:type="dxa"/>
              <w:bottom w:w="75" w:type="dxa"/>
              <w:left w:w="85" w:type="dxa"/>
              <w:right w:w="85" w:type="dxa"/>
            </w:tcMar>
            <w:shd w:fill="F3F4F5"/>
          </w:tcPr>
          <w:p>
            <w:pPr>
              <w:spacing w:after="0" w:line="252" w:lineRule="auto"/>
            </w:pPr>
            <w:r>
              <w:rPr>
                <w:sz w:val="19"/>
              </w:rPr>
              <w:t>Hypothesis ranking, evidence validity, calibration, and engineer agreement</w:t>
            </w:r>
          </w:p>
        </w:tc>
      </w:tr>
      <w:tr>
        <w:trPr>
          <w:cantSplit/>
        </w:trPr>
        <w:tc>
          <w:tcPr>
            <w:tcW w:type="dxa" w:w="2952"/>
            <w:vAlign w:val="center"/>
            <w:tcMar>
              <w:top w:w="75" w:type="dxa"/>
              <w:bottom w:w="75" w:type="dxa"/>
              <w:left w:w="85" w:type="dxa"/>
              <w:right w:w="85" w:type="dxa"/>
            </w:tcMar>
            <w:shd w:fill="FFFFFF"/>
          </w:tcPr>
          <w:p>
            <w:pPr>
              <w:spacing w:after="0" w:line="252" w:lineRule="auto"/>
            </w:pPr>
            <w:r>
              <w:rPr>
                <w:sz w:val="19"/>
              </w:rPr>
              <w:t>How well do methods transfer to unseen assets and products?</w:t>
            </w:r>
          </w:p>
        </w:tc>
        <w:tc>
          <w:tcPr>
            <w:tcW w:type="dxa" w:w="3326"/>
            <w:vAlign w:val="center"/>
            <w:tcMar>
              <w:top w:w="75" w:type="dxa"/>
              <w:bottom w:w="75" w:type="dxa"/>
              <w:left w:w="85" w:type="dxa"/>
              <w:right w:w="85" w:type="dxa"/>
            </w:tcMar>
            <w:shd w:fill="FFFFFF"/>
          </w:tcPr>
          <w:p>
            <w:pPr>
              <w:spacing w:after="0" w:line="252" w:lineRule="auto"/>
            </w:pPr>
            <w:r>
              <w:rPr>
                <w:sz w:val="19"/>
              </w:rPr>
              <w:t>Hold out machine families, products, revisions, and time periods</w:t>
            </w:r>
          </w:p>
        </w:tc>
        <w:tc>
          <w:tcPr>
            <w:tcW w:type="dxa" w:w="3038"/>
            <w:vAlign w:val="center"/>
            <w:tcMar>
              <w:top w:w="75" w:type="dxa"/>
              <w:bottom w:w="75" w:type="dxa"/>
              <w:left w:w="85" w:type="dxa"/>
              <w:right w:w="85" w:type="dxa"/>
            </w:tcMar>
            <w:shd w:fill="FFFFFF"/>
          </w:tcPr>
          <w:p>
            <w:pPr>
              <w:spacing w:after="0" w:line="252" w:lineRule="auto"/>
            </w:pPr>
            <w:r>
              <w:rPr>
                <w:sz w:val="19"/>
              </w:rPr>
              <w:t>Performance degradation and safe abstention</w:t>
            </w:r>
          </w:p>
        </w:tc>
      </w:tr>
      <w:tr>
        <w:trPr>
          <w:cantSplit/>
        </w:trPr>
        <w:tc>
          <w:tcPr>
            <w:tcW w:type="dxa" w:w="2952"/>
            <w:vAlign w:val="center"/>
            <w:tcMar>
              <w:top w:w="75" w:type="dxa"/>
              <w:bottom w:w="75" w:type="dxa"/>
              <w:left w:w="85" w:type="dxa"/>
              <w:right w:w="85" w:type="dxa"/>
            </w:tcMar>
            <w:shd w:fill="F3F4F5"/>
          </w:tcPr>
          <w:p>
            <w:pPr>
              <w:spacing w:after="0" w:line="252" w:lineRule="auto"/>
            </w:pPr>
            <w:r>
              <w:rPr>
                <w:sz w:val="19"/>
              </w:rPr>
              <w:t>Can operators assess an answer more accurately with an evidence record?</w:t>
            </w:r>
          </w:p>
        </w:tc>
        <w:tc>
          <w:tcPr>
            <w:tcW w:type="dxa" w:w="3326"/>
            <w:vAlign w:val="center"/>
            <w:tcMar>
              <w:top w:w="75" w:type="dxa"/>
              <w:bottom w:w="75" w:type="dxa"/>
              <w:left w:w="85" w:type="dxa"/>
              <w:right w:w="85" w:type="dxa"/>
            </w:tcMar>
            <w:shd w:fill="F3F4F5"/>
          </w:tcPr>
          <w:p>
            <w:pPr>
              <w:spacing w:after="0" w:line="252" w:lineRule="auto"/>
            </w:pPr>
            <w:r>
              <w:rPr>
                <w:sz w:val="19"/>
              </w:rPr>
              <w:t>Final answer alone versus answer with checks, sources, and alternatives</w:t>
            </w:r>
          </w:p>
        </w:tc>
        <w:tc>
          <w:tcPr>
            <w:tcW w:type="dxa" w:w="3038"/>
            <w:vAlign w:val="center"/>
            <w:tcMar>
              <w:top w:w="75" w:type="dxa"/>
              <w:bottom w:w="75" w:type="dxa"/>
              <w:left w:w="85" w:type="dxa"/>
              <w:right w:w="85" w:type="dxa"/>
            </w:tcMar>
            <w:shd w:fill="F3F4F5"/>
          </w:tcPr>
          <w:p>
            <w:pPr>
              <w:spacing w:after="0" w:line="252" w:lineRule="auto"/>
            </w:pPr>
            <w:r>
              <w:rPr>
                <w:sz w:val="19"/>
              </w:rPr>
              <w:t>Error detection, decision time, and appropriate trust</w:t>
            </w:r>
          </w:p>
        </w:tc>
      </w:tr>
    </w:tbl>
    <w:p>
      <w:pPr>
        <w:spacing w:after="20"/>
      </w:pPr>
    </w:p>
    <w:p>
      <w:r>
        <w:t>Table 10 translates these gaps into candidate research questions and comparative evaluation strategies. They represent directions for investigation, rather than established novelty or completed experiments. A doctoral study would need a focused systematic search, a defensible dataset, expert annotation procedures, and appropriate arrangements for ethics and data access. A benchmark, evidence representation, execution policy, or architecture could constitute a contribution when its value is demonstrated against relevant baselines.</w:t>
      </w:r>
    </w:p>
    <w:p>
      <w:r>
        <w:t>The experimental design should distinguish errors in models, retrieval, data, tools, and execution policy so that improvements can be attributed meaningfully. Paired comparisons using the same cases and evidence offer stronger interpretability than unrelated demonstrations. Time-based and asset-based holdouts should match the proposed generalization claim. Human evaluation should examine whether explanations help users recognize errors and make appropriate decisions, rather than measuring preference for an answer alone.</w:t>
      </w:r>
    </w:p>
    <w:p>
      <w:bookmarkStart w:id="6" w:name="section_6"/>
      <w:pPr>
        <w:pStyle w:val="Heading1"/>
        <w:numPr>
          <w:ilvl w:val="0"/>
          <w:numId w:val="70"/>
        </w:numPr>
      </w:pPr>
      <w:r>
        <w:t>Conclusions</w:t>
      </w:r>
      <w:bookmarkEnd w:id="6"/>
    </w:p>
    <w:p>
      <w:r>
        <w:t>This review has examined AI agents for smart CNC factories through the models that support them, the architectures that organize their behavior, and the industrial tasks they may assist. The analysis favors task-based selection supported by reproducible evaluation. Retrieval is particularly relevant to changing factory knowledge, while fine tuning addresses demonstrated behavioral or domain-specific limitations. Inference and deployment choices determine whether those capabilities remain practical under the intended workload.</w:t>
      </w:r>
    </w:p>
    <w:p>
      <w:r>
        <w:t>Agent frameworks provide complementary ways to structure this work. LangChain simplifies model and tool integration, LangGraph supports explicit stateful workflows, and alternative frameworks emphasize retrieval, typed interfaces, enterprise integration, or specialist collaboration. MCP and A2A address different communication boundaries, while the two protocols abbreviated ACP require careful distinction. Industrial information models and equipment interfaces remain necessary to give these exchanges operational meaning.</w:t>
      </w:r>
    </w:p>
    <w:p>
      <w:r>
        <w:t>Across the application areas, the most defensible role of the agent is to make technical knowledge easier to use, coordinate analytical tools, and prepare well-supported decisions and approved actions. Its contribution depends on preserving evidence and uncertainty while respecting engineering, quality, and machine-control responsibilities. A central opportunity for doctoral research is to make these relationships measurable and dependable as products, equipment, and operating conditions change.</w:t>
      </w:r>
    </w:p>
    <w:p>
      <w:bookmarkStart w:id="7" w:name="section_7"/>
      <w:pPr>
        <w:pStyle w:val="Heading1"/>
        <w:numPr>
          <w:ilvl w:val="0"/>
          <w:numId w:val="70"/>
        </w:numPr>
      </w:pPr>
      <w:r>
        <w:t>Glossary</w:t>
      </w:r>
      <w:bookmarkEnd w:id="7"/>
    </w:p>
    <w:p>
      <w:pPr>
        <w:pStyle w:val="Caption"/>
      </w:pPr>
      <w:r>
        <w:t>Table 11 Definitions of Key Terms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7618"/>
      </w:tblGrid>
      <w:tr>
        <w:trPr>
          <w:cantSplit/>
          <w:tblHeader/>
        </w:trPr>
        <w:tc>
          <w:tcPr>
            <w:tcW w:type="dxa" w:w="1699"/>
            <w:vAlign w:val="center"/>
            <w:tcMar>
              <w:top w:w="75" w:type="dxa"/>
              <w:bottom w:w="75" w:type="dxa"/>
              <w:left w:w="85" w:type="dxa"/>
              <w:right w:w="85" w:type="dxa"/>
            </w:tcMar>
            <w:shd w:fill="394047"/>
          </w:tcPr>
          <w:p>
            <w:pPr>
              <w:keepNext/>
              <w:spacing w:after="0" w:line="252" w:lineRule="auto"/>
            </w:pPr>
            <w:r>
              <w:rPr>
                <w:b/>
                <w:color w:val="FFFFFF"/>
                <w:sz w:val="19"/>
              </w:rPr>
              <w:t>Term</w:t>
            </w:r>
          </w:p>
        </w:tc>
        <w:tc>
          <w:tcPr>
            <w:tcW w:type="dxa" w:w="7618"/>
            <w:vAlign w:val="center"/>
            <w:tcMar>
              <w:top w:w="75" w:type="dxa"/>
              <w:bottom w:w="75" w:type="dxa"/>
              <w:left w:w="85" w:type="dxa"/>
              <w:right w:w="85" w:type="dxa"/>
            </w:tcMar>
            <w:shd w:fill="394047"/>
          </w:tcPr>
          <w:p>
            <w:pPr>
              <w:keepNext/>
              <w:spacing w:after="0" w:line="252" w:lineRule="auto"/>
            </w:pPr>
            <w:r>
              <w:rPr>
                <w:b/>
                <w:color w:val="FFFFFF"/>
                <w:sz w:val="19"/>
              </w:rPr>
              <w:t>Meaning</w:t>
            </w:r>
          </w:p>
        </w:tc>
      </w:tr>
      <w:tr>
        <w:trPr>
          <w:cantSplit/>
        </w:trPr>
        <w:tc>
          <w:tcPr>
            <w:tcW w:type="dxa" w:w="1699"/>
            <w:vAlign w:val="center"/>
            <w:tcMar>
              <w:top w:w="75" w:type="dxa"/>
              <w:bottom w:w="75" w:type="dxa"/>
              <w:left w:w="85" w:type="dxa"/>
              <w:right w:w="85" w:type="dxa"/>
            </w:tcMar>
            <w:shd w:fill="FFFFFF"/>
          </w:tcPr>
          <w:p>
            <w:pPr>
              <w:keepNext/>
              <w:spacing w:after="0" w:line="252" w:lineRule="auto"/>
            </w:pPr>
            <w:r>
              <w:rPr>
                <w:sz w:val="19"/>
              </w:rPr>
              <w:t>Agent</w:t>
            </w:r>
          </w:p>
        </w:tc>
        <w:tc>
          <w:tcPr>
            <w:tcW w:type="dxa" w:w="7618"/>
            <w:vAlign w:val="center"/>
            <w:tcMar>
              <w:top w:w="75" w:type="dxa"/>
              <w:bottom w:w="75" w:type="dxa"/>
              <w:left w:w="85" w:type="dxa"/>
              <w:right w:w="85" w:type="dxa"/>
            </w:tcMar>
            <w:shd w:fill="FFFFFF"/>
          </w:tcPr>
          <w:p>
            <w:pPr>
              <w:keepNext/>
              <w:spacing w:after="0" w:line="252" w:lineRule="auto"/>
            </w:pPr>
            <w:r>
              <w:rPr>
                <w:sz w:val="19"/>
              </w:rPr>
              <w:t>Software that uses a model, state, tools, and policy to pursue a task</w:t>
            </w:r>
          </w:p>
        </w:tc>
      </w:tr>
      <w:tr>
        <w:trPr>
          <w:cantSplit/>
        </w:trPr>
        <w:tc>
          <w:tcPr>
            <w:tcW w:type="dxa" w:w="1699"/>
            <w:vAlign w:val="center"/>
            <w:tcMar>
              <w:top w:w="75" w:type="dxa"/>
              <w:bottom w:w="75" w:type="dxa"/>
              <w:left w:w="85" w:type="dxa"/>
              <w:right w:w="85" w:type="dxa"/>
            </w:tcMar>
            <w:shd w:fill="F3F4F5"/>
          </w:tcPr>
          <w:p>
            <w:pPr>
              <w:spacing w:after="0" w:line="252" w:lineRule="auto"/>
            </w:pPr>
            <w:r>
              <w:rPr>
                <w:sz w:val="19"/>
              </w:rPr>
              <w:t>Inference</w:t>
            </w:r>
          </w:p>
        </w:tc>
        <w:tc>
          <w:tcPr>
            <w:tcW w:type="dxa" w:w="7618"/>
            <w:vAlign w:val="center"/>
            <w:tcMar>
              <w:top w:w="75" w:type="dxa"/>
              <w:bottom w:w="75" w:type="dxa"/>
              <w:left w:w="85" w:type="dxa"/>
              <w:right w:w="85" w:type="dxa"/>
            </w:tcMar>
            <w:shd w:fill="F3F4F5"/>
          </w:tcPr>
          <w:p>
            <w:pPr>
              <w:spacing w:after="0" w:line="252" w:lineRule="auto"/>
            </w:pPr>
            <w:r>
              <w:rPr>
                <w:sz w:val="19"/>
              </w:rPr>
              <w:t>Running a trained model to produce an output</w:t>
            </w:r>
          </w:p>
        </w:tc>
      </w:tr>
      <w:tr>
        <w:trPr>
          <w:cantSplit/>
        </w:trPr>
        <w:tc>
          <w:tcPr>
            <w:tcW w:type="dxa" w:w="1699"/>
            <w:vAlign w:val="center"/>
            <w:tcMar>
              <w:top w:w="75" w:type="dxa"/>
              <w:bottom w:w="75" w:type="dxa"/>
              <w:left w:w="85" w:type="dxa"/>
              <w:right w:w="85" w:type="dxa"/>
            </w:tcMar>
            <w:shd w:fill="FFFFFF"/>
          </w:tcPr>
          <w:p>
            <w:pPr>
              <w:spacing w:after="0" w:line="252" w:lineRule="auto"/>
            </w:pPr>
            <w:r>
              <w:rPr>
                <w:sz w:val="19"/>
              </w:rPr>
              <w:t>Fine tuning</w:t>
            </w:r>
          </w:p>
        </w:tc>
        <w:tc>
          <w:tcPr>
            <w:tcW w:type="dxa" w:w="7618"/>
            <w:vAlign w:val="center"/>
            <w:tcMar>
              <w:top w:w="75" w:type="dxa"/>
              <w:bottom w:w="75" w:type="dxa"/>
              <w:left w:w="85" w:type="dxa"/>
              <w:right w:w="85" w:type="dxa"/>
            </w:tcMar>
            <w:shd w:fill="FFFFFF"/>
          </w:tcPr>
          <w:p>
            <w:pPr>
              <w:spacing w:after="0" w:line="252" w:lineRule="auto"/>
            </w:pPr>
            <w:r>
              <w:rPr>
                <w:sz w:val="19"/>
              </w:rPr>
              <w:t>Adapting model weights or adapters using additional training examples</w:t>
            </w:r>
          </w:p>
        </w:tc>
      </w:tr>
      <w:tr>
        <w:trPr>
          <w:cantSplit/>
        </w:trPr>
        <w:tc>
          <w:tcPr>
            <w:tcW w:type="dxa" w:w="1699"/>
            <w:vAlign w:val="center"/>
            <w:tcMar>
              <w:top w:w="75" w:type="dxa"/>
              <w:bottom w:w="75" w:type="dxa"/>
              <w:left w:w="85" w:type="dxa"/>
              <w:right w:w="85" w:type="dxa"/>
            </w:tcMar>
            <w:shd w:fill="F3F4F5"/>
          </w:tcPr>
          <w:p>
            <w:pPr>
              <w:spacing w:after="0" w:line="252" w:lineRule="auto"/>
            </w:pPr>
            <w:r>
              <w:rPr>
                <w:sz w:val="19"/>
              </w:rPr>
              <w:t>Embedding</w:t>
            </w:r>
          </w:p>
        </w:tc>
        <w:tc>
          <w:tcPr>
            <w:tcW w:type="dxa" w:w="7618"/>
            <w:vAlign w:val="center"/>
            <w:tcMar>
              <w:top w:w="75" w:type="dxa"/>
              <w:bottom w:w="75" w:type="dxa"/>
              <w:left w:w="85" w:type="dxa"/>
              <w:right w:w="85" w:type="dxa"/>
            </w:tcMar>
            <w:shd w:fill="F3F4F5"/>
          </w:tcPr>
          <w:p>
            <w:pPr>
              <w:spacing w:after="0" w:line="252" w:lineRule="auto"/>
            </w:pPr>
            <w:r>
              <w:rPr>
                <w:sz w:val="19"/>
              </w:rPr>
              <w:t>A numerical representation used to compare or retrieve content</w:t>
            </w:r>
          </w:p>
        </w:tc>
      </w:tr>
      <w:tr>
        <w:trPr>
          <w:cantSplit/>
        </w:trPr>
        <w:tc>
          <w:tcPr>
            <w:tcW w:type="dxa" w:w="1699"/>
            <w:vAlign w:val="center"/>
            <w:tcMar>
              <w:top w:w="75" w:type="dxa"/>
              <w:bottom w:w="75" w:type="dxa"/>
              <w:left w:w="85" w:type="dxa"/>
              <w:right w:w="85" w:type="dxa"/>
            </w:tcMar>
            <w:shd w:fill="FFFFFF"/>
          </w:tcPr>
          <w:p>
            <w:pPr>
              <w:spacing w:after="0" w:line="252" w:lineRule="auto"/>
            </w:pPr>
            <w:r>
              <w:rPr>
                <w:sz w:val="19"/>
              </w:rPr>
              <w:t>Reranker</w:t>
            </w:r>
          </w:p>
        </w:tc>
        <w:tc>
          <w:tcPr>
            <w:tcW w:type="dxa" w:w="7618"/>
            <w:vAlign w:val="center"/>
            <w:tcMar>
              <w:top w:w="75" w:type="dxa"/>
              <w:bottom w:w="75" w:type="dxa"/>
              <w:left w:w="85" w:type="dxa"/>
              <w:right w:w="85" w:type="dxa"/>
            </w:tcMar>
            <w:shd w:fill="FFFFFF"/>
          </w:tcPr>
          <w:p>
            <w:pPr>
              <w:spacing w:after="0" w:line="252" w:lineRule="auto"/>
            </w:pPr>
            <w:r>
              <w:rPr>
                <w:sz w:val="19"/>
              </w:rPr>
              <w:t>A model that reorders retrieved candidates using query relevance</w:t>
            </w:r>
          </w:p>
        </w:tc>
      </w:tr>
      <w:tr>
        <w:trPr>
          <w:cantSplit/>
        </w:trPr>
        <w:tc>
          <w:tcPr>
            <w:tcW w:type="dxa" w:w="1699"/>
            <w:vAlign w:val="center"/>
            <w:tcMar>
              <w:top w:w="75" w:type="dxa"/>
              <w:bottom w:w="75" w:type="dxa"/>
              <w:left w:w="85" w:type="dxa"/>
              <w:right w:w="85" w:type="dxa"/>
            </w:tcMar>
            <w:shd w:fill="F3F4F5"/>
          </w:tcPr>
          <w:p>
            <w:pPr>
              <w:spacing w:after="0" w:line="252" w:lineRule="auto"/>
            </w:pPr>
            <w:r>
              <w:rPr>
                <w:sz w:val="19"/>
              </w:rPr>
              <w:t>RAG</w:t>
            </w:r>
          </w:p>
        </w:tc>
        <w:tc>
          <w:tcPr>
            <w:tcW w:type="dxa" w:w="7618"/>
            <w:vAlign w:val="center"/>
            <w:tcMar>
              <w:top w:w="75" w:type="dxa"/>
              <w:bottom w:w="75" w:type="dxa"/>
              <w:left w:w="85" w:type="dxa"/>
              <w:right w:w="85" w:type="dxa"/>
            </w:tcMar>
            <w:shd w:fill="F3F4F5"/>
          </w:tcPr>
          <w:p>
            <w:pPr>
              <w:spacing w:after="0" w:line="252" w:lineRule="auto"/>
            </w:pPr>
            <w:r>
              <w:rPr>
                <w:sz w:val="19"/>
              </w:rPr>
              <w:t>Retrieval-augmented generation using external evidence at inference time</w:t>
            </w:r>
          </w:p>
        </w:tc>
      </w:tr>
      <w:tr>
        <w:trPr>
          <w:cantSplit/>
        </w:trPr>
        <w:tc>
          <w:tcPr>
            <w:tcW w:type="dxa" w:w="1699"/>
            <w:vAlign w:val="center"/>
            <w:tcMar>
              <w:top w:w="75" w:type="dxa"/>
              <w:bottom w:w="75" w:type="dxa"/>
              <w:left w:w="85" w:type="dxa"/>
              <w:right w:w="85" w:type="dxa"/>
            </w:tcMar>
            <w:shd w:fill="FFFFFF"/>
          </w:tcPr>
          <w:p>
            <w:pPr>
              <w:spacing w:after="0" w:line="252" w:lineRule="auto"/>
            </w:pPr>
            <w:r>
              <w:rPr>
                <w:sz w:val="19"/>
              </w:rPr>
              <w:t>LoRA</w:t>
            </w:r>
          </w:p>
        </w:tc>
        <w:tc>
          <w:tcPr>
            <w:tcW w:type="dxa" w:w="7618"/>
            <w:vAlign w:val="center"/>
            <w:tcMar>
              <w:top w:w="75" w:type="dxa"/>
              <w:bottom w:w="75" w:type="dxa"/>
              <w:left w:w="85" w:type="dxa"/>
              <w:right w:w="85" w:type="dxa"/>
            </w:tcMar>
            <w:shd w:fill="FFFFFF"/>
          </w:tcPr>
          <w:p>
            <w:pPr>
              <w:spacing w:after="0" w:line="252" w:lineRule="auto"/>
            </w:pPr>
            <w:r>
              <w:rPr>
                <w:sz w:val="19"/>
              </w:rPr>
              <w:t>Low-rank adaptation that learns compact updates to a frozen model</w:t>
            </w:r>
          </w:p>
        </w:tc>
      </w:tr>
      <w:tr>
        <w:trPr>
          <w:cantSplit/>
        </w:trPr>
        <w:tc>
          <w:tcPr>
            <w:tcW w:type="dxa" w:w="1699"/>
            <w:vAlign w:val="center"/>
            <w:tcMar>
              <w:top w:w="75" w:type="dxa"/>
              <w:bottom w:w="75" w:type="dxa"/>
              <w:left w:w="85" w:type="dxa"/>
              <w:right w:w="85" w:type="dxa"/>
            </w:tcMar>
            <w:shd w:fill="F3F4F5"/>
          </w:tcPr>
          <w:p>
            <w:pPr>
              <w:spacing w:after="0" w:line="252" w:lineRule="auto"/>
            </w:pPr>
            <w:r>
              <w:rPr>
                <w:sz w:val="19"/>
              </w:rPr>
              <w:t>QLoRA</w:t>
            </w:r>
          </w:p>
        </w:tc>
        <w:tc>
          <w:tcPr>
            <w:tcW w:type="dxa" w:w="7618"/>
            <w:vAlign w:val="center"/>
            <w:tcMar>
              <w:top w:w="75" w:type="dxa"/>
              <w:bottom w:w="75" w:type="dxa"/>
              <w:left w:w="85" w:type="dxa"/>
              <w:right w:w="85" w:type="dxa"/>
            </w:tcMar>
            <w:shd w:fill="F3F4F5"/>
          </w:tcPr>
          <w:p>
            <w:pPr>
              <w:spacing w:after="0" w:line="252" w:lineRule="auto"/>
            </w:pPr>
            <w:r>
              <w:rPr>
                <w:sz w:val="19"/>
              </w:rPr>
              <w:t>Low-rank adaptation using a quantized frozen base model</w:t>
            </w:r>
          </w:p>
        </w:tc>
      </w:tr>
      <w:tr>
        <w:trPr>
          <w:cantSplit/>
        </w:trPr>
        <w:tc>
          <w:tcPr>
            <w:tcW w:type="dxa" w:w="1699"/>
            <w:vAlign w:val="center"/>
            <w:tcMar>
              <w:top w:w="75" w:type="dxa"/>
              <w:bottom w:w="75" w:type="dxa"/>
              <w:left w:w="85" w:type="dxa"/>
              <w:right w:w="85" w:type="dxa"/>
            </w:tcMar>
            <w:shd w:fill="FFFFFF"/>
          </w:tcPr>
          <w:p>
            <w:pPr>
              <w:spacing w:after="0" w:line="252" w:lineRule="auto"/>
            </w:pPr>
            <w:r>
              <w:rPr>
                <w:sz w:val="19"/>
              </w:rPr>
              <w:t>SFT</w:t>
            </w:r>
          </w:p>
        </w:tc>
        <w:tc>
          <w:tcPr>
            <w:tcW w:type="dxa" w:w="7618"/>
            <w:vAlign w:val="center"/>
            <w:tcMar>
              <w:top w:w="75" w:type="dxa"/>
              <w:bottom w:w="75" w:type="dxa"/>
              <w:left w:w="85" w:type="dxa"/>
              <w:right w:w="85" w:type="dxa"/>
            </w:tcMar>
            <w:shd w:fill="FFFFFF"/>
          </w:tcPr>
          <w:p>
            <w:pPr>
              <w:spacing w:after="0" w:line="252" w:lineRule="auto"/>
            </w:pPr>
            <w:r>
              <w:rPr>
                <w:sz w:val="19"/>
              </w:rPr>
              <w:t>Supervised fine tuning using demonstrations of desired behavior</w:t>
            </w:r>
          </w:p>
        </w:tc>
      </w:tr>
      <w:tr>
        <w:trPr>
          <w:cantSplit/>
        </w:trPr>
        <w:tc>
          <w:tcPr>
            <w:tcW w:type="dxa" w:w="1699"/>
            <w:vAlign w:val="center"/>
            <w:tcMar>
              <w:top w:w="75" w:type="dxa"/>
              <w:bottom w:w="75" w:type="dxa"/>
              <w:left w:w="85" w:type="dxa"/>
              <w:right w:w="85" w:type="dxa"/>
            </w:tcMar>
            <w:shd w:fill="F3F4F5"/>
          </w:tcPr>
          <w:p>
            <w:pPr>
              <w:spacing w:after="0" w:line="252" w:lineRule="auto"/>
            </w:pPr>
            <w:r>
              <w:rPr>
                <w:sz w:val="19"/>
              </w:rPr>
              <w:t>DPO</w:t>
            </w:r>
          </w:p>
        </w:tc>
        <w:tc>
          <w:tcPr>
            <w:tcW w:type="dxa" w:w="7618"/>
            <w:vAlign w:val="center"/>
            <w:tcMar>
              <w:top w:w="75" w:type="dxa"/>
              <w:bottom w:w="75" w:type="dxa"/>
              <w:left w:w="85" w:type="dxa"/>
              <w:right w:w="85" w:type="dxa"/>
            </w:tcMar>
            <w:shd w:fill="F3F4F5"/>
          </w:tcPr>
          <w:p>
            <w:pPr>
              <w:spacing w:after="0" w:line="252" w:lineRule="auto"/>
            </w:pPr>
            <w:r>
              <w:rPr>
                <w:sz w:val="19"/>
              </w:rPr>
              <w:t>Direct preference optimization using preferred and rejected outputs</w:t>
            </w:r>
          </w:p>
        </w:tc>
      </w:tr>
      <w:tr>
        <w:trPr>
          <w:cantSplit/>
        </w:trPr>
        <w:tc>
          <w:tcPr>
            <w:tcW w:type="dxa" w:w="1699"/>
            <w:vAlign w:val="center"/>
            <w:tcMar>
              <w:top w:w="75" w:type="dxa"/>
              <w:bottom w:w="75" w:type="dxa"/>
              <w:left w:w="85" w:type="dxa"/>
              <w:right w:w="85" w:type="dxa"/>
            </w:tcMar>
            <w:shd w:fill="FFFFFF"/>
          </w:tcPr>
          <w:p>
            <w:pPr>
              <w:spacing w:after="0" w:line="252" w:lineRule="auto"/>
            </w:pPr>
            <w:r>
              <w:rPr>
                <w:sz w:val="19"/>
              </w:rPr>
              <w:t>MoE</w:t>
            </w:r>
          </w:p>
        </w:tc>
        <w:tc>
          <w:tcPr>
            <w:tcW w:type="dxa" w:w="7618"/>
            <w:vAlign w:val="center"/>
            <w:tcMar>
              <w:top w:w="75" w:type="dxa"/>
              <w:bottom w:w="75" w:type="dxa"/>
              <w:left w:w="85" w:type="dxa"/>
              <w:right w:w="85" w:type="dxa"/>
            </w:tcMar>
            <w:shd w:fill="FFFFFF"/>
          </w:tcPr>
          <w:p>
            <w:pPr>
              <w:spacing w:after="0" w:line="252" w:lineRule="auto"/>
            </w:pPr>
            <w:r>
              <w:rPr>
                <w:sz w:val="19"/>
              </w:rPr>
              <w:t>Mixture of experts with selective activation of expert parameters</w:t>
            </w:r>
          </w:p>
        </w:tc>
      </w:tr>
      <w:tr>
        <w:trPr>
          <w:cantSplit/>
        </w:trPr>
        <w:tc>
          <w:tcPr>
            <w:tcW w:type="dxa" w:w="1699"/>
            <w:vAlign w:val="center"/>
            <w:tcMar>
              <w:top w:w="75" w:type="dxa"/>
              <w:bottom w:w="75" w:type="dxa"/>
              <w:left w:w="85" w:type="dxa"/>
              <w:right w:w="85" w:type="dxa"/>
            </w:tcMar>
            <w:shd w:fill="F3F4F5"/>
          </w:tcPr>
          <w:p>
            <w:pPr>
              <w:spacing w:after="0" w:line="252" w:lineRule="auto"/>
            </w:pPr>
            <w:r>
              <w:rPr>
                <w:sz w:val="19"/>
              </w:rPr>
              <w:t>KV cache</w:t>
            </w:r>
          </w:p>
        </w:tc>
        <w:tc>
          <w:tcPr>
            <w:tcW w:type="dxa" w:w="7618"/>
            <w:vAlign w:val="center"/>
            <w:tcMar>
              <w:top w:w="75" w:type="dxa"/>
              <w:bottom w:w="75" w:type="dxa"/>
              <w:left w:w="85" w:type="dxa"/>
              <w:right w:w="85" w:type="dxa"/>
            </w:tcMar>
            <w:shd w:fill="F3F4F5"/>
          </w:tcPr>
          <w:p>
            <w:pPr>
              <w:spacing w:after="0" w:line="252" w:lineRule="auto"/>
            </w:pPr>
            <w:r>
              <w:rPr>
                <w:sz w:val="19"/>
              </w:rPr>
              <w:t>Stored attention state used during model generation</w:t>
            </w:r>
          </w:p>
        </w:tc>
      </w:tr>
      <w:tr>
        <w:trPr>
          <w:cantSplit/>
        </w:trPr>
        <w:tc>
          <w:tcPr>
            <w:tcW w:type="dxa" w:w="1699"/>
            <w:vAlign w:val="center"/>
            <w:tcMar>
              <w:top w:w="75" w:type="dxa"/>
              <w:bottom w:w="75" w:type="dxa"/>
              <w:left w:w="85" w:type="dxa"/>
              <w:right w:w="85" w:type="dxa"/>
            </w:tcMar>
            <w:shd w:fill="FFFFFF"/>
          </w:tcPr>
          <w:p>
            <w:pPr>
              <w:spacing w:after="0" w:line="252" w:lineRule="auto"/>
            </w:pPr>
            <w:r>
              <w:rPr>
                <w:sz w:val="19"/>
              </w:rPr>
              <w:t>CAPP</w:t>
            </w:r>
          </w:p>
        </w:tc>
        <w:tc>
          <w:tcPr>
            <w:tcW w:type="dxa" w:w="7618"/>
            <w:vAlign w:val="center"/>
            <w:tcMar>
              <w:top w:w="75" w:type="dxa"/>
              <w:bottom w:w="75" w:type="dxa"/>
              <w:left w:w="85" w:type="dxa"/>
              <w:right w:w="85" w:type="dxa"/>
            </w:tcMar>
            <w:shd w:fill="FFFFFF"/>
          </w:tcPr>
          <w:p>
            <w:pPr>
              <w:spacing w:after="0" w:line="252" w:lineRule="auto"/>
            </w:pPr>
            <w:r>
              <w:rPr>
                <w:sz w:val="19"/>
              </w:rPr>
              <w:t>Computer-aided process planning for methods, resources, and operation sequences</w:t>
            </w:r>
          </w:p>
        </w:tc>
      </w:tr>
      <w:tr>
        <w:trPr>
          <w:cantSplit/>
        </w:trPr>
        <w:tc>
          <w:tcPr>
            <w:tcW w:type="dxa" w:w="1699"/>
            <w:vAlign w:val="center"/>
            <w:tcMar>
              <w:top w:w="75" w:type="dxa"/>
              <w:bottom w:w="75" w:type="dxa"/>
              <w:left w:w="85" w:type="dxa"/>
              <w:right w:w="85" w:type="dxa"/>
            </w:tcMar>
            <w:shd w:fill="F3F4F5"/>
          </w:tcPr>
          <w:p>
            <w:pPr>
              <w:spacing w:after="0" w:line="252" w:lineRule="auto"/>
            </w:pPr>
            <w:r>
              <w:rPr>
                <w:sz w:val="19"/>
              </w:rPr>
              <w:t>APS</w:t>
            </w:r>
          </w:p>
        </w:tc>
        <w:tc>
          <w:tcPr>
            <w:tcW w:type="dxa" w:w="7618"/>
            <w:vAlign w:val="center"/>
            <w:tcMar>
              <w:top w:w="75" w:type="dxa"/>
              <w:bottom w:w="75" w:type="dxa"/>
              <w:left w:w="85" w:type="dxa"/>
              <w:right w:w="85" w:type="dxa"/>
            </w:tcMar>
            <w:shd w:fill="F3F4F5"/>
          </w:tcPr>
          <w:p>
            <w:pPr>
              <w:spacing w:after="0" w:line="252" w:lineRule="auto"/>
            </w:pPr>
            <w:r>
              <w:rPr>
                <w:sz w:val="19"/>
              </w:rPr>
              <w:t>Advanced planning and scheduling with resource and production constraints</w:t>
            </w:r>
          </w:p>
        </w:tc>
      </w:tr>
      <w:tr>
        <w:trPr>
          <w:cantSplit/>
        </w:trPr>
        <w:tc>
          <w:tcPr>
            <w:tcW w:type="dxa" w:w="1699"/>
            <w:vAlign w:val="center"/>
            <w:tcMar>
              <w:top w:w="75" w:type="dxa"/>
              <w:bottom w:w="75" w:type="dxa"/>
              <w:left w:w="85" w:type="dxa"/>
              <w:right w:w="85" w:type="dxa"/>
            </w:tcMar>
            <w:shd w:fill="FFFFFF"/>
          </w:tcPr>
          <w:p>
            <w:pPr>
              <w:spacing w:after="0" w:line="252" w:lineRule="auto"/>
            </w:pPr>
            <w:r>
              <w:rPr>
                <w:sz w:val="19"/>
              </w:rPr>
              <w:t>MES</w:t>
            </w:r>
          </w:p>
        </w:tc>
        <w:tc>
          <w:tcPr>
            <w:tcW w:type="dxa" w:w="7618"/>
            <w:vAlign w:val="center"/>
            <w:tcMar>
              <w:top w:w="75" w:type="dxa"/>
              <w:bottom w:w="75" w:type="dxa"/>
              <w:left w:w="85" w:type="dxa"/>
              <w:right w:w="85" w:type="dxa"/>
            </w:tcMar>
            <w:shd w:fill="FFFFFF"/>
          </w:tcPr>
          <w:p>
            <w:pPr>
              <w:spacing w:after="0" w:line="252" w:lineRule="auto"/>
            </w:pPr>
            <w:r>
              <w:rPr>
                <w:sz w:val="19"/>
              </w:rPr>
              <w:t>Manufacturing execution system for operational work and production records</w:t>
            </w:r>
          </w:p>
        </w:tc>
      </w:tr>
      <w:tr>
        <w:trPr>
          <w:cantSplit/>
        </w:trPr>
        <w:tc>
          <w:tcPr>
            <w:tcW w:type="dxa" w:w="1699"/>
            <w:vAlign w:val="center"/>
            <w:tcMar>
              <w:top w:w="75" w:type="dxa"/>
              <w:bottom w:w="75" w:type="dxa"/>
              <w:left w:w="85" w:type="dxa"/>
              <w:right w:w="85" w:type="dxa"/>
            </w:tcMar>
            <w:shd w:fill="F3F4F5"/>
          </w:tcPr>
          <w:p>
            <w:pPr>
              <w:spacing w:after="0" w:line="252" w:lineRule="auto"/>
            </w:pPr>
            <w:r>
              <w:rPr>
                <w:sz w:val="19"/>
              </w:rPr>
              <w:t>ERP</w:t>
            </w:r>
          </w:p>
        </w:tc>
        <w:tc>
          <w:tcPr>
            <w:tcW w:type="dxa" w:w="7618"/>
            <w:vAlign w:val="center"/>
            <w:tcMar>
              <w:top w:w="75" w:type="dxa"/>
              <w:bottom w:w="75" w:type="dxa"/>
              <w:left w:w="85" w:type="dxa"/>
              <w:right w:w="85" w:type="dxa"/>
            </w:tcMar>
            <w:shd w:fill="F3F4F5"/>
          </w:tcPr>
          <w:p>
            <w:pPr>
              <w:spacing w:after="0" w:line="252" w:lineRule="auto"/>
            </w:pPr>
            <w:r>
              <w:rPr>
                <w:sz w:val="19"/>
              </w:rPr>
              <w:t>Enterprise resource planning for business processes and resources</w:t>
            </w:r>
          </w:p>
        </w:tc>
      </w:tr>
      <w:tr>
        <w:trPr>
          <w:cantSplit/>
        </w:trPr>
        <w:tc>
          <w:tcPr>
            <w:tcW w:type="dxa" w:w="1699"/>
            <w:vAlign w:val="center"/>
            <w:tcMar>
              <w:top w:w="75" w:type="dxa"/>
              <w:bottom w:w="75" w:type="dxa"/>
              <w:left w:w="85" w:type="dxa"/>
              <w:right w:w="85" w:type="dxa"/>
            </w:tcMar>
            <w:shd w:fill="FFFFFF"/>
          </w:tcPr>
          <w:p>
            <w:pPr>
              <w:spacing w:after="0" w:line="252" w:lineRule="auto"/>
            </w:pPr>
            <w:r>
              <w:rPr>
                <w:sz w:val="19"/>
              </w:rPr>
              <w:t>RCA</w:t>
            </w:r>
          </w:p>
        </w:tc>
        <w:tc>
          <w:tcPr>
            <w:tcW w:type="dxa" w:w="7618"/>
            <w:vAlign w:val="center"/>
            <w:tcMar>
              <w:top w:w="75" w:type="dxa"/>
              <w:bottom w:w="75" w:type="dxa"/>
              <w:left w:w="85" w:type="dxa"/>
              <w:right w:w="85" w:type="dxa"/>
            </w:tcMar>
            <w:shd w:fill="FFFFFF"/>
          </w:tcPr>
          <w:p>
            <w:pPr>
              <w:spacing w:after="0" w:line="252" w:lineRule="auto"/>
            </w:pPr>
            <w:r>
              <w:rPr>
                <w:sz w:val="19"/>
              </w:rPr>
              <w:t>Root cause analysis using evidence about an observed problem</w:t>
            </w:r>
          </w:p>
        </w:tc>
      </w:tr>
      <w:tr>
        <w:trPr>
          <w:cantSplit/>
        </w:trPr>
        <w:tc>
          <w:tcPr>
            <w:tcW w:type="dxa" w:w="1699"/>
            <w:vAlign w:val="center"/>
            <w:tcMar>
              <w:top w:w="75" w:type="dxa"/>
              <w:bottom w:w="75" w:type="dxa"/>
              <w:left w:w="85" w:type="dxa"/>
              <w:right w:w="85" w:type="dxa"/>
            </w:tcMar>
            <w:shd w:fill="F3F4F5"/>
          </w:tcPr>
          <w:p>
            <w:pPr>
              <w:spacing w:after="0" w:line="252" w:lineRule="auto"/>
            </w:pPr>
            <w:r>
              <w:rPr>
                <w:sz w:val="19"/>
              </w:rPr>
              <w:t>FMEA</w:t>
            </w:r>
          </w:p>
        </w:tc>
        <w:tc>
          <w:tcPr>
            <w:tcW w:type="dxa" w:w="7618"/>
            <w:vAlign w:val="center"/>
            <w:tcMar>
              <w:top w:w="75" w:type="dxa"/>
              <w:bottom w:w="75" w:type="dxa"/>
              <w:left w:w="85" w:type="dxa"/>
              <w:right w:w="85" w:type="dxa"/>
            </w:tcMar>
            <w:shd w:fill="F3F4F5"/>
          </w:tcPr>
          <w:p>
            <w:pPr>
              <w:spacing w:after="0" w:line="252" w:lineRule="auto"/>
            </w:pPr>
            <w:r>
              <w:rPr>
                <w:sz w:val="19"/>
              </w:rPr>
              <w:t>Failure mode and effects analysis recording potential failures and their relationships</w:t>
            </w:r>
          </w:p>
        </w:tc>
      </w:tr>
      <w:tr>
        <w:trPr>
          <w:cantSplit/>
        </w:trPr>
        <w:tc>
          <w:tcPr>
            <w:tcW w:type="dxa" w:w="1699"/>
            <w:vAlign w:val="center"/>
            <w:tcMar>
              <w:top w:w="75" w:type="dxa"/>
              <w:bottom w:w="75" w:type="dxa"/>
              <w:left w:w="85" w:type="dxa"/>
              <w:right w:w="85" w:type="dxa"/>
            </w:tcMar>
            <w:shd w:fill="FFFFFF"/>
          </w:tcPr>
          <w:p>
            <w:pPr>
              <w:spacing w:after="0" w:line="252" w:lineRule="auto"/>
            </w:pPr>
            <w:r>
              <w:rPr>
                <w:sz w:val="19"/>
              </w:rPr>
              <w:t>Provenance</w:t>
            </w:r>
          </w:p>
        </w:tc>
        <w:tc>
          <w:tcPr>
            <w:tcW w:type="dxa" w:w="7618"/>
            <w:vAlign w:val="center"/>
            <w:tcMar>
              <w:top w:w="75" w:type="dxa"/>
              <w:bottom w:w="75" w:type="dxa"/>
              <w:left w:w="85" w:type="dxa"/>
              <w:right w:w="85" w:type="dxa"/>
            </w:tcMar>
            <w:shd w:fill="FFFFFF"/>
          </w:tcPr>
          <w:p>
            <w:pPr>
              <w:spacing w:after="0" w:line="252" w:lineRule="auto"/>
            </w:pPr>
            <w:r>
              <w:rPr>
                <w:sz w:val="19"/>
              </w:rPr>
              <w:t>Information identifying where a fact or artifact came from</w:t>
            </w:r>
          </w:p>
        </w:tc>
      </w:tr>
      <w:tr>
        <w:trPr>
          <w:cantSplit/>
        </w:trPr>
        <w:tc>
          <w:tcPr>
            <w:tcW w:type="dxa" w:w="1699"/>
            <w:vAlign w:val="center"/>
            <w:tcMar>
              <w:top w:w="75" w:type="dxa"/>
              <w:bottom w:w="75" w:type="dxa"/>
              <w:left w:w="85" w:type="dxa"/>
              <w:right w:w="85" w:type="dxa"/>
            </w:tcMar>
            <w:shd w:fill="F3F4F5"/>
          </w:tcPr>
          <w:p>
            <w:pPr>
              <w:spacing w:after="0" w:line="252" w:lineRule="auto"/>
            </w:pPr>
            <w:r>
              <w:rPr>
                <w:sz w:val="19"/>
              </w:rPr>
              <w:t>Idempotency</w:t>
            </w:r>
          </w:p>
        </w:tc>
        <w:tc>
          <w:tcPr>
            <w:tcW w:type="dxa" w:w="7618"/>
            <w:vAlign w:val="center"/>
            <w:tcMar>
              <w:top w:w="75" w:type="dxa"/>
              <w:bottom w:w="75" w:type="dxa"/>
              <w:left w:w="85" w:type="dxa"/>
              <w:right w:w="85" w:type="dxa"/>
            </w:tcMar>
            <w:shd w:fill="F3F4F5"/>
          </w:tcPr>
          <w:p>
            <w:pPr>
              <w:spacing w:after="0" w:line="252" w:lineRule="auto"/>
            </w:pPr>
            <w:r>
              <w:rPr>
                <w:sz w:val="19"/>
              </w:rPr>
              <w:t>Repeating a request without causing an additional business effect</w:t>
            </w:r>
          </w:p>
        </w:tc>
      </w:tr>
      <w:tr>
        <w:trPr>
          <w:cantSplit/>
        </w:trPr>
        <w:tc>
          <w:tcPr>
            <w:tcW w:type="dxa" w:w="1699"/>
            <w:vAlign w:val="center"/>
            <w:tcMar>
              <w:top w:w="75" w:type="dxa"/>
              <w:bottom w:w="75" w:type="dxa"/>
              <w:left w:w="85" w:type="dxa"/>
              <w:right w:w="85" w:type="dxa"/>
            </w:tcMar>
            <w:shd w:fill="FFFFFF"/>
          </w:tcPr>
          <w:p>
            <w:pPr>
              <w:spacing w:after="0" w:line="252" w:lineRule="auto"/>
            </w:pPr>
            <w:r>
              <w:rPr>
                <w:sz w:val="19"/>
              </w:rPr>
              <w:t>Digital twin</w:t>
            </w:r>
          </w:p>
        </w:tc>
        <w:tc>
          <w:tcPr>
            <w:tcW w:type="dxa" w:w="7618"/>
            <w:vAlign w:val="center"/>
            <w:tcMar>
              <w:top w:w="75" w:type="dxa"/>
              <w:bottom w:w="75" w:type="dxa"/>
              <w:left w:w="85" w:type="dxa"/>
              <w:right w:w="85" w:type="dxa"/>
            </w:tcMar>
            <w:shd w:fill="FFFFFF"/>
          </w:tcPr>
          <w:p>
            <w:pPr>
              <w:spacing w:after="0" w:line="252" w:lineRule="auto"/>
            </w:pPr>
            <w:r>
              <w:rPr>
                <w:sz w:val="19"/>
              </w:rPr>
              <w:t>A digital representation linked to a physical system for defined purposes</w:t>
            </w:r>
          </w:p>
        </w:tc>
      </w:tr>
      <w:tr>
        <w:trPr>
          <w:cantSplit/>
        </w:trPr>
        <w:tc>
          <w:tcPr>
            <w:tcW w:type="dxa" w:w="1699"/>
            <w:vAlign w:val="center"/>
            <w:tcMar>
              <w:top w:w="75" w:type="dxa"/>
              <w:bottom w:w="75" w:type="dxa"/>
              <w:left w:w="85" w:type="dxa"/>
              <w:right w:w="85" w:type="dxa"/>
            </w:tcMar>
            <w:shd w:fill="F3F4F5"/>
          </w:tcPr>
          <w:p>
            <w:pPr>
              <w:spacing w:after="0" w:line="252" w:lineRule="auto"/>
            </w:pPr>
            <w:r>
              <w:rPr>
                <w:sz w:val="19"/>
              </w:rPr>
              <w:t>Air gap</w:t>
            </w:r>
          </w:p>
        </w:tc>
        <w:tc>
          <w:tcPr>
            <w:tcW w:type="dxa" w:w="7618"/>
            <w:vAlign w:val="center"/>
            <w:tcMar>
              <w:top w:w="75" w:type="dxa"/>
              <w:bottom w:w="75" w:type="dxa"/>
              <w:left w:w="85" w:type="dxa"/>
              <w:right w:w="85" w:type="dxa"/>
            </w:tcMar>
            <w:shd w:fill="F3F4F5"/>
          </w:tcPr>
          <w:p>
            <w:pPr>
              <w:spacing w:after="0" w:line="252" w:lineRule="auto"/>
            </w:pPr>
            <w:r>
              <w:rPr>
                <w:sz w:val="19"/>
              </w:rPr>
              <w:t>Separation from external networks, requiring controlled offline lifecycle operations</w:t>
            </w:r>
          </w:p>
        </w:tc>
      </w:tr>
    </w:tbl>
    <w:p>
      <w:pPr>
        <w:spacing w:after="20"/>
      </w:pPr>
    </w:p>
    <w:p>
      <w:bookmarkStart w:id="8" w:name="section_8"/>
      <w:pPr>
        <w:pStyle w:val="Heading1"/>
        <w:numPr>
          <w:ilvl w:val="0"/>
          <w:numId w:val="70"/>
        </w:numPr>
      </w:pPr>
      <w:r>
        <w:t>References</w:t>
      </w:r>
      <w:bookmarkEnd w:id="8"/>
    </w:p>
    <w:p>
      <w:pPr>
        <w:spacing w:after="200"/>
      </w:pPr>
      <w:r>
        <w:t>All web references were consulted on 11 September 2026. Undated model cards and living documentation are marked n.d. Research dates and revision notes are preserved where material. Source types distinguish research evidence from developer descriptions and vendor demonstrations.</w:t>
      </w:r>
    </w:p>
    <w:p>
      <w:bookmarkStart w:id="1001" w:name="reference_1"/>
      <w:pPr>
        <w:spacing w:line="250" w:lineRule="auto" w:after="120"/>
        <w:ind w:left="360" w:hanging="360"/>
      </w:pPr>
      <w:bookmarkEnd w:id="1001"/>
      <w:r>
        <w:rPr>
          <w:sz w:val="20"/>
        </w:rPr>
        <w:t xml:space="preserve">[1] A2A Project and Linux Foundation (n.d.). </w:t>
      </w:r>
      <w:hyperlink r:id="rId12">
        <w:r>
          <w:rPr>
            <w:color w:val="174B78"/>
            <w:sz w:val="20"/>
          </w:rPr>
          <w:t>Agent2Agent Protocol documentation</w:t>
        </w:r>
      </w:hyperlink>
      <w:r>
        <w:rPr>
          <w:sz w:val="20"/>
        </w:rPr>
        <w:t>. Protocol documentation.</w:t>
      </w:r>
    </w:p>
    <w:p>
      <w:bookmarkStart w:id="1002" w:name="reference_2"/>
      <w:pPr>
        <w:spacing w:line="250" w:lineRule="auto" w:after="120"/>
        <w:ind w:left="360" w:hanging="360"/>
      </w:pPr>
      <w:bookmarkEnd w:id="1002"/>
      <w:r>
        <w:rPr>
          <w:sz w:val="20"/>
        </w:rPr>
        <w:t xml:space="preserve">[2] M. Abdelaal, S. Lokadjaja and G. Engert (2025). </w:t>
      </w:r>
      <w:hyperlink r:id="rId13">
        <w:r>
          <w:rPr>
            <w:color w:val="174B78"/>
            <w:sz w:val="20"/>
          </w:rPr>
          <w:t>GLLM Self-Corrective G-Code Generation using Large Language Models with User Feedback</w:t>
        </w:r>
      </w:hyperlink>
      <w:r>
        <w:rPr>
          <w:sz w:val="20"/>
        </w:rPr>
        <w:t>. Research preprint. arXiv:2501.17584v1; methods and evaluation sections.</w:t>
      </w:r>
    </w:p>
    <w:p>
      <w:bookmarkStart w:id="1003" w:name="reference_3"/>
      <w:pPr>
        <w:spacing w:line="250" w:lineRule="auto" w:after="120"/>
        <w:ind w:left="360" w:hanging="360"/>
      </w:pPr>
      <w:bookmarkEnd w:id="1003"/>
      <w:r>
        <w:rPr>
          <w:sz w:val="20"/>
        </w:rPr>
        <w:t xml:space="preserve">[3] Agent Client Protocol contributors (n.d.). </w:t>
      </w:r>
      <w:hyperlink r:id="rId14">
        <w:r>
          <w:rPr>
            <w:color w:val="174B78"/>
            <w:sz w:val="20"/>
          </w:rPr>
          <w:t>Agent Client Protocol introduction</w:t>
        </w:r>
      </w:hyperlink>
      <w:r>
        <w:rPr>
          <w:sz w:val="20"/>
        </w:rPr>
        <w:t>. Protocol documentation.</w:t>
      </w:r>
    </w:p>
    <w:p>
      <w:bookmarkStart w:id="1004" w:name="reference_4"/>
      <w:pPr>
        <w:spacing w:line="250" w:lineRule="auto" w:after="120"/>
        <w:ind w:left="360" w:hanging="360"/>
      </w:pPr>
      <w:bookmarkEnd w:id="1004"/>
      <w:r>
        <w:rPr>
          <w:sz w:val="20"/>
        </w:rPr>
        <w:t xml:space="preserve">[4] A. F. Ansari et al. (2024). </w:t>
      </w:r>
      <w:hyperlink r:id="rId15">
        <w:r>
          <w:rPr>
            <w:color w:val="174B78"/>
            <w:sz w:val="20"/>
          </w:rPr>
          <w:t>Chronos Learning the Language of Time Series</w:t>
        </w:r>
      </w:hyperlink>
      <w:r>
        <w:rPr>
          <w:sz w:val="20"/>
        </w:rPr>
        <w:t>. Research paper. arXiv:2403.07815v3.</w:t>
      </w:r>
    </w:p>
    <w:p>
      <w:bookmarkStart w:id="1005" w:name="reference_5"/>
      <w:pPr>
        <w:spacing w:line="250" w:lineRule="auto" w:after="120"/>
        <w:ind w:left="360" w:hanging="360"/>
      </w:pPr>
      <w:bookmarkEnd w:id="1005"/>
      <w:r>
        <w:rPr>
          <w:sz w:val="20"/>
        </w:rPr>
        <w:t xml:space="preserve">[5] Anthropic (2024). </w:t>
      </w:r>
      <w:hyperlink r:id="rId16">
        <w:r>
          <w:rPr>
            <w:color w:val="174B78"/>
            <w:sz w:val="20"/>
          </w:rPr>
          <w:t>Building effective agents</w:t>
        </w:r>
      </w:hyperlink>
      <w:r>
        <w:rPr>
          <w:sz w:val="20"/>
        </w:rPr>
        <w:t>. Practitioner engineering article. 19 December 2024; living article, architectural patterns rather than a current product comparison.</w:t>
      </w:r>
    </w:p>
    <w:p>
      <w:bookmarkStart w:id="1006" w:name="reference_6"/>
      <w:pPr>
        <w:spacing w:line="250" w:lineRule="auto" w:after="120"/>
        <w:ind w:left="360" w:hanging="360"/>
      </w:pPr>
      <w:bookmarkEnd w:id="1006"/>
      <w:r>
        <w:rPr>
          <w:sz w:val="20"/>
        </w:rPr>
        <w:t xml:space="preserve">[6] C. Auer et al. (2024). </w:t>
      </w:r>
      <w:hyperlink r:id="rId17">
        <w:r>
          <w:rPr>
            <w:color w:val="174B78"/>
            <w:sz w:val="20"/>
          </w:rPr>
          <w:t>Docling Technical Report</w:t>
        </w:r>
      </w:hyperlink>
      <w:r>
        <w:rPr>
          <w:sz w:val="20"/>
        </w:rPr>
        <w:t>. Technical report. arXiv:2408.09869v5; report describes Docling v1.</w:t>
      </w:r>
    </w:p>
    <w:p>
      <w:bookmarkStart w:id="1007" w:name="reference_7"/>
      <w:pPr>
        <w:spacing w:line="250" w:lineRule="auto" w:after="120"/>
        <w:ind w:left="360" w:hanging="360"/>
      </w:pPr>
      <w:bookmarkEnd w:id="1007"/>
      <w:r>
        <w:rPr>
          <w:sz w:val="20"/>
        </w:rPr>
        <w:t xml:space="preserve">[7] C. Autio et al. (2024). </w:t>
      </w:r>
      <w:hyperlink r:id="rId18">
        <w:r>
          <w:rPr>
            <w:color w:val="174B78"/>
            <w:sz w:val="20"/>
          </w:rPr>
          <w:t>Artificial Intelligence Risk Management Framework Generative Artificial Intelligence Profile</w:t>
        </w:r>
      </w:hyperlink>
      <w:r>
        <w:rPr>
          <w:sz w:val="20"/>
        </w:rPr>
        <w:t>. Government guidance. NIST AI 600-1; 26 July 2024.</w:t>
      </w:r>
    </w:p>
    <w:p>
      <w:bookmarkStart w:id="1008" w:name="reference_8"/>
      <w:pPr>
        <w:spacing w:line="250" w:lineRule="auto" w:after="120"/>
        <w:ind w:left="360" w:hanging="360"/>
      </w:pPr>
      <w:bookmarkEnd w:id="1008"/>
      <w:r>
        <w:rPr>
          <w:sz w:val="20"/>
        </w:rPr>
        <w:t xml:space="preserve">[8] BeeAI project maintainers (2025). </w:t>
      </w:r>
      <w:hyperlink r:id="rId19">
        <w:r>
          <w:rPr>
            <w:color w:val="174B78"/>
            <w:sz w:val="20"/>
          </w:rPr>
          <w:t>ACP Joins Forces with A2A Under the Linux Foundation</w:t>
        </w:r>
      </w:hyperlink>
      <w:r>
        <w:rPr>
          <w:sz w:val="20"/>
        </w:rPr>
        <w:t>. Official project announcement. 25 August 2025.</w:t>
      </w:r>
    </w:p>
    <w:p>
      <w:bookmarkStart w:id="1009" w:name="reference_9"/>
      <w:pPr>
        <w:spacing w:line="250" w:lineRule="auto" w:after="120"/>
        <w:ind w:left="360" w:hanging="360"/>
      </w:pPr>
      <w:bookmarkEnd w:id="1009"/>
      <w:r>
        <w:rPr>
          <w:sz w:val="20"/>
        </w:rPr>
        <w:t xml:space="preserve">[9] K. Black et al. (2025). </w:t>
      </w:r>
      <w:hyperlink r:id="rId20">
        <w:r>
          <w:rPr>
            <w:color w:val="174B78"/>
            <w:sz w:val="20"/>
          </w:rPr>
          <w:t>Pi zero A Vision-Language-Action Flow Model for General Robot Control</w:t>
        </w:r>
      </w:hyperlink>
      <w:r>
        <w:rPr>
          <w:sz w:val="20"/>
        </w:rPr>
        <w:t>. Conference paper. RSS 2025; arXiv v4 revised 8 January 2026.</w:t>
      </w:r>
    </w:p>
    <w:p>
      <w:bookmarkStart w:id="1010" w:name="reference_10"/>
      <w:pPr>
        <w:spacing w:line="250" w:lineRule="auto" w:after="120"/>
        <w:ind w:left="360" w:hanging="360"/>
      </w:pPr>
      <w:bookmarkEnd w:id="1010"/>
      <w:r>
        <w:rPr>
          <w:sz w:val="20"/>
        </w:rPr>
        <w:t xml:space="preserve">[10] M. Cemri et al. (2025). </w:t>
      </w:r>
      <w:hyperlink r:id="rId21">
        <w:r>
          <w:rPr>
            <w:color w:val="174B78"/>
            <w:sz w:val="20"/>
          </w:rPr>
          <w:t>Why Do Multi-Agent LLM Systems Fail</w:t>
        </w:r>
      </w:hyperlink>
      <w:r>
        <w:rPr>
          <w:sz w:val="20"/>
        </w:rPr>
        <w:t>. Research preprint. arXiv:2503.13657v3.</w:t>
      </w:r>
    </w:p>
    <w:p>
      <w:bookmarkStart w:id="1011" w:name="reference_11"/>
      <w:pPr>
        <w:spacing w:line="250" w:lineRule="auto" w:after="120"/>
        <w:ind w:left="360" w:hanging="360"/>
      </w:pPr>
      <w:bookmarkEnd w:id="1011"/>
      <w:r>
        <w:rPr>
          <w:sz w:val="20"/>
        </w:rPr>
        <w:t xml:space="preserve">[11] J. Chen et al. (2024). </w:t>
      </w:r>
      <w:hyperlink r:id="rId22">
        <w:r>
          <w:rPr>
            <w:color w:val="174B78"/>
            <w:sz w:val="20"/>
          </w:rPr>
          <w:t>M3-Embedding Multi-Linguality Multi-Functionality Multi-Granularity Text Embeddings Through Self-Knowledge Distillation</w:t>
        </w:r>
      </w:hyperlink>
      <w:r>
        <w:rPr>
          <w:sz w:val="20"/>
        </w:rPr>
        <w:t>. Research paper. arXiv:2402.03216.</w:t>
      </w:r>
    </w:p>
    <w:p>
      <w:bookmarkStart w:id="1012" w:name="reference_12"/>
      <w:pPr>
        <w:spacing w:line="250" w:lineRule="auto" w:after="120"/>
        <w:ind w:left="360" w:hanging="360"/>
      </w:pPr>
      <w:bookmarkEnd w:id="1012"/>
      <w:r>
        <w:rPr>
          <w:sz w:val="20"/>
        </w:rPr>
        <w:t xml:space="preserve">[12] CrewAI (n.d.). </w:t>
      </w:r>
      <w:hyperlink r:id="rId23">
        <w:r>
          <w:rPr>
            <w:color w:val="174B78"/>
            <w:sz w:val="20"/>
          </w:rPr>
          <w:t>CrewAI introduction</w:t>
        </w:r>
      </w:hyperlink>
      <w:r>
        <w:rPr>
          <w:sz w:val="20"/>
        </w:rPr>
        <w:t>. Official software documentation.</w:t>
      </w:r>
    </w:p>
    <w:p>
      <w:bookmarkStart w:id="1013" w:name="reference_13"/>
      <w:pPr>
        <w:spacing w:line="250" w:lineRule="auto" w:after="120"/>
        <w:ind w:left="360" w:hanging="360"/>
      </w:pPr>
      <w:bookmarkEnd w:id="1013"/>
      <w:r>
        <w:rPr>
          <w:sz w:val="20"/>
        </w:rPr>
        <w:t xml:space="preserve">[13] T. Dao et al. (2022). </w:t>
      </w:r>
      <w:hyperlink r:id="rId24">
        <w:r>
          <w:rPr>
            <w:color w:val="174B78"/>
            <w:sz w:val="20"/>
          </w:rPr>
          <w:t>FlashAttention Fast and Memory-Efficient Exact Attention with IO-Awareness</w:t>
        </w:r>
      </w:hyperlink>
      <w:r>
        <w:rPr>
          <w:sz w:val="20"/>
        </w:rPr>
        <w:t>. Research paper. arXiv:2205.14135.</w:t>
      </w:r>
    </w:p>
    <w:p>
      <w:bookmarkStart w:id="1014" w:name="reference_14"/>
      <w:pPr>
        <w:spacing w:line="250" w:lineRule="auto" w:after="120"/>
        <w:ind w:left="360" w:hanging="360"/>
      </w:pPr>
      <w:bookmarkEnd w:id="1014"/>
      <w:r>
        <w:rPr>
          <w:sz w:val="20"/>
        </w:rPr>
        <w:t xml:space="preserve">[14] DeepSeek-AI et al. (2025). </w:t>
      </w:r>
      <w:hyperlink r:id="rId25">
        <w:r>
          <w:rPr>
            <w:color w:val="174B78"/>
            <w:sz w:val="20"/>
          </w:rPr>
          <w:t>DeepSeek-R1 Incentivizing Reasoning Capability in LLMs via Reinforcement Learning</w:t>
        </w:r>
      </w:hyperlink>
      <w:r>
        <w:rPr>
          <w:sz w:val="20"/>
        </w:rPr>
        <w:t>. Research paper and technical report. arXiv:2501.12948.</w:t>
      </w:r>
    </w:p>
    <w:p>
      <w:bookmarkStart w:id="1015" w:name="reference_15"/>
      <w:pPr>
        <w:spacing w:line="250" w:lineRule="auto" w:after="120"/>
        <w:ind w:left="360" w:hanging="360"/>
      </w:pPr>
      <w:bookmarkEnd w:id="1015"/>
      <w:r>
        <w:rPr>
          <w:sz w:val="20"/>
        </w:rPr>
        <w:t xml:space="preserve">[15] deepset (n.d.). </w:t>
      </w:r>
      <w:hyperlink r:id="rId26">
        <w:r>
          <w:rPr>
            <w:color w:val="174B78"/>
            <w:sz w:val="20"/>
          </w:rPr>
          <w:t>Introduction to Haystack</w:t>
        </w:r>
      </w:hyperlink>
      <w:r>
        <w:rPr>
          <w:sz w:val="20"/>
        </w:rPr>
        <w:t>. Official software documentation.</w:t>
      </w:r>
    </w:p>
    <w:p>
      <w:bookmarkStart w:id="1016" w:name="reference_16"/>
      <w:pPr>
        <w:spacing w:line="250" w:lineRule="auto" w:after="120"/>
        <w:ind w:left="360" w:hanging="360"/>
      </w:pPr>
      <w:bookmarkEnd w:id="1016"/>
      <w:r>
        <w:rPr>
          <w:sz w:val="20"/>
        </w:rPr>
        <w:t xml:space="preserve">[16] Defog (n.d.). </w:t>
      </w:r>
      <w:hyperlink r:id="rId27">
        <w:r>
          <w:rPr>
            <w:color w:val="174B78"/>
            <w:sz w:val="20"/>
          </w:rPr>
          <w:t>Llama 3 SQLCoder 8B model card</w:t>
        </w:r>
      </w:hyperlink>
      <w:r>
        <w:rPr>
          <w:sz w:val="20"/>
        </w:rPr>
        <w:t>. Developer model card.</w:t>
      </w:r>
    </w:p>
    <w:p>
      <w:bookmarkStart w:id="1017" w:name="reference_17"/>
      <w:pPr>
        <w:spacing w:line="250" w:lineRule="auto" w:after="120"/>
        <w:ind w:left="360" w:hanging="360"/>
      </w:pPr>
      <w:bookmarkEnd w:id="1017"/>
      <w:r>
        <w:rPr>
          <w:sz w:val="20"/>
        </w:rPr>
        <w:t xml:space="preserve">[17] N. Deng et al. (2026). </w:t>
      </w:r>
      <w:hyperlink r:id="rId28">
        <w:r>
          <w:rPr>
            <w:color w:val="174B78"/>
            <w:sz w:val="20"/>
          </w:rPr>
          <w:t>IndustryForge-27B A Domain-Enhanced Multimodal Foundation Model for Industrial CAD</w:t>
        </w:r>
      </w:hyperlink>
      <w:r>
        <w:rPr>
          <w:sz w:val="20"/>
        </w:rPr>
        <w:t>. Research preprint. 30 July 2026; assessment limited to indexed abstract and metadata.</w:t>
      </w:r>
    </w:p>
    <w:p>
      <w:bookmarkStart w:id="1018" w:name="reference_18"/>
      <w:pPr>
        <w:spacing w:line="250" w:lineRule="auto" w:after="120"/>
        <w:ind w:left="360" w:hanging="360"/>
      </w:pPr>
      <w:bookmarkEnd w:id="1018"/>
      <w:r>
        <w:rPr>
          <w:sz w:val="20"/>
        </w:rPr>
        <w:t xml:space="preserve">[18] T. Dettmers, A. Pagnoni, A. Holtzman and L. Zettlemoyer (2023). </w:t>
      </w:r>
      <w:hyperlink r:id="rId29">
        <w:r>
          <w:rPr>
            <w:color w:val="174B78"/>
            <w:sz w:val="20"/>
          </w:rPr>
          <w:t>QLoRA Efficient Finetuning of Quantized LLMs</w:t>
        </w:r>
      </w:hyperlink>
      <w:r>
        <w:rPr>
          <w:sz w:val="20"/>
        </w:rPr>
        <w:t>. Research paper. arXiv:2305.14314.</w:t>
      </w:r>
    </w:p>
    <w:p>
      <w:bookmarkStart w:id="1019" w:name="reference_19"/>
      <w:pPr>
        <w:spacing w:line="250" w:lineRule="auto" w:after="120"/>
        <w:ind w:left="360" w:hanging="360"/>
      </w:pPr>
      <w:bookmarkEnd w:id="1019"/>
      <w:r>
        <w:rPr>
          <w:sz w:val="20"/>
        </w:rPr>
        <w:t xml:space="preserve">[19] A. Eckhoff for Siemens (2026). </w:t>
      </w:r>
      <w:hyperlink r:id="rId30">
        <w:r>
          <w:rPr>
            <w:color w:val="174B78"/>
            <w:sz w:val="20"/>
          </w:rPr>
          <w:t>Siemens and Microsoft AI-powered manufacturing of humanoid components</w:t>
        </w:r>
      </w:hyperlink>
      <w:r>
        <w:rPr>
          <w:sz w:val="20"/>
        </w:rPr>
        <w:t>. Vendor demonstration report. 1 July 2026; Hannover Messe demonstration.</w:t>
      </w:r>
    </w:p>
    <w:p>
      <w:bookmarkStart w:id="1020" w:name="reference_20"/>
      <w:pPr>
        <w:spacing w:line="250" w:lineRule="auto" w:after="120"/>
        <w:ind w:left="360" w:hanging="360"/>
      </w:pPr>
      <w:bookmarkEnd w:id="1020"/>
      <w:r>
        <w:rPr>
          <w:sz w:val="20"/>
        </w:rPr>
        <w:t xml:space="preserve">[20] A. Eckhoff for Siemens (2026). </w:t>
      </w:r>
      <w:hyperlink r:id="rId31">
        <w:r>
          <w:rPr>
            <w:color w:val="174B78"/>
            <w:sz w:val="20"/>
          </w:rPr>
          <w:t>What is new in NX for Manufacturing 2606 June 2026</w:t>
        </w:r>
      </w:hyperlink>
      <w:r>
        <w:rPr>
          <w:sz w:val="20"/>
        </w:rPr>
        <w:t>. Vendor technical blog. 19 June 2026.</w:t>
      </w:r>
    </w:p>
    <w:p>
      <w:bookmarkStart w:id="1021" w:name="reference_21"/>
      <w:pPr>
        <w:spacing w:line="250" w:lineRule="auto" w:after="120"/>
        <w:ind w:left="360" w:hanging="360"/>
      </w:pPr>
      <w:bookmarkEnd w:id="1021"/>
      <w:r>
        <w:rPr>
          <w:sz w:val="20"/>
        </w:rPr>
        <w:t xml:space="preserve">[21] D. Edge et al. (2025). </w:t>
      </w:r>
      <w:hyperlink r:id="rId32">
        <w:r>
          <w:rPr>
            <w:color w:val="174B78"/>
            <w:sz w:val="20"/>
          </w:rPr>
          <w:t>From Local to Global A Graph RAG Approach to Query-Focused Summarization</w:t>
        </w:r>
      </w:hyperlink>
      <w:r>
        <w:rPr>
          <w:sz w:val="20"/>
        </w:rPr>
        <w:t>. Research preprint. First preprint 2024; arXiv:2404.16130v2.</w:t>
      </w:r>
    </w:p>
    <w:p>
      <w:bookmarkStart w:id="1022" w:name="reference_22"/>
      <w:pPr>
        <w:spacing w:line="250" w:lineRule="auto" w:after="120"/>
        <w:ind w:left="360" w:hanging="360"/>
      </w:pPr>
      <w:bookmarkEnd w:id="1022"/>
      <w:r>
        <w:rPr>
          <w:sz w:val="20"/>
        </w:rPr>
        <w:t xml:space="preserve">[22] S. Es, J. James, L. Espinosa-Anke and S. Schockaert (2023). </w:t>
      </w:r>
      <w:hyperlink r:id="rId33">
        <w:r>
          <w:rPr>
            <w:color w:val="174B78"/>
            <w:sz w:val="20"/>
          </w:rPr>
          <w:t>RAGAS Automated Evaluation of Retrieval Augmented Generation</w:t>
        </w:r>
      </w:hyperlink>
      <w:r>
        <w:rPr>
          <w:sz w:val="20"/>
        </w:rPr>
        <w:t>. Research paper. arXiv:2309.15217.</w:t>
      </w:r>
    </w:p>
    <w:p>
      <w:bookmarkStart w:id="1023" w:name="reference_23"/>
      <w:pPr>
        <w:spacing w:line="250" w:lineRule="auto" w:after="120"/>
        <w:ind w:left="360" w:hanging="360"/>
      </w:pPr>
      <w:bookmarkEnd w:id="1023"/>
      <w:r>
        <w:rPr>
          <w:sz w:val="20"/>
        </w:rPr>
        <w:t xml:space="preserve">[23] Y. Gao et al. (2024). </w:t>
      </w:r>
      <w:hyperlink r:id="rId34">
        <w:r>
          <w:rPr>
            <w:color w:val="174B78"/>
            <w:sz w:val="20"/>
          </w:rPr>
          <w:t>Retrieval-Augmented Generation for Large Language Models A Survey</w:t>
        </w:r>
      </w:hyperlink>
      <w:r>
        <w:rPr>
          <w:sz w:val="20"/>
        </w:rPr>
        <w:t>. Survey preprint. arXiv:2312.10997v5.</w:t>
      </w:r>
    </w:p>
    <w:p>
      <w:bookmarkStart w:id="1024" w:name="reference_24"/>
      <w:pPr>
        <w:spacing w:line="250" w:lineRule="auto" w:after="120"/>
        <w:ind w:left="360" w:hanging="360"/>
      </w:pPr>
      <w:bookmarkEnd w:id="1024"/>
      <w:r>
        <w:rPr>
          <w:sz w:val="20"/>
        </w:rPr>
        <w:t xml:space="preserve">[24] ggml contributors (n.d.). </w:t>
      </w:r>
      <w:hyperlink r:id="rId35">
        <w:r>
          <w:rPr>
            <w:color w:val="174B78"/>
            <w:sz w:val="20"/>
          </w:rPr>
          <w:t>llama.cpp LLM inference in C and C++</w:t>
        </w:r>
      </w:hyperlink>
      <w:r>
        <w:rPr>
          <w:sz w:val="20"/>
        </w:rPr>
        <w:t>. Official software repository.</w:t>
      </w:r>
    </w:p>
    <w:p>
      <w:bookmarkStart w:id="1025" w:name="reference_25"/>
      <w:pPr>
        <w:spacing w:line="250" w:lineRule="auto" w:after="120"/>
        <w:ind w:left="360" w:hanging="360"/>
      </w:pPr>
      <w:bookmarkEnd w:id="1025"/>
      <w:r>
        <w:rPr>
          <w:sz w:val="20"/>
        </w:rPr>
        <w:t xml:space="preserve">[25] Google (n.d.). </w:t>
      </w:r>
      <w:hyperlink r:id="rId36">
        <w:r>
          <w:rPr>
            <w:color w:val="174B78"/>
            <w:sz w:val="20"/>
          </w:rPr>
          <w:t>Gemma 3 27B instruction tuned model card</w:t>
        </w:r>
      </w:hyperlink>
      <w:r>
        <w:rPr>
          <w:sz w:val="20"/>
        </w:rPr>
        <w:t>. Developer model card.</w:t>
      </w:r>
    </w:p>
    <w:p>
      <w:bookmarkStart w:id="1026" w:name="reference_26"/>
      <w:pPr>
        <w:spacing w:line="250" w:lineRule="auto" w:after="120"/>
        <w:ind w:left="360" w:hanging="360"/>
      </w:pPr>
      <w:bookmarkEnd w:id="1026"/>
      <w:r>
        <w:rPr>
          <w:sz w:val="20"/>
        </w:rPr>
        <w:t xml:space="preserve">[26] S. Gururangan, A. Marasović, S. Swayamdipta, K. Lo, I. Beltagy, D. Downey and N. A. Smith (2020). </w:t>
      </w:r>
      <w:hyperlink r:id="rId37">
        <w:r>
          <w:rPr>
            <w:color w:val="174B78"/>
            <w:sz w:val="20"/>
          </w:rPr>
          <w:t>Don’t Stop Pretraining Adapt Language Models to Domains and Tasks</w:t>
        </w:r>
      </w:hyperlink>
      <w:r>
        <w:rPr>
          <w:sz w:val="20"/>
        </w:rPr>
        <w:t>. Conference paper. ACL 2020, pages 8342–8360; DOI 10.18653/v1/2020.acl-main.740.</w:t>
      </w:r>
    </w:p>
    <w:p>
      <w:bookmarkStart w:id="1027" w:name="reference_27"/>
      <w:pPr>
        <w:spacing w:line="250" w:lineRule="auto" w:after="120"/>
        <w:ind w:left="360" w:hanging="360"/>
      </w:pPr>
      <w:bookmarkEnd w:id="1027"/>
      <w:r>
        <w:rPr>
          <w:sz w:val="20"/>
        </w:rPr>
        <w:t xml:space="preserve">[27] G. Hinton, O. Vinyals and J. Dean (2015). </w:t>
      </w:r>
      <w:hyperlink r:id="rId38">
        <w:r>
          <w:rPr>
            <w:color w:val="174B78"/>
            <w:sz w:val="20"/>
          </w:rPr>
          <w:t>Distilling the Knowledge in a Neural Network</w:t>
        </w:r>
      </w:hyperlink>
      <w:r>
        <w:rPr>
          <w:sz w:val="20"/>
        </w:rPr>
        <w:t>. Research preprint. arXiv:1503.02531; NIPS 2014 Deep Learning Workshop.</w:t>
      </w:r>
    </w:p>
    <w:p>
      <w:bookmarkStart w:id="1028" w:name="reference_28"/>
      <w:pPr>
        <w:spacing w:line="250" w:lineRule="auto" w:after="120"/>
        <w:ind w:left="360" w:hanging="360"/>
      </w:pPr>
      <w:bookmarkEnd w:id="1028"/>
      <w:r>
        <w:rPr>
          <w:sz w:val="20"/>
        </w:rPr>
        <w:t xml:space="preserve">[28] E. J. Hu et al. (2021). </w:t>
      </w:r>
      <w:hyperlink r:id="rId39">
        <w:r>
          <w:rPr>
            <w:color w:val="174B78"/>
            <w:sz w:val="20"/>
          </w:rPr>
          <w:t>LoRA Low-Rank Adaptation of Large Language Models</w:t>
        </w:r>
      </w:hyperlink>
      <w:r>
        <w:rPr>
          <w:sz w:val="20"/>
        </w:rPr>
        <w:t>. Research paper. arXiv:2106.09685.</w:t>
      </w:r>
    </w:p>
    <w:p>
      <w:bookmarkStart w:id="1029" w:name="reference_29"/>
      <w:pPr>
        <w:spacing w:line="250" w:lineRule="auto" w:after="120"/>
        <w:ind w:left="360" w:hanging="360"/>
      </w:pPr>
      <w:bookmarkEnd w:id="1029"/>
      <w:r>
        <w:rPr>
          <w:sz w:val="20"/>
        </w:rPr>
        <w:t xml:space="preserve">[29] Hugging Face (n.d.). </w:t>
      </w:r>
      <w:hyperlink r:id="rId40">
        <w:r>
          <w:rPr>
            <w:color w:val="174B78"/>
            <w:sz w:val="20"/>
          </w:rPr>
          <w:t>PEFT documentation</w:t>
        </w:r>
      </w:hyperlink>
      <w:r>
        <w:rPr>
          <w:sz w:val="20"/>
        </w:rPr>
        <w:t>. Official software documentation.</w:t>
      </w:r>
    </w:p>
    <w:p>
      <w:bookmarkStart w:id="1030" w:name="reference_30"/>
      <w:pPr>
        <w:spacing w:line="250" w:lineRule="auto" w:after="120"/>
        <w:ind w:left="360" w:hanging="360"/>
      </w:pPr>
      <w:bookmarkEnd w:id="1030"/>
      <w:r>
        <w:rPr>
          <w:sz w:val="20"/>
        </w:rPr>
        <w:t xml:space="preserve">[30] Hugging Face (n.d.). </w:t>
      </w:r>
      <w:hyperlink r:id="rId41">
        <w:r>
          <w:rPr>
            <w:color w:val="174B78"/>
            <w:sz w:val="20"/>
          </w:rPr>
          <w:t>TRL Dataset formats and types</w:t>
        </w:r>
      </w:hyperlink>
      <w:r>
        <w:rPr>
          <w:sz w:val="20"/>
        </w:rPr>
        <w:t>. Official software documentation. Standard and conversational formats; prompt completion and preference records.</w:t>
      </w:r>
    </w:p>
    <w:p>
      <w:bookmarkStart w:id="1031" w:name="reference_31"/>
      <w:pPr>
        <w:spacing w:line="250" w:lineRule="auto" w:after="120"/>
        <w:ind w:left="360" w:hanging="360"/>
      </w:pPr>
      <w:bookmarkEnd w:id="1031"/>
      <w:r>
        <w:rPr>
          <w:sz w:val="20"/>
        </w:rPr>
        <w:t xml:space="preserve">[31] Hugging Face (n.d.). </w:t>
      </w:r>
      <w:hyperlink r:id="rId42">
        <w:r>
          <w:rPr>
            <w:color w:val="174B78"/>
            <w:sz w:val="20"/>
          </w:rPr>
          <w:t>TRL Transformers Reinforcement Learning documentation</w:t>
        </w:r>
      </w:hyperlink>
      <w:r>
        <w:rPr>
          <w:sz w:val="20"/>
        </w:rPr>
        <w:t>. Official software documentation.</w:t>
      </w:r>
    </w:p>
    <w:p>
      <w:bookmarkStart w:id="1032" w:name="reference_32"/>
      <w:pPr>
        <w:spacing w:line="250" w:lineRule="auto" w:after="120"/>
        <w:ind w:left="360" w:hanging="360"/>
      </w:pPr>
      <w:bookmarkEnd w:id="1032"/>
      <w:r>
        <w:rPr>
          <w:sz w:val="20"/>
        </w:rPr>
        <w:t xml:space="preserve">[32] IBM Granite Team (n.d.). </w:t>
      </w:r>
      <w:hyperlink r:id="rId43">
        <w:r>
          <w:rPr>
            <w:color w:val="174B78"/>
            <w:sz w:val="20"/>
          </w:rPr>
          <w:t>Granite Guardian 3.3 8B model card</w:t>
        </w:r>
      </w:hyperlink>
      <w:r>
        <w:rPr>
          <w:sz w:val="20"/>
        </w:rPr>
        <w:t>. Developer model card. Custom criteria and English-only training and testing limitations.</w:t>
      </w:r>
    </w:p>
    <w:p>
      <w:bookmarkStart w:id="1033" w:name="reference_33"/>
      <w:pPr>
        <w:spacing w:line="250" w:lineRule="auto" w:after="120"/>
        <w:ind w:left="360" w:hanging="360"/>
      </w:pPr>
      <w:bookmarkEnd w:id="1033"/>
      <w:r>
        <w:rPr>
          <w:sz w:val="20"/>
        </w:rPr>
        <w:t xml:space="preserve">[33] Industrial Coder project contributors (n.d.). </w:t>
      </w:r>
      <w:hyperlink r:id="rId44">
        <w:r>
          <w:rPr>
            <w:color w:val="174B78"/>
            <w:sz w:val="20"/>
          </w:rPr>
          <w:t>Industrial Coder repository and model documentation</w:t>
        </w:r>
      </w:hyperlink>
      <w:r>
        <w:rPr>
          <w:sz w:val="20"/>
        </w:rPr>
        <w:t>. Developer repository.</w:t>
      </w:r>
    </w:p>
    <w:p>
      <w:bookmarkStart w:id="1034" w:name="reference_34"/>
      <w:pPr>
        <w:spacing w:line="250" w:lineRule="auto" w:after="120"/>
        <w:ind w:left="360" w:hanging="360"/>
      </w:pPr>
      <w:bookmarkEnd w:id="1034"/>
      <w:r>
        <w:rPr>
          <w:sz w:val="20"/>
        </w:rPr>
        <w:t xml:space="preserve">[34] Industrial Digital Twin Association (n.d.). </w:t>
      </w:r>
      <w:hyperlink r:id="rId45">
        <w:r>
          <w:rPr>
            <w:color w:val="174B78"/>
            <w:sz w:val="20"/>
          </w:rPr>
          <w:t>Asset Administration Shell specifications</w:t>
        </w:r>
      </w:hyperlink>
      <w:r>
        <w:rPr>
          <w:sz w:val="20"/>
        </w:rPr>
        <w:t>. Official specification catalogue.</w:t>
      </w:r>
    </w:p>
    <w:p>
      <w:bookmarkStart w:id="1035" w:name="reference_35"/>
      <w:pPr>
        <w:spacing w:line="250" w:lineRule="auto" w:after="120"/>
        <w:ind w:left="360" w:hanging="360"/>
      </w:pPr>
      <w:bookmarkEnd w:id="1035"/>
      <w:r>
        <w:rPr>
          <w:sz w:val="20"/>
        </w:rPr>
        <w:t xml:space="preserve">[35] International Society of Automation (n.d.). </w:t>
      </w:r>
      <w:hyperlink r:id="rId46">
        <w:r>
          <w:rPr>
            <w:color w:val="174B78"/>
            <w:sz w:val="20"/>
          </w:rPr>
          <w:t>ISA-95 Series of Standards Enterprise-Control System Integration</w:t>
        </w:r>
      </w:hyperlink>
      <w:r>
        <w:rPr>
          <w:sz w:val="20"/>
        </w:rPr>
        <w:t>. Official standards overview. Public overview only; no claim of clause-level compliance assessment.</w:t>
      </w:r>
    </w:p>
    <w:p>
      <w:bookmarkStart w:id="1036" w:name="reference_36"/>
      <w:pPr>
        <w:spacing w:line="250" w:lineRule="auto" w:after="120"/>
        <w:ind w:left="360" w:hanging="360"/>
      </w:pPr>
      <w:bookmarkEnd w:id="1036"/>
      <w:r>
        <w:rPr>
          <w:sz w:val="20"/>
        </w:rPr>
        <w:t xml:space="preserve">[36] M. S. Khan et al. (2024). </w:t>
      </w:r>
      <w:hyperlink r:id="rId47">
        <w:r>
          <w:rPr>
            <w:color w:val="174B78"/>
            <w:sz w:val="20"/>
          </w:rPr>
          <w:t>Text2CAD Generating Sequential CAD Models from Beginner-to-Expert Level Text Prompts</w:t>
        </w:r>
      </w:hyperlink>
      <w:r>
        <w:rPr>
          <w:sz w:val="20"/>
        </w:rPr>
        <w:t>. Conference paper. NeurIPS 2024 Spotlight; arXiv:2409.17106.</w:t>
      </w:r>
    </w:p>
    <w:p>
      <w:bookmarkStart w:id="1037" w:name="reference_37"/>
      <w:pPr>
        <w:spacing w:line="250" w:lineRule="auto" w:after="120"/>
        <w:ind w:left="360" w:hanging="360"/>
      </w:pPr>
      <w:bookmarkEnd w:id="1037"/>
      <w:r>
        <w:rPr>
          <w:sz w:val="20"/>
        </w:rPr>
        <w:t xml:space="preserve">[37] W. Kwon et al. (2023). </w:t>
      </w:r>
      <w:hyperlink r:id="rId48">
        <w:r>
          <w:rPr>
            <w:color w:val="174B78"/>
            <w:sz w:val="20"/>
          </w:rPr>
          <w:t>Efficient Memory Management for Large Language Model Serving with PagedAttention</w:t>
        </w:r>
      </w:hyperlink>
      <w:r>
        <w:rPr>
          <w:sz w:val="20"/>
        </w:rPr>
        <w:t>. Conference paper. SOSP 2023; arXiv:2309.06180.</w:t>
      </w:r>
    </w:p>
    <w:p>
      <w:bookmarkStart w:id="1038" w:name="reference_38"/>
      <w:pPr>
        <w:spacing w:line="250" w:lineRule="auto" w:after="120"/>
        <w:ind w:left="360" w:hanging="360"/>
      </w:pPr>
      <w:bookmarkEnd w:id="1038"/>
      <w:r>
        <w:rPr>
          <w:sz w:val="20"/>
        </w:rPr>
        <w:t xml:space="preserve">[38] LangChain (n.d.). </w:t>
      </w:r>
      <w:hyperlink r:id="rId49">
        <w:r>
          <w:rPr>
            <w:color w:val="174B78"/>
            <w:sz w:val="20"/>
          </w:rPr>
          <w:t>LangChain overview</w:t>
        </w:r>
      </w:hyperlink>
      <w:r>
        <w:rPr>
          <w:sz w:val="20"/>
        </w:rPr>
        <w:t>. Official software documentation.</w:t>
      </w:r>
    </w:p>
    <w:p>
      <w:bookmarkStart w:id="1039" w:name="reference_39"/>
      <w:pPr>
        <w:spacing w:line="250" w:lineRule="auto" w:after="120"/>
        <w:ind w:left="360" w:hanging="360"/>
      </w:pPr>
      <w:bookmarkEnd w:id="1039"/>
      <w:r>
        <w:rPr>
          <w:sz w:val="20"/>
        </w:rPr>
        <w:t xml:space="preserve">[39] LangChain (n.d.). </w:t>
      </w:r>
      <w:hyperlink r:id="rId50">
        <w:r>
          <w:rPr>
            <w:color w:val="174B78"/>
            <w:sz w:val="20"/>
          </w:rPr>
          <w:t>LangGraph interrupts</w:t>
        </w:r>
      </w:hyperlink>
      <w:r>
        <w:rPr>
          <w:sz w:val="20"/>
        </w:rPr>
        <w:t>. Official software documentation.</w:t>
      </w:r>
    </w:p>
    <w:p>
      <w:bookmarkStart w:id="1040" w:name="reference_40"/>
      <w:pPr>
        <w:spacing w:line="250" w:lineRule="auto" w:after="120"/>
        <w:ind w:left="360" w:hanging="360"/>
      </w:pPr>
      <w:bookmarkEnd w:id="1040"/>
      <w:r>
        <w:rPr>
          <w:sz w:val="20"/>
        </w:rPr>
        <w:t xml:space="preserve">[40] LangChain (n.d.). </w:t>
      </w:r>
      <w:hyperlink r:id="rId51">
        <w:r>
          <w:rPr>
            <w:color w:val="174B78"/>
            <w:sz w:val="20"/>
          </w:rPr>
          <w:t>LangGraph overview</w:t>
        </w:r>
      </w:hyperlink>
      <w:r>
        <w:rPr>
          <w:sz w:val="20"/>
        </w:rPr>
        <w:t>. Official software documentation.</w:t>
      </w:r>
    </w:p>
    <w:p>
      <w:bookmarkStart w:id="1041" w:name="reference_41"/>
      <w:pPr>
        <w:spacing w:line="250" w:lineRule="auto" w:after="120"/>
        <w:ind w:left="360" w:hanging="360"/>
      </w:pPr>
      <w:bookmarkEnd w:id="1041"/>
      <w:r>
        <w:rPr>
          <w:sz w:val="20"/>
        </w:rPr>
        <w:t xml:space="preserve">[41] LangChain (n.d.). </w:t>
      </w:r>
      <w:hyperlink r:id="rId52">
        <w:r>
          <w:rPr>
            <w:color w:val="174B78"/>
            <w:sz w:val="20"/>
          </w:rPr>
          <w:t>LangGraph persistence</w:t>
        </w:r>
      </w:hyperlink>
      <w:r>
        <w:rPr>
          <w:sz w:val="20"/>
        </w:rPr>
        <w:t>. Official software documentation.</w:t>
      </w:r>
    </w:p>
    <w:p>
      <w:bookmarkStart w:id="1042" w:name="reference_42"/>
      <w:pPr>
        <w:spacing w:line="250" w:lineRule="auto" w:after="120"/>
        <w:ind w:left="360" w:hanging="360"/>
      </w:pPr>
      <w:bookmarkEnd w:id="1042"/>
      <w:r>
        <w:rPr>
          <w:sz w:val="20"/>
        </w:rPr>
        <w:t xml:space="preserve">[42] Y. Leviathan, M. Kalman and Y. Matias (2023). </w:t>
      </w:r>
      <w:hyperlink r:id="rId53">
        <w:r>
          <w:rPr>
            <w:color w:val="174B78"/>
            <w:sz w:val="20"/>
          </w:rPr>
          <w:t>Fast Inference from Transformers via Speculative Decoding</w:t>
        </w:r>
      </w:hyperlink>
      <w:r>
        <w:rPr>
          <w:sz w:val="20"/>
        </w:rPr>
        <w:t>. Research paper. First preprint 2022; arXiv:2211.17192.</w:t>
      </w:r>
    </w:p>
    <w:p>
      <w:bookmarkStart w:id="1043" w:name="reference_43"/>
      <w:pPr>
        <w:spacing w:line="250" w:lineRule="auto" w:after="120"/>
        <w:ind w:left="360" w:hanging="360"/>
      </w:pPr>
      <w:bookmarkEnd w:id="1043"/>
      <w:r>
        <w:rPr>
          <w:sz w:val="20"/>
        </w:rPr>
        <w:t xml:space="preserve">[43] P. Lewis et al. (2020). </w:t>
      </w:r>
      <w:hyperlink r:id="rId54">
        <w:r>
          <w:rPr>
            <w:color w:val="174B78"/>
            <w:sz w:val="20"/>
          </w:rPr>
          <w:t>Retrieval-Augmented Generation for Knowledge-Intensive NLP Tasks</w:t>
        </w:r>
      </w:hyperlink>
      <w:r>
        <w:rPr>
          <w:sz w:val="20"/>
        </w:rPr>
        <w:t>. Research paper. arXiv:2005.11401.</w:t>
      </w:r>
    </w:p>
    <w:p>
      <w:bookmarkStart w:id="1044" w:name="reference_44"/>
      <w:pPr>
        <w:spacing w:line="250" w:lineRule="auto" w:after="120"/>
        <w:ind w:left="360" w:hanging="360"/>
      </w:pPr>
      <w:bookmarkEnd w:id="1044"/>
      <w:r>
        <w:rPr>
          <w:sz w:val="20"/>
        </w:rPr>
        <w:t xml:space="preserve">[44] J. Lin et al. (2023). </w:t>
      </w:r>
      <w:hyperlink r:id="rId55">
        <w:r>
          <w:rPr>
            <w:color w:val="174B78"/>
            <w:sz w:val="20"/>
          </w:rPr>
          <w:t>AWQ Activation-aware Weight Quantization for LLM Compression and Acceleration</w:t>
        </w:r>
      </w:hyperlink>
      <w:r>
        <w:rPr>
          <w:sz w:val="20"/>
        </w:rPr>
        <w:t>. Research paper. arXiv:2306.00978.</w:t>
      </w:r>
    </w:p>
    <w:p>
      <w:bookmarkStart w:id="1045" w:name="reference_45"/>
      <w:pPr>
        <w:spacing w:line="250" w:lineRule="auto" w:after="120"/>
        <w:ind w:left="360" w:hanging="360"/>
      </w:pPr>
      <w:bookmarkEnd w:id="1045"/>
      <w:r>
        <w:rPr>
          <w:sz w:val="20"/>
        </w:rPr>
        <w:t xml:space="preserve">[45] LlamaIndex (n.d.). </w:t>
      </w:r>
      <w:hyperlink r:id="rId56">
        <w:r>
          <w:rPr>
            <w:color w:val="174B78"/>
            <w:sz w:val="20"/>
          </w:rPr>
          <w:t>LlamaIndex framework developer documentation</w:t>
        </w:r>
      </w:hyperlink>
      <w:r>
        <w:rPr>
          <w:sz w:val="20"/>
        </w:rPr>
        <w:t>. Official software documentation.</w:t>
      </w:r>
    </w:p>
    <w:p>
      <w:bookmarkStart w:id="1046" w:name="reference_46"/>
      <w:pPr>
        <w:spacing w:line="250" w:lineRule="auto" w:after="120"/>
        <w:ind w:left="360" w:hanging="360"/>
      </w:pPr>
      <w:bookmarkEnd w:id="1046"/>
      <w:r>
        <w:rPr>
          <w:sz w:val="20"/>
        </w:rPr>
        <w:t xml:space="preserve">[46] Microsoft (n.d.). </w:t>
      </w:r>
      <w:hyperlink r:id="rId57">
        <w:r>
          <w:rPr>
            <w:color w:val="174B78"/>
            <w:sz w:val="20"/>
          </w:rPr>
          <w:t>Microsoft Agent Framework overview</w:t>
        </w:r>
      </w:hyperlink>
      <w:r>
        <w:rPr>
          <w:sz w:val="20"/>
        </w:rPr>
        <w:t>. Official software documentation. Successor relationship to AutoGen and Semantic Kernel.</w:t>
      </w:r>
    </w:p>
    <w:p>
      <w:bookmarkStart w:id="1047" w:name="reference_47"/>
      <w:pPr>
        <w:spacing w:line="250" w:lineRule="auto" w:after="120"/>
        <w:ind w:left="360" w:hanging="360"/>
      </w:pPr>
      <w:bookmarkEnd w:id="1047"/>
      <w:r>
        <w:rPr>
          <w:sz w:val="20"/>
        </w:rPr>
        <w:t xml:space="preserve">[47] Model Context Protocol contributors (2026). </w:t>
      </w:r>
      <w:hyperlink r:id="rId58">
        <w:r>
          <w:rPr>
            <w:color w:val="174B78"/>
            <w:sz w:val="20"/>
          </w:rPr>
          <w:t>Model Context Protocol specification</w:t>
        </w:r>
      </w:hyperlink>
      <w:r>
        <w:rPr>
          <w:sz w:val="20"/>
        </w:rPr>
        <w:t>. Protocol specification. Version dated 28 July 2026.</w:t>
      </w:r>
    </w:p>
    <w:p>
      <w:bookmarkStart w:id="1048" w:name="reference_48"/>
      <w:pPr>
        <w:spacing w:line="250" w:lineRule="auto" w:after="120"/>
        <w:ind w:left="360" w:hanging="360"/>
      </w:pPr>
      <w:bookmarkEnd w:id="1048"/>
      <w:r>
        <w:rPr>
          <w:sz w:val="20"/>
        </w:rPr>
        <w:t xml:space="preserve">[48] NVIDIA (n.d.). </w:t>
      </w:r>
      <w:hyperlink r:id="rId59">
        <w:r>
          <w:rPr>
            <w:color w:val="174B78"/>
            <w:sz w:val="20"/>
          </w:rPr>
          <w:t>TensorRT LLM documentation</w:t>
        </w:r>
      </w:hyperlink>
      <w:r>
        <w:rPr>
          <w:sz w:val="20"/>
        </w:rPr>
        <w:t>. Official software documentation.</w:t>
      </w:r>
    </w:p>
    <w:p>
      <w:bookmarkStart w:id="1049" w:name="reference_49"/>
      <w:pPr>
        <w:spacing w:line="250" w:lineRule="auto" w:after="120"/>
        <w:ind w:left="360" w:hanging="360"/>
      </w:pPr>
      <w:bookmarkEnd w:id="1049"/>
      <w:r>
        <w:rPr>
          <w:sz w:val="20"/>
        </w:rPr>
        <w:t xml:space="preserve">[49] S. Okazaki et al. (2026). </w:t>
      </w:r>
      <w:hyperlink r:id="rId60">
        <w:r>
          <w:rPr>
            <w:color w:val="174B78"/>
            <w:sz w:val="20"/>
          </w:rPr>
          <w:t>Fault Cause Identification across Manufacturing Lines through Ontology-Guided and Process-Aware FMEA Graph Learning with LLMs</w:t>
        </w:r>
      </w:hyperlink>
      <w:r>
        <w:rPr>
          <w:sz w:val="20"/>
        </w:rPr>
        <w:t>. Research preprint. Version 2 dated 4 August 2026; first preprint 2025.</w:t>
      </w:r>
    </w:p>
    <w:p>
      <w:bookmarkStart w:id="1050" w:name="reference_50"/>
      <w:pPr>
        <w:spacing w:line="250" w:lineRule="auto" w:after="120"/>
        <w:ind w:left="360" w:hanging="360"/>
      </w:pPr>
      <w:bookmarkEnd w:id="1050"/>
      <w:r>
        <w:rPr>
          <w:sz w:val="20"/>
        </w:rPr>
        <w:t xml:space="preserve">[50] Ollama (n.d.). </w:t>
      </w:r>
      <w:hyperlink r:id="rId61">
        <w:r>
          <w:rPr>
            <w:color w:val="174B78"/>
            <w:sz w:val="20"/>
          </w:rPr>
          <w:t>Ollama documentation</w:t>
        </w:r>
      </w:hyperlink>
      <w:r>
        <w:rPr>
          <w:sz w:val="20"/>
        </w:rPr>
        <w:t>. Official software documentation.</w:t>
      </w:r>
    </w:p>
    <w:p>
      <w:bookmarkStart w:id="1051" w:name="reference_51"/>
      <w:pPr>
        <w:spacing w:line="250" w:lineRule="auto" w:after="120"/>
        <w:ind w:left="360" w:hanging="360"/>
      </w:pPr>
      <w:bookmarkEnd w:id="1051"/>
      <w:r>
        <w:rPr>
          <w:sz w:val="20"/>
        </w:rPr>
        <w:t xml:space="preserve">[51] OPC Foundation and VDW (2024). </w:t>
      </w:r>
      <w:hyperlink r:id="rId62">
        <w:r>
          <w:rPr>
            <w:color w:val="174B78"/>
            <w:sz w:val="20"/>
          </w:rPr>
          <w:t>OPC UA for Machine Tools Part 1 Machine Monitoring and Job Management</w:t>
        </w:r>
      </w:hyperlink>
      <w:r>
        <w:rPr>
          <w:sz w:val="20"/>
        </w:rPr>
        <w:t>. Industrial companion specification. OPC 40501-1 version 1.02.0; 1 November 2024.</w:t>
      </w:r>
    </w:p>
    <w:p>
      <w:bookmarkStart w:id="1052" w:name="reference_52"/>
      <w:pPr>
        <w:spacing w:line="250" w:lineRule="auto" w:after="120"/>
        <w:ind w:left="360" w:hanging="360"/>
      </w:pPr>
      <w:bookmarkEnd w:id="1052"/>
      <w:r>
        <w:rPr>
          <w:sz w:val="20"/>
        </w:rPr>
        <w:t xml:space="preserve">[52] L. Ouyang et al. (2022). </w:t>
      </w:r>
      <w:hyperlink r:id="rId63">
        <w:r>
          <w:rPr>
            <w:color w:val="174B78"/>
            <w:sz w:val="20"/>
          </w:rPr>
          <w:t>Training language models to follow instructions with human feedback</w:t>
        </w:r>
      </w:hyperlink>
      <w:r>
        <w:rPr>
          <w:sz w:val="20"/>
        </w:rPr>
        <w:t>. Research paper. arXiv:2203.02155.</w:t>
      </w:r>
    </w:p>
    <w:p>
      <w:bookmarkStart w:id="1053" w:name="reference_53"/>
      <w:pPr>
        <w:spacing w:line="250" w:lineRule="auto" w:after="120"/>
        <w:ind w:left="360" w:hanging="360"/>
      </w:pPr>
      <w:bookmarkEnd w:id="1053"/>
      <w:r>
        <w:rPr>
          <w:sz w:val="20"/>
        </w:rPr>
        <w:t xml:space="preserve">[53] Pydantic (n.d.). </w:t>
      </w:r>
      <w:hyperlink r:id="rId64">
        <w:r>
          <w:rPr>
            <w:color w:val="174B78"/>
            <w:sz w:val="20"/>
          </w:rPr>
          <w:t>Pydantic AI overview</w:t>
        </w:r>
      </w:hyperlink>
      <w:r>
        <w:rPr>
          <w:sz w:val="20"/>
        </w:rPr>
        <w:t>. Official software documentation.</w:t>
      </w:r>
    </w:p>
    <w:p>
      <w:bookmarkStart w:id="1054" w:name="reference_54"/>
      <w:pPr>
        <w:spacing w:line="250" w:lineRule="auto" w:after="120"/>
        <w:ind w:left="360" w:hanging="360"/>
      </w:pPr>
      <w:bookmarkEnd w:id="1054"/>
      <w:r>
        <w:rPr>
          <w:sz w:val="20"/>
        </w:rPr>
        <w:t xml:space="preserve">[54] Qwen Team (n.d.). </w:t>
      </w:r>
      <w:hyperlink r:id="rId65">
        <w:r>
          <w:rPr>
            <w:color w:val="174B78"/>
            <w:sz w:val="20"/>
          </w:rPr>
          <w:t>Qwen3-Coder-30B-A3B-Instruct model card</w:t>
        </w:r>
      </w:hyperlink>
      <w:r>
        <w:rPr>
          <w:sz w:val="20"/>
        </w:rPr>
        <w:t>. Developer model card.</w:t>
      </w:r>
    </w:p>
    <w:p>
      <w:bookmarkStart w:id="1055" w:name="reference_55"/>
      <w:pPr>
        <w:spacing w:line="250" w:lineRule="auto" w:after="120"/>
        <w:ind w:left="360" w:hanging="360"/>
      </w:pPr>
      <w:bookmarkEnd w:id="1055"/>
      <w:r>
        <w:rPr>
          <w:sz w:val="20"/>
        </w:rPr>
        <w:t xml:space="preserve">[55] Qwen Team (n.d.). </w:t>
      </w:r>
      <w:hyperlink r:id="rId66">
        <w:r>
          <w:rPr>
            <w:color w:val="174B78"/>
            <w:sz w:val="20"/>
          </w:rPr>
          <w:t>Qwen3-Embedding-8B model card and family comparison</w:t>
        </w:r>
      </w:hyperlink>
      <w:r>
        <w:rPr>
          <w:sz w:val="20"/>
        </w:rPr>
        <w:t>. Developer model card.</w:t>
      </w:r>
    </w:p>
    <w:p>
      <w:bookmarkStart w:id="1056" w:name="reference_56"/>
      <w:pPr>
        <w:spacing w:line="250" w:lineRule="auto" w:after="120"/>
        <w:ind w:left="360" w:hanging="360"/>
      </w:pPr>
      <w:bookmarkEnd w:id="1056"/>
      <w:r>
        <w:rPr>
          <w:sz w:val="20"/>
        </w:rPr>
        <w:t xml:space="preserve">[56] Qwen Team (n.d.). </w:t>
      </w:r>
      <w:hyperlink r:id="rId67">
        <w:r>
          <w:rPr>
            <w:color w:val="174B78"/>
            <w:sz w:val="20"/>
          </w:rPr>
          <w:t>Qwen3.5-27B model card</w:t>
        </w:r>
      </w:hyperlink>
      <w:r>
        <w:rPr>
          <w:sz w:val="20"/>
        </w:rPr>
        <w:t>. Developer model card.</w:t>
      </w:r>
    </w:p>
    <w:p>
      <w:bookmarkStart w:id="1057" w:name="reference_57"/>
      <w:pPr>
        <w:spacing w:line="250" w:lineRule="auto" w:after="120"/>
        <w:ind w:left="360" w:hanging="360"/>
      </w:pPr>
      <w:bookmarkEnd w:id="1057"/>
      <w:r>
        <w:rPr>
          <w:sz w:val="20"/>
        </w:rPr>
        <w:t xml:space="preserve">[57] A. Radford et al. (2022). </w:t>
      </w:r>
      <w:hyperlink r:id="rId68">
        <w:r>
          <w:rPr>
            <w:color w:val="174B78"/>
            <w:sz w:val="20"/>
          </w:rPr>
          <w:t>Robust Speech Recognition via Large-Scale Weak Supervision</w:t>
        </w:r>
      </w:hyperlink>
      <w:r>
        <w:rPr>
          <w:sz w:val="20"/>
        </w:rPr>
        <w:t>. Research paper. Whisper; arXiv:2212.04356.</w:t>
      </w:r>
    </w:p>
    <w:p>
      <w:bookmarkStart w:id="1058" w:name="reference_58"/>
      <w:pPr>
        <w:spacing w:line="250" w:lineRule="auto" w:after="120"/>
        <w:ind w:left="360" w:hanging="360"/>
      </w:pPr>
      <w:bookmarkEnd w:id="1058"/>
      <w:r>
        <w:rPr>
          <w:sz w:val="20"/>
        </w:rPr>
        <w:t xml:space="preserve">[58] R. Rafailov et al. (2023). </w:t>
      </w:r>
      <w:hyperlink r:id="rId69">
        <w:r>
          <w:rPr>
            <w:color w:val="174B78"/>
            <w:sz w:val="20"/>
          </w:rPr>
          <w:t>Direct Preference Optimization Your Language Model is Secretly a Reward Model</w:t>
        </w:r>
      </w:hyperlink>
      <w:r>
        <w:rPr>
          <w:sz w:val="20"/>
        </w:rPr>
        <w:t>. Research paper. arXiv:2305.18290.</w:t>
      </w:r>
    </w:p>
    <w:p>
      <w:bookmarkStart w:id="1059" w:name="reference_59"/>
      <w:pPr>
        <w:spacing w:line="250" w:lineRule="auto" w:after="120"/>
        <w:ind w:left="360" w:hanging="360"/>
      </w:pPr>
      <w:bookmarkEnd w:id="1059"/>
      <w:r>
        <w:rPr>
          <w:sz w:val="20"/>
        </w:rPr>
        <w:t xml:space="preserve">[59] G. Shao (2021). </w:t>
      </w:r>
      <w:hyperlink r:id="rId70">
        <w:r>
          <w:rPr>
            <w:color w:val="174B78"/>
            <w:sz w:val="20"/>
          </w:rPr>
          <w:t>Use Case Scenarios for Digital Twin Implementation Based on ISO 23247</w:t>
        </w:r>
      </w:hyperlink>
      <w:r>
        <w:rPr>
          <w:sz w:val="20"/>
        </w:rPr>
        <w:t>. Government technical report. NIST AMS 400-2; 4 May 2021.</w:t>
      </w:r>
    </w:p>
    <w:p>
      <w:bookmarkStart w:id="1060" w:name="reference_60"/>
      <w:pPr>
        <w:spacing w:line="250" w:lineRule="auto" w:after="120"/>
        <w:ind w:left="360" w:hanging="360"/>
      </w:pPr>
      <w:bookmarkEnd w:id="1060"/>
      <w:r>
        <w:rPr>
          <w:sz w:val="20"/>
        </w:rPr>
        <w:t xml:space="preserve">[60] A. Sharma and E. Kiciman (2020). </w:t>
      </w:r>
      <w:hyperlink r:id="rId71">
        <w:r>
          <w:rPr>
            <w:color w:val="174B78"/>
            <w:sz w:val="20"/>
          </w:rPr>
          <w:t>DoWhy An End-to-End Library for Causal Inference</w:t>
        </w:r>
      </w:hyperlink>
      <w:r>
        <w:rPr>
          <w:sz w:val="20"/>
        </w:rPr>
        <w:t>. Research paper. arXiv:2011.04216.</w:t>
      </w:r>
    </w:p>
    <w:p>
      <w:bookmarkStart w:id="1061" w:name="reference_61"/>
      <w:pPr>
        <w:spacing w:line="250" w:lineRule="auto" w:after="120"/>
        <w:ind w:left="360" w:hanging="360"/>
      </w:pPr>
      <w:bookmarkEnd w:id="1061"/>
      <w:r>
        <w:rPr>
          <w:sz w:val="20"/>
        </w:rPr>
        <w:t xml:space="preserve">[61] Simio (n.d.). </w:t>
      </w:r>
      <w:hyperlink r:id="rId72">
        <w:r>
          <w:rPr>
            <w:color w:val="174B78"/>
            <w:sz w:val="20"/>
          </w:rPr>
          <w:t>Digital Twin Simulation Software and solution portfolio</w:t>
        </w:r>
      </w:hyperlink>
      <w:r>
        <w:rPr>
          <w:sz w:val="20"/>
        </w:rPr>
        <w:t>. Vendor product documentation.</w:t>
      </w:r>
    </w:p>
    <w:p>
      <w:bookmarkStart w:id="1062" w:name="reference_62"/>
      <w:pPr>
        <w:spacing w:line="250" w:lineRule="auto" w:after="120"/>
        <w:ind w:left="360" w:hanging="360"/>
      </w:pPr>
      <w:bookmarkEnd w:id="1062"/>
      <w:r>
        <w:rPr>
          <w:sz w:val="20"/>
        </w:rPr>
        <w:t xml:space="preserve">[62] K. Stouffer et al. (2023). </w:t>
      </w:r>
      <w:hyperlink r:id="rId73">
        <w:r>
          <w:rPr>
            <w:color w:val="174B78"/>
            <w:sz w:val="20"/>
          </w:rPr>
          <w:t>Guide to Operational Technology Security</w:t>
        </w:r>
      </w:hyperlink>
      <w:r>
        <w:rPr>
          <w:sz w:val="20"/>
        </w:rPr>
        <w:t>. Government guidance. NIST SP 800-82 Rev. 3; final September 2023; source also lists a Rev. 4 draft.</w:t>
      </w:r>
    </w:p>
    <w:p>
      <w:bookmarkStart w:id="1063" w:name="reference_63"/>
      <w:pPr>
        <w:spacing w:line="250" w:lineRule="auto" w:after="120"/>
        <w:ind w:left="360" w:hanging="360"/>
      </w:pPr>
      <w:bookmarkEnd w:id="1063"/>
      <w:r>
        <w:rPr>
          <w:sz w:val="20"/>
        </w:rPr>
        <w:t xml:space="preserve">[63] vLLM contributors (n.d.). </w:t>
      </w:r>
      <w:hyperlink r:id="rId74">
        <w:r>
          <w:rPr>
            <w:color w:val="174B78"/>
            <w:sz w:val="20"/>
          </w:rPr>
          <w:t>vLLM documentation</w:t>
        </w:r>
      </w:hyperlink>
      <w:r>
        <w:rPr>
          <w:sz w:val="20"/>
        </w:rPr>
        <w:t>. Official software documentation.</w:t>
      </w:r>
    </w:p>
    <w:p>
      <w:bookmarkStart w:id="1064" w:name="reference_64"/>
      <w:pPr>
        <w:spacing w:line="250" w:lineRule="auto" w:after="120"/>
        <w:ind w:left="360" w:hanging="360"/>
      </w:pPr>
      <w:bookmarkEnd w:id="1064"/>
      <w:r>
        <w:rPr>
          <w:sz w:val="20"/>
        </w:rPr>
        <w:t xml:space="preserve">[64] C. Wehner, M. Kertel and J. Wewerka (2024). </w:t>
      </w:r>
      <w:hyperlink r:id="rId75">
        <w:r>
          <w:rPr>
            <w:color w:val="174B78"/>
            <w:sz w:val="20"/>
          </w:rPr>
          <w:t>Interactive and Intelligent Root Cause Analysis in Manufacturing with Causal Bayesian Networks and Knowledge Graphs</w:t>
        </w:r>
      </w:hyperlink>
      <w:r>
        <w:rPr>
          <w:sz w:val="20"/>
        </w:rPr>
        <w:t>. Research paper. 2024 preprint record links to a 2023 IEEE conference version.</w:t>
      </w:r>
    </w:p>
    <w:p>
      <w:bookmarkStart w:id="1065" w:name="reference_65"/>
      <w:pPr>
        <w:spacing w:line="250" w:lineRule="auto" w:after="120"/>
        <w:ind w:left="360" w:hanging="360"/>
      </w:pPr>
      <w:bookmarkEnd w:id="1065"/>
      <w:r>
        <w:rPr>
          <w:sz w:val="20"/>
        </w:rPr>
        <w:t xml:space="preserve">[65] Y. Xia, M. Shenoy, N. Jazdi and M. Weyrich (2023). </w:t>
      </w:r>
      <w:hyperlink r:id="rId76">
        <w:r>
          <w:rPr>
            <w:color w:val="174B78"/>
            <w:sz w:val="20"/>
          </w:rPr>
          <w:t>Towards autonomous system Flexible modular production system enhanced with large language model agents</w:t>
        </w:r>
      </w:hyperlink>
      <w:r>
        <w:rPr>
          <w:sz w:val="20"/>
        </w:rPr>
        <w:t>. Conference paper. IEEE ETFA 2023; arXiv:2304.14721v4.</w:t>
      </w:r>
    </w:p>
    <w:p>
      <w:bookmarkStart w:id="1066" w:name="reference_66"/>
      <w:pPr>
        <w:spacing w:line="250" w:lineRule="auto" w:after="120"/>
        <w:ind w:left="360" w:hanging="360"/>
      </w:pPr>
      <w:bookmarkEnd w:id="1066"/>
      <w:r>
        <w:rPr>
          <w:sz w:val="20"/>
        </w:rPr>
        <w:t xml:space="preserve">[66] S. Yao et al. (2023). </w:t>
      </w:r>
      <w:hyperlink r:id="rId77">
        <w:r>
          <w:rPr>
            <w:color w:val="174B78"/>
            <w:sz w:val="20"/>
          </w:rPr>
          <w:t>ReAct Synergizing Reasoning and Acting in Language Models</w:t>
        </w:r>
      </w:hyperlink>
      <w:r>
        <w:rPr>
          <w:sz w:val="20"/>
        </w:rPr>
        <w:t>. Conference paper. ICLR 2023; arXiv:2210.03629v3.</w:t>
      </w:r>
    </w:p>
    <w:p>
      <w:bookmarkStart w:id="1067" w:name="reference_67"/>
      <w:pPr>
        <w:spacing w:line="250" w:lineRule="auto" w:after="120"/>
        <w:ind w:left="360" w:hanging="360"/>
      </w:pPr>
      <w:bookmarkEnd w:id="1067"/>
      <w:r>
        <w:rPr>
          <w:sz w:val="20"/>
        </w:rPr>
        <w:t xml:space="preserve">[67] S. Yao, N. Shinn, P. Razavi and K. Narasimhan (2024). </w:t>
      </w:r>
      <w:hyperlink r:id="rId78">
        <w:r>
          <w:rPr>
            <w:color w:val="174B78"/>
            <w:sz w:val="20"/>
          </w:rPr>
          <w:t>Tau-bench A Benchmark for Tool-Agent-User Interaction in Real-World Domains</w:t>
        </w:r>
      </w:hyperlink>
      <w:r>
        <w:rPr>
          <w:sz w:val="20"/>
        </w:rPr>
        <w:t>. Benchmark paper. arXiv:2406.12045.</w:t>
      </w:r>
    </w:p>
    <w:p>
      <w:bookmarkStart w:id="1068" w:name="reference_68"/>
      <w:pPr>
        <w:spacing w:line="250" w:lineRule="auto" w:after="120"/>
        <w:ind w:left="360" w:hanging="360"/>
      </w:pPr>
      <w:bookmarkEnd w:id="1068"/>
      <w:r>
        <w:rPr>
          <w:sz w:val="20"/>
        </w:rPr>
        <w:t xml:space="preserve">[68] C. Zhang et al. (2020). </w:t>
      </w:r>
      <w:hyperlink r:id="rId79">
        <w:r>
          <w:rPr>
            <w:color w:val="174B78"/>
            <w:sz w:val="20"/>
          </w:rPr>
          <w:t>Learning to Dispatch for Job Shop Scheduling via Deep Reinforcement Learning</w:t>
        </w:r>
      </w:hyperlink>
      <w:r>
        <w:rPr>
          <w:sz w:val="20"/>
        </w:rPr>
        <w:t>. Research paper. arXiv:2010.12367.</w:t>
      </w:r>
    </w:p>
    <w:p>
      <w:bookmarkStart w:id="1069" w:name="reference_69"/>
      <w:pPr>
        <w:spacing w:line="250" w:lineRule="auto" w:after="120"/>
        <w:ind w:left="360" w:hanging="360"/>
      </w:pPr>
      <w:bookmarkEnd w:id="1069"/>
      <w:r>
        <w:rPr>
          <w:sz w:val="20"/>
        </w:rPr>
        <w:t xml:space="preserve">[69] Y. Zhang et al. (2025). </w:t>
      </w:r>
      <w:hyperlink r:id="rId80">
        <w:r>
          <w:rPr>
            <w:color w:val="174B78"/>
            <w:sz w:val="20"/>
          </w:rPr>
          <w:t>Qwen3 Embedding Advancing Text Embedding and Reranking Through Foundation Models</w:t>
        </w:r>
      </w:hyperlink>
      <w:r>
        <w:rPr>
          <w:sz w:val="20"/>
        </w:rPr>
        <w:t>. Technical report. arXiv:2506.05176.</w:t>
      </w:r>
    </w:p>
    <w:p>
      <w:bookmarkStart w:id="1070" w:name="reference_70"/>
      <w:pPr>
        <w:spacing w:line="250" w:lineRule="auto" w:after="120"/>
        <w:ind w:left="360" w:hanging="360"/>
      </w:pPr>
      <w:bookmarkEnd w:id="1070"/>
      <w:r>
        <w:rPr>
          <w:sz w:val="20"/>
        </w:rPr>
        <w:t xml:space="preserve">[70] Z. Zhao et al. (2026). </w:t>
      </w:r>
      <w:hyperlink r:id="rId81">
        <w:r>
          <w:rPr>
            <w:color w:val="174B78"/>
            <w:sz w:val="20"/>
          </w:rPr>
          <w:t>A Large Language Model-based multi-agent manufacturing system for intelligent shopfloor</w:t>
        </w:r>
      </w:hyperlink>
      <w:r>
        <w:rPr>
          <w:sz w:val="20"/>
        </w:rPr>
        <w:t>. Journal paper and preprint. Advanced Engineering Informatics 69, 103888; arXiv v2 revised September 2025; DOI 10.1016/j.aei.2025.103888.</w:t>
      </w:r>
    </w:p>
    <w:p>
      <w:bookmarkStart w:id="1071" w:name="reference_71"/>
      <w:pPr>
        <w:spacing w:line="250" w:lineRule="auto" w:after="120"/>
        <w:ind w:left="360" w:hanging="360"/>
      </w:pPr>
      <w:bookmarkEnd w:id="1071"/>
      <w:r>
        <w:rPr>
          <w:sz w:val="20"/>
        </w:rPr>
        <w:t xml:space="preserve">[71] L. Zheng et al. (2024). </w:t>
      </w:r>
      <w:hyperlink r:id="rId82">
        <w:r>
          <w:rPr>
            <w:color w:val="174B78"/>
            <w:sz w:val="20"/>
          </w:rPr>
          <w:t>SGLang Efficient Execution of Structured Language Model Programs</w:t>
        </w:r>
      </w:hyperlink>
      <w:r>
        <w:rPr>
          <w:sz w:val="20"/>
        </w:rPr>
        <w:t>. Research paper. arXiv:2312.07104v2.</w:t>
      </w:r>
    </w:p>
    <w:sectPr w:rsidR="00FC693F" w:rsidRPr="0006063C" w:rsidSect="00034616">
      <w:footerReference w:type="default" r:id="rId83"/>
      <w:pgSz w:w="11909" w:h="16834"/>
      <w:pgMar w:top="1123" w:right="1224" w:bottom="1080" w:left="136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multiLevelType w:val="multilevel"/>
    <w:lvl w:ilvl="0">
      <w:start w:val="1"/>
      <w:numFmt w:val="decimal"/>
      <w:lvlText w:val="1.%1"/>
      <w:lvlJc w:val="left"/>
      <w:suff w:val="space"/>
    </w:lvl>
    <w:lvl w:ilvl="1">
      <w:start w:val="1"/>
      <w:numFmt w:val="decimal"/>
      <w:lvlText w:val="1.%1.%2"/>
      <w:lvlJc w:val="left"/>
      <w:suff w:val="space"/>
    </w:lvl>
  </w:abstract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cstheme="majorBidi" w:ascii="Times New Roman" w:hAnsi="Times New Roman" w:eastAsia="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cstheme="majorBidi"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cstheme="majorBidi"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cstheme="majorBidi" w:ascii="Times New Roman" w:hAnsi="Times New Roman" w:eastAsia="Times New Roman" w:cs="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cstheme="majorBidi" w:ascii="Times New Roman" w:hAnsi="Times New Roman" w:eastAsia="Times New Roman" w:cs="Times New Roman"/>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60" w:after="120"/>
    </w:pPr>
    <w:rPr>
      <w:rFonts w:ascii="Times New Roman" w:hAnsi="Times New Roman" w:eastAsia="Times New Roman" w:cs="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asetExample">
    <w:name w:val="Dataset Example"/>
    <w:pPr>
      <w:widowControl/>
      <w:spacing w:line="252" w:lineRule="auto" w:after="0"/>
      <w:ind w:left="173" w:right="86"/>
    </w:pPr>
    <w:rPr>
      <w:rFonts w:ascii="Courier New" w:hAnsi="Courier New"/>
      <w:color w:val="000000"/>
      <w:sz w:val="18"/>
    </w:rPr>
  </w:style>
  <w:style w:type="paragraph" w:customStyle="1" w:styleId="FootnoteText">
    <w:name w:val="Footnote Text"/>
    <w:pPr>
      <w:spacing w:line="240" w:lineRule="auto" w:after="40"/>
    </w:pPr>
    <w:rPr>
      <w:rFonts w:ascii="Times New Roman" w:hAnsi="Times New Roman"/>
      <w:sz w:val="18"/>
    </w:rPr>
  </w:style>
  <w:style w:type="character" w:customStyle="1" w:styleId="FootnoteReference">
    <w:name w:val="Footnote Reference"/>
    <w:rPr>
      <w:rFonts w:ascii="Times New Roman" w:hAnsi="Times New Roman"/>
      <w:sz w:val="18"/>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2a-protocol.org/latest/" TargetMode="External"/><Relationship Id="rId13" Type="http://schemas.openxmlformats.org/officeDocument/2006/relationships/hyperlink" Target="https://arxiv.org/html/2501.17584v1" TargetMode="External"/><Relationship Id="rId14" Type="http://schemas.openxmlformats.org/officeDocument/2006/relationships/hyperlink" Target="https://agentclientprotocol.com/get-started/introduction" TargetMode="External"/><Relationship Id="rId15" Type="http://schemas.openxmlformats.org/officeDocument/2006/relationships/hyperlink" Target="https://arxiv.org/abs/2403.07815" TargetMode="External"/><Relationship Id="rId16" Type="http://schemas.openxmlformats.org/officeDocument/2006/relationships/hyperlink" Target="https://www.anthropic.com/engineering/building-effective-agents" TargetMode="External"/><Relationship Id="rId17" Type="http://schemas.openxmlformats.org/officeDocument/2006/relationships/hyperlink" Target="https://arxiv.org/abs/2408.09869" TargetMode="External"/><Relationship Id="rId18" Type="http://schemas.openxmlformats.org/officeDocument/2006/relationships/hyperlink" Target="https://www.nist.gov/publications/artificial-intelligence-risk-management-framework-generative-artificial-intelligence" TargetMode="External"/><Relationship Id="rId19" Type="http://schemas.openxmlformats.org/officeDocument/2006/relationships/hyperlink" Target="https://github.com/orgs/i-am-bee/discussions/5" TargetMode="External"/><Relationship Id="rId20" Type="http://schemas.openxmlformats.org/officeDocument/2006/relationships/hyperlink" Target="https://arxiv.org/abs/2410.24164" TargetMode="External"/><Relationship Id="rId21" Type="http://schemas.openxmlformats.org/officeDocument/2006/relationships/hyperlink" Target="https://arxiv.org/abs/2503.13657" TargetMode="External"/><Relationship Id="rId22" Type="http://schemas.openxmlformats.org/officeDocument/2006/relationships/hyperlink" Target="https://arxiv.org/abs/2402.03216" TargetMode="External"/><Relationship Id="rId23" Type="http://schemas.openxmlformats.org/officeDocument/2006/relationships/hyperlink" Target="https://docs.crewai.com/en/introduction" TargetMode="External"/><Relationship Id="rId24" Type="http://schemas.openxmlformats.org/officeDocument/2006/relationships/hyperlink" Target="https://arxiv.org/abs/2205.14135" TargetMode="External"/><Relationship Id="rId25" Type="http://schemas.openxmlformats.org/officeDocument/2006/relationships/hyperlink" Target="https://arxiv.org/abs/2501.12948" TargetMode="External"/><Relationship Id="rId26" Type="http://schemas.openxmlformats.org/officeDocument/2006/relationships/hyperlink" Target="https://docs.haystack.deepset.ai/docs/intro" TargetMode="External"/><Relationship Id="rId27" Type="http://schemas.openxmlformats.org/officeDocument/2006/relationships/hyperlink" Target="https://huggingface.co/defog/llama-3-sqlcoder-8b" TargetMode="External"/><Relationship Id="rId28" Type="http://schemas.openxmlformats.org/officeDocument/2006/relationships/hyperlink" Target="https://arxiv.org/abs/2607.28050" TargetMode="External"/><Relationship Id="rId29" Type="http://schemas.openxmlformats.org/officeDocument/2006/relationships/hyperlink" Target="https://arxiv.org/abs/2305.14314" TargetMode="External"/><Relationship Id="rId30" Type="http://schemas.openxmlformats.org/officeDocument/2006/relationships/hyperlink" Target="https://blogs.sw.siemens.com/nx-manufacturing/siemens-and-microsoft-ai-powered-manufacturing-of-humanoid-components/" TargetMode="External"/><Relationship Id="rId31" Type="http://schemas.openxmlformats.org/officeDocument/2006/relationships/hyperlink" Target="https://blogs.sw.siemens.com/nx-manufacturing/whats-new-in-nx-for-manufacturing-2606-june-2026/" TargetMode="External"/><Relationship Id="rId32" Type="http://schemas.openxmlformats.org/officeDocument/2006/relationships/hyperlink" Target="https://arxiv.org/abs/2404.16130" TargetMode="External"/><Relationship Id="rId33" Type="http://schemas.openxmlformats.org/officeDocument/2006/relationships/hyperlink" Target="https://arxiv.org/abs/2309.15217" TargetMode="External"/><Relationship Id="rId34" Type="http://schemas.openxmlformats.org/officeDocument/2006/relationships/hyperlink" Target="https://arxiv.org/abs/2312.10997" TargetMode="External"/><Relationship Id="rId35" Type="http://schemas.openxmlformats.org/officeDocument/2006/relationships/hyperlink" Target="https://github.com/ggml-org/llama.cpp" TargetMode="External"/><Relationship Id="rId36" Type="http://schemas.openxmlformats.org/officeDocument/2006/relationships/hyperlink" Target="https://huggingface.co/google/gemma-3-27b-it" TargetMode="External"/><Relationship Id="rId37" Type="http://schemas.openxmlformats.org/officeDocument/2006/relationships/hyperlink" Target="https://aclanthology.org/2020.acl-main.740/" TargetMode="External"/><Relationship Id="rId38" Type="http://schemas.openxmlformats.org/officeDocument/2006/relationships/hyperlink" Target="https://arxiv.org/abs/1503.02531" TargetMode="External"/><Relationship Id="rId39" Type="http://schemas.openxmlformats.org/officeDocument/2006/relationships/hyperlink" Target="https://arxiv.org/abs/2106.09685" TargetMode="External"/><Relationship Id="rId40" Type="http://schemas.openxmlformats.org/officeDocument/2006/relationships/hyperlink" Target="https://huggingface.co/docs/peft/index" TargetMode="External"/><Relationship Id="rId41" Type="http://schemas.openxmlformats.org/officeDocument/2006/relationships/hyperlink" Target="https://huggingface.co/docs/trl/en/dataset_formats" TargetMode="External"/><Relationship Id="rId42" Type="http://schemas.openxmlformats.org/officeDocument/2006/relationships/hyperlink" Target="https://huggingface.co/docs/trl/index" TargetMode="External"/><Relationship Id="rId43" Type="http://schemas.openxmlformats.org/officeDocument/2006/relationships/hyperlink" Target="https://huggingface.co/ibm-granite/granite-guardian-3.3-8b" TargetMode="External"/><Relationship Id="rId44" Type="http://schemas.openxmlformats.org/officeDocument/2006/relationships/hyperlink" Target="https://github.com/CSJianYang/Industrial-Coder" TargetMode="External"/><Relationship Id="rId45" Type="http://schemas.openxmlformats.org/officeDocument/2006/relationships/hyperlink" Target="https://industrialdigitaltwin.org/en/content-hub/aasspecifications" TargetMode="External"/><Relationship Id="rId46" Type="http://schemas.openxmlformats.org/officeDocument/2006/relationships/hyperlink" Target="https://www.isa.org/standards-and-publications/isa-standards/isa-95-standard" TargetMode="External"/><Relationship Id="rId47" Type="http://schemas.openxmlformats.org/officeDocument/2006/relationships/hyperlink" Target="https://arxiv.org/abs/2409.17106" TargetMode="External"/><Relationship Id="rId48" Type="http://schemas.openxmlformats.org/officeDocument/2006/relationships/hyperlink" Target="https://arxiv.org/abs/2309.06180" TargetMode="External"/><Relationship Id="rId49" Type="http://schemas.openxmlformats.org/officeDocument/2006/relationships/hyperlink" Target="https://docs.langchain.com/oss/python/langchain/overview" TargetMode="External"/><Relationship Id="rId50" Type="http://schemas.openxmlformats.org/officeDocument/2006/relationships/hyperlink" Target="https://docs.langchain.com/oss/python/langgraph/interrupts" TargetMode="External"/><Relationship Id="rId51" Type="http://schemas.openxmlformats.org/officeDocument/2006/relationships/hyperlink" Target="https://docs.langchain.com/oss/python/langgraph/overview" TargetMode="External"/><Relationship Id="rId52" Type="http://schemas.openxmlformats.org/officeDocument/2006/relationships/hyperlink" Target="https://docs.langchain.com/oss/python/langgraph/persistence" TargetMode="External"/><Relationship Id="rId53" Type="http://schemas.openxmlformats.org/officeDocument/2006/relationships/hyperlink" Target="https://arxiv.org/abs/2211.17192" TargetMode="External"/><Relationship Id="rId54" Type="http://schemas.openxmlformats.org/officeDocument/2006/relationships/hyperlink" Target="https://arxiv.org/abs/2005.11401" TargetMode="External"/><Relationship Id="rId55" Type="http://schemas.openxmlformats.org/officeDocument/2006/relationships/hyperlink" Target="https://arxiv.org/abs/2306.00978" TargetMode="External"/><Relationship Id="rId56" Type="http://schemas.openxmlformats.org/officeDocument/2006/relationships/hyperlink" Target="https://developers.llamaindex.ai/python/framework/" TargetMode="External"/><Relationship Id="rId57" Type="http://schemas.openxmlformats.org/officeDocument/2006/relationships/hyperlink" Target="https://learn.microsoft.com/en-us/agent-framework/overview/" TargetMode="External"/><Relationship Id="rId58" Type="http://schemas.openxmlformats.org/officeDocument/2006/relationships/hyperlink" Target="https://modelcontextprotocol.io/specification/2026-07-28" TargetMode="External"/><Relationship Id="rId59" Type="http://schemas.openxmlformats.org/officeDocument/2006/relationships/hyperlink" Target="https://nvidia.github.io/TensorRT-LLM/" TargetMode="External"/><Relationship Id="rId60" Type="http://schemas.openxmlformats.org/officeDocument/2006/relationships/hyperlink" Target="https://arxiv.org/html/2510.15428v2" TargetMode="External"/><Relationship Id="rId61" Type="http://schemas.openxmlformats.org/officeDocument/2006/relationships/hyperlink" Target="https://docs.ollama.com/" TargetMode="External"/><Relationship Id="rId62" Type="http://schemas.openxmlformats.org/officeDocument/2006/relationships/hyperlink" Target="https://reference.opcfoundation.org/specs/OPC-40501-1" TargetMode="External"/><Relationship Id="rId63" Type="http://schemas.openxmlformats.org/officeDocument/2006/relationships/hyperlink" Target="https://arxiv.org/abs/2203.02155" TargetMode="External"/><Relationship Id="rId64" Type="http://schemas.openxmlformats.org/officeDocument/2006/relationships/hyperlink" Target="https://pydantic.dev/docs/ai/overview/" TargetMode="External"/><Relationship Id="rId65" Type="http://schemas.openxmlformats.org/officeDocument/2006/relationships/hyperlink" Target="https://huggingface.co/Qwen/Qwen3-Coder-30B-A3B-Instruct" TargetMode="External"/><Relationship Id="rId66" Type="http://schemas.openxmlformats.org/officeDocument/2006/relationships/hyperlink" Target="https://huggingface.co/Qwen/Qwen3-Embedding-8B" TargetMode="External"/><Relationship Id="rId67" Type="http://schemas.openxmlformats.org/officeDocument/2006/relationships/hyperlink" Target="https://huggingface.co/Qwen/Qwen3.5-27B" TargetMode="External"/><Relationship Id="rId68" Type="http://schemas.openxmlformats.org/officeDocument/2006/relationships/hyperlink" Target="https://arxiv.org/abs/2212.04356" TargetMode="External"/><Relationship Id="rId69" Type="http://schemas.openxmlformats.org/officeDocument/2006/relationships/hyperlink" Target="https://arxiv.org/abs/2305.18290" TargetMode="External"/><Relationship Id="rId70" Type="http://schemas.openxmlformats.org/officeDocument/2006/relationships/hyperlink" Target="https://www.nist.gov/publications/use-case-scenarios-digital-twin-implementation-based-iso-23247" TargetMode="External"/><Relationship Id="rId71" Type="http://schemas.openxmlformats.org/officeDocument/2006/relationships/hyperlink" Target="https://arxiv.org/abs/2011.04216" TargetMode="External"/><Relationship Id="rId72" Type="http://schemas.openxmlformats.org/officeDocument/2006/relationships/hyperlink" Target="https://www.simio.com/" TargetMode="External"/><Relationship Id="rId73" Type="http://schemas.openxmlformats.org/officeDocument/2006/relationships/hyperlink" Target="https://csrc.nist.gov/pubs/sp/800/82/r3/final" TargetMode="External"/><Relationship Id="rId74" Type="http://schemas.openxmlformats.org/officeDocument/2006/relationships/hyperlink" Target="https://docs.vllm.ai/en/latest/" TargetMode="External"/><Relationship Id="rId75" Type="http://schemas.openxmlformats.org/officeDocument/2006/relationships/hyperlink" Target="https://arxiv.org/abs/2402.00043" TargetMode="External"/><Relationship Id="rId76" Type="http://schemas.openxmlformats.org/officeDocument/2006/relationships/hyperlink" Target="https://arxiv.org/abs/2304.14721" TargetMode="External"/><Relationship Id="rId77" Type="http://schemas.openxmlformats.org/officeDocument/2006/relationships/hyperlink" Target="https://arxiv.org/abs/2210.03629" TargetMode="External"/><Relationship Id="rId78" Type="http://schemas.openxmlformats.org/officeDocument/2006/relationships/hyperlink" Target="https://arxiv.org/abs/2406.12045" TargetMode="External"/><Relationship Id="rId79" Type="http://schemas.openxmlformats.org/officeDocument/2006/relationships/hyperlink" Target="https://arxiv.org/abs/2010.12367" TargetMode="External"/><Relationship Id="rId80" Type="http://schemas.openxmlformats.org/officeDocument/2006/relationships/hyperlink" Target="https://arxiv.org/abs/2506.05176" TargetMode="External"/><Relationship Id="rId81" Type="http://schemas.openxmlformats.org/officeDocument/2006/relationships/hyperlink" Target="https://arxiv.org/abs/2405.16887" TargetMode="External"/><Relationship Id="rId82" Type="http://schemas.openxmlformats.org/officeDocument/2006/relationships/hyperlink" Target="https://arxiv.org/abs/2312.07104" TargetMode="External"/><Relationship Id="rId8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Agents for Smart CNC Factories</dc:title>
  <dc:subject>Models, fine tuning, inference and deployment; agent frameworks and protocols; factory tasks and responsibilities</dc:subject>
  <dc:creator/>
  <cp:keywords>CNC, AI agents, state of the art, LangGraph, LangChain, MCP, ACP, fine tuning</cp:keywords>
  <dc:description>generated by python-docx</dc:description>
  <cp:lastModifiedBy/>
  <cp:revision>1</cp:revision>
  <dcterms:created xsi:type="dcterms:W3CDTF">2013-12-23T23:15:00Z</dcterms:created>
  <dcterms:modified xsi:type="dcterms:W3CDTF">2013-12-23T23:15:00Z</dcterms:modified>
  <cp:category/>
</cp:coreProperties>
</file>