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Minimax recovery and decision stability for tree-based evidence acquisition</w:t>
      </w:r>
    </w:p>
    <w:p>
      <w:pPr>
        <w:pStyle w:val="BodyText"/>
        <w:spacing w:after="240"/>
        <w:jc w:val="center"/>
      </w:pPr>
      <w:r>
        <w:rPr>
          <w:bCs/>
          <w:b/>
        </w:rPr>
        <w:t xml:space="preserve">Author(s):</w:t>
      </w:r>
      <w:r>
        <w:t xml:space="preserve"> </w:t>
      </w:r>
      <w:r>
        <w:t xml:space="preserve">[Names, affiliations, ORCID identifiers, and corresponding-author email]</w:t>
      </w:r>
    </w:p>
    <w:bookmarkStart w:id="20" w:name="abstract"/>
    <w:p>
      <w:pPr>
        <w:pStyle w:val="Heading1"/>
      </w:pPr>
      <w:r>
        <w:t xml:space="preserve">Abstract</w:t>
      </w:r>
    </w:p>
    <w:p>
      <w:pPr>
        <w:pStyle w:val="FirstParagraph"/>
      </w:pPr>
      <w:r>
        <w:t xml:space="preserve">An autonomous diagnostic coordinator must decide which evidence sources to query and when to stop. When communication routes share activation costs, the cost of a group of queries depends on its network structure. We study the recovery of this cost from measurements of individual and pairwise acquisitions and its use in finite-horizon Bayesian decision making. For a nonnegative weighted rooted tree, we give a self-contained reconstruction formula based on a maximum-weight spanning tree of pairwise overlaps. If every individual and pairwise measurement has absolute error at most</w:t>
      </w:r>
      <w:r>
        <w:t xml:space="preserve"> </w:t>
      </w:r>
      <m:oMath>
        <m:r>
          <m:t>ε</m:t>
        </m:r>
      </m:oMath>
      <w:r>
        <w:t xml:space="preserve">, the resulting estimate of an</w:t>
      </w:r>
      <w:r>
        <w:t xml:space="preserve"> </w:t>
      </w:r>
      <m:oMath>
        <m:r>
          <m:t>m</m:t>
        </m:r>
      </m:oMath>
      <w:r>
        <w:t xml:space="preserve">-source cost has error at most</w:t>
      </w:r>
      <w:r>
        <w:t xml:space="preserve"> </w:t>
      </w:r>
      <m:oMath>
        <m:d>
          <m:dPr>
            <m:begChr m:val="("/>
            <m:endChr m:val=")"/>
            <m:sepChr m:val=""/>
            <m:grow/>
          </m:dPr>
          <m:e>
            <m:r>
              <m:t>2</m:t>
            </m:r>
            <m:r>
              <m:t>m</m:t>
            </m:r>
            <m:r>
              <m:rPr>
                <m:sty m:val="p"/>
              </m:rPr>
              <m:t>−</m:t>
            </m:r>
            <m:r>
              <m:t>3</m:t>
            </m:r>
          </m:e>
        </m:d>
        <m:r>
          <m:t>ε</m:t>
        </m:r>
      </m:oMath>
      <w:r>
        <w:t xml:space="preserve">, for</w:t>
      </w:r>
      <w:r>
        <w:t xml:space="preserve"> </w:t>
      </w:r>
      <m:oMath>
        <m:r>
          <m:t>m</m:t>
        </m:r>
        <m:r>
          <m:rPr>
            <m:sty m:val="p"/>
          </m:rPr>
          <m:t>≥</m:t>
        </m:r>
        <m:r>
          <m:t>2</m:t>
        </m:r>
      </m:oMath>
      <w:r>
        <w:t xml:space="preserve">. A two-point construction proves that this constant is minimax optimal over the stated model class. The estimate induces explicit bounds on optimal decision values and on the excess loss of a policy optimized using measured costs. We also give a feasible repair of inconsistent measurements, characterize universal decision equivalence, and show why pairwise recovery fails for general shared-resource systems. Exact enumeration of a six-source synthetic manufacturing example illustrates the decision model. The results concern mathematical evidence-acquisition policies and do not assume an implemented language-model agent.</w:t>
      </w:r>
    </w:p>
    <w:p>
      <w:pPr>
        <w:pStyle w:val="BodyText"/>
      </w:pPr>
      <w:r>
        <w:rPr>
          <w:bCs/>
          <w:b/>
        </w:rPr>
        <w:t xml:space="preserve">Keywords:</w:t>
      </w:r>
      <w:r>
        <w:t xml:space="preserve"> </w:t>
      </w:r>
      <w:r>
        <w:t xml:space="preserve">rooted tree; minimax estimation; shared acquisition cost; Bayesian sequential decision; agentic manufacturing diagnosis.</w:t>
      </w:r>
    </w:p>
    <w:bookmarkEnd w:id="20"/>
    <w:bookmarkStart w:id="29" w:name="introduction"/>
    <w:p>
      <w:pPr>
        <w:pStyle w:val="Heading1"/>
      </w:pPr>
      <w:r>
        <w:t xml:space="preserve">1. Introduction</w:t>
      </w:r>
    </w:p>
    <w:p>
      <w:pPr>
        <w:pStyle w:val="FirstParagraph"/>
      </w:pPr>
      <w:r>
        <w:t xml:space="preserve">An agentic manufacturing diagnosis system can be viewed as a coordinator that acquires information from specialized sources, updates its belief about a fault, and chooses a final diagnosis. Graph representations already support multi-agent scheduling in manufacturing; for example,</w:t>
      </w:r>
      <w:r>
        <w:t xml:space="preserve"> </w:t>
      </w:r>
      <w:hyperlink r:id="rId21">
        <w:r>
          <w:rPr>
            <w:rStyle w:val="Hyperlink"/>
          </w:rPr>
          <w:t xml:space="preserve">Qin and Lu</w:t>
        </w:r>
      </w:hyperlink>
      <w:r>
        <w:t xml:space="preserve"> </w:t>
      </w:r>
      <w:r>
        <w:t xml:space="preserve">[19] combine knowledge graphs with multi-agent reinforcement learning. The present problem concerns the cost of accessing evidence when several sources share communication or session-activation resources.</w:t>
      </w:r>
    </w:p>
    <w:p>
      <w:pPr>
        <w:pStyle w:val="BodyText"/>
      </w:pPr>
      <w:r>
        <w:t xml:space="preserve">Charging every query its full standalone access cost is appropriate when all communication expenses recur independently. If part of the expense is incurred once per investigation, however, later queries may reuse an activated route. A useful theoretical question is whether individual and pairwise cost measurements determine the cost of every larger group. A second question asks how errors in these measurements affect an optimal sequential diagnostic policy.</w:t>
      </w:r>
    </w:p>
    <w:p>
      <w:pPr>
        <w:pStyle w:val="BodyText"/>
      </w:pPr>
      <w:r>
        <w:t xml:space="preserve">The mathematical ingredients have established antecedents.</w:t>
      </w:r>
      <w:r>
        <w:t xml:space="preserve"> </w:t>
      </w:r>
      <w:hyperlink r:id="rId22">
        <w:r>
          <w:rPr>
            <w:rStyle w:val="Hyperlink"/>
          </w:rPr>
          <w:t xml:space="preserve">Pachter and Speyer</w:t>
        </w:r>
      </w:hyperlink>
      <w:r>
        <w:t xml:space="preserve"> </w:t>
      </w:r>
      <w:r>
        <w:t xml:space="preserve">[18] study reconstruction of trees from subtree weights.</w:t>
      </w:r>
      <w:r>
        <w:t xml:space="preserve"> </w:t>
      </w:r>
      <w:hyperlink r:id="rId23">
        <w:r>
          <w:rPr>
            <w:rStyle w:val="Hyperlink"/>
          </w:rPr>
          <w:t xml:space="preserve">Hunter</w:t>
        </w:r>
      </w:hyperlink>
      <w:r>
        <w:t xml:space="preserve"> </w:t>
      </w:r>
      <w:r>
        <w:t xml:space="preserve">[9] uses spanning trees to optimize bounds on unions from first- and second-order information. Hierarchical representations and their stability are studied by</w:t>
      </w:r>
      <w:r>
        <w:t xml:space="preserve"> </w:t>
      </w:r>
      <w:hyperlink r:id="rId24">
        <w:r>
          <w:rPr>
            <w:rStyle w:val="Hyperlink"/>
          </w:rPr>
          <w:t xml:space="preserve">Carlsson and Mémoli</w:t>
        </w:r>
      </w:hyperlink>
      <w:r>
        <w:t xml:space="preserve"> </w:t>
      </w:r>
      <w:r>
        <w:t xml:space="preserve">[4]. Belief-state dynamic programming follows the finite-horizon partially observed control framework of</w:t>
      </w:r>
      <w:r>
        <w:t xml:space="preserve"> </w:t>
      </w:r>
      <w:hyperlink r:id="rId25">
        <w:r>
          <w:rPr>
            <w:rStyle w:val="Hyperlink"/>
          </w:rPr>
          <w:t xml:space="preserve">Smallwood and Sondik</w:t>
        </w:r>
      </w:hyperlink>
      <w:r>
        <w:t xml:space="preserve"> </w:t>
      </w:r>
      <w:r>
        <w:t xml:space="preserve">[20].</w:t>
      </w:r>
      <w:r>
        <w:t xml:space="preserve"> </w:t>
      </w:r>
      <w:hyperlink r:id="rId26">
        <w:r>
          <w:rPr>
            <w:rStyle w:val="Hyperlink"/>
          </w:rPr>
          <w:t xml:space="preserve">Adaptive submodularity</w:t>
        </w:r>
      </w:hyperlink>
      <w:r>
        <w:t xml:space="preserve"> </w:t>
      </w:r>
      <w:r>
        <w:t xml:space="preserve">[7] and</w:t>
      </w:r>
      <w:r>
        <w:t xml:space="preserve"> </w:t>
      </w:r>
      <w:hyperlink r:id="rId27">
        <w:r>
          <w:rPr>
            <w:rStyle w:val="Hyperlink"/>
          </w:rPr>
          <w:t xml:space="preserve">robust observation selection</w:t>
        </w:r>
      </w:hyperlink>
      <w:r>
        <w:t xml:space="preserve"> </w:t>
      </w:r>
      <w:r>
        <w:t xml:space="preserve">[12] address related acquisition problems under different assumptions and objectives.</w:t>
      </w:r>
    </w:p>
    <w:p>
      <w:pPr>
        <w:pStyle w:val="BodyText"/>
      </w:pPr>
      <w:r>
        <w:t xml:space="preserve">We use these foundations to formulate a precise measurement-to-decision problem. The central result is the exact worst-case recovery radius</w:t>
      </w:r>
      <w:r>
        <w:t xml:space="preserve"> </w:t>
      </w:r>
      <m:oMath>
        <m:d>
          <m:dPr>
            <m:begChr m:val="("/>
            <m:endChr m:val=")"/>
            <m:sepChr m:val=""/>
            <m:grow/>
          </m:dPr>
          <m:e>
            <m:r>
              <m:t>2</m:t>
            </m:r>
            <m:r>
              <m:t>m</m:t>
            </m:r>
            <m:r>
              <m:rPr>
                <m:sty m:val="p"/>
              </m:rPr>
              <m:t>−</m:t>
            </m:r>
            <m:r>
              <m:t>3</m:t>
            </m:r>
          </m:e>
        </m:d>
        <m:r>
          <m:t>ε</m:t>
        </m:r>
      </m:oMath>
      <w:r>
        <w:t xml:space="preserve"> </w:t>
      </w:r>
      <w:r>
        <w:t xml:space="preserve">for the cost of</w:t>
      </w:r>
      <w:r>
        <w:t xml:space="preserve"> </w:t>
      </w:r>
      <m:oMath>
        <m:r>
          <m:t>m</m:t>
        </m:r>
      </m:oMath>
      <w:r>
        <w:t xml:space="preserve"> </w:t>
      </w:r>
      <w:r>
        <w:t xml:space="preserve">sources. Its proof includes a matching lower bound for every estimator using the specified measurements. We then derive decision-value stability, policy excess-loss bounds, and a decision-equivalence characterization. Tree reconstruction and the Bellman principle serve as established foundations.</w:t>
      </w:r>
    </w:p>
    <w:p>
      <w:pPr>
        <w:pStyle w:val="BodyText"/>
      </w:pPr>
      <w:r>
        <w:t xml:space="preserve">The application extends graph-orchestrated manufacturing diagnosis by introducing shared activation costs and optional stopping. These assumptions differ from a model that charges a complete route cost for every query. The numerical illustration is entirely synthetic.</w:t>
      </w:r>
    </w:p>
    <w:bookmarkStart w:id="28" w:name="related-work-and-scope"/>
    <w:p>
      <w:pPr>
        <w:pStyle w:val="Heading2"/>
      </w:pPr>
      <w:r>
        <w:t xml:space="preserve">1.1. Related work and scope</w:t>
      </w:r>
    </w:p>
    <w:p>
      <w:pPr>
        <w:pStyle w:val="FirstParagraph"/>
      </w:pPr>
      <w:r>
        <w:rPr>
          <w:bCs/>
          <w:b/>
        </w:rPr>
        <w:t xml:space="preserve">Tree identification and hierarchical representation.</w:t>
      </w:r>
      <w:r>
        <w:t xml:space="preserve"> </w:t>
      </w:r>
      <w:r>
        <w:t xml:space="preserve">Buneman [3] gives a metric characterization of trees, while Aho et al. [1] construct trees subject to common-ancestor constraints. Pachter and Speyer [18] study recovery from weighted subtrees. These works establish a broader setting for reconstructing a tree from partial descriptions. Here the measurements are acquisition costs for one or two labeled sources, and the target is the cost of a specified source set. Proposition 2.1 expresses the relevant hierarchy through common-prefix depths; it does not identify a unique physical subdivision of the network. The spanning-tree relation between single linkage and hierarchical clustering studied by Gower and Ross [8], together with the stability framework of Carlsson and Mémoli [4], also provides context for the overlap repair in Section 3.2.</w:t>
      </w:r>
    </w:p>
    <w:p>
      <w:pPr>
        <w:pStyle w:val="BodyText"/>
      </w:pPr>
      <w:r>
        <w:rPr>
          <w:bCs/>
          <w:b/>
        </w:rPr>
        <w:t xml:space="preserve">Recovery from inaccurate measurements.</w:t>
      </w:r>
      <w:r>
        <w:t xml:space="preserve"> </w:t>
      </w:r>
      <w:r>
        <w:t xml:space="preserve">Optimal recovery asks what can be determined about a target quantity from limited information and a specified model class. Donoho [6] connects this viewpoint to minimax statistical estimation of linear functionals under Gaussian noise. The present formulation instead uses deterministic, coordinatewise bounded errors and the class of nonnegative rooted-tree costs. Theorem 3.1 concerns the exact error radius of a set-cost functional under this information model. Its lower bound is obtained from two admissible trees consistent with the same measurements. Thus the result addresses unavoidable uncertainty in acquisition cost without requiring recovery of a particular tree topology.</w:t>
      </w:r>
    </w:p>
    <w:p>
      <w:pPr>
        <w:pStyle w:val="BodyText"/>
      </w:pPr>
      <w:r>
        <w:rPr>
          <w:bCs/>
          <w:b/>
        </w:rPr>
        <w:t xml:space="preserve">Sequential testing and partially observed control.</w:t>
      </w:r>
      <w:r>
        <w:t xml:space="preserve"> </w:t>
      </w:r>
      <w:r>
        <w:t xml:space="preserve">Wald [21] develops sequential hypothesis testing, and Chernoff [5] studies the sequential choice of experiments. Naghshvar and Javidi [15] analyze active sequential hypothesis testing through information acquisition, decision penalties, and asymptotically optimal policies. The finite-horizon belief-state formulation used here belongs to the framework of Smallwood and Sondik [20] and the planning treatment of Kaelbling, Littman, and Cassandra [11]. Our model restricts each source to one query and records the queried set because shared activation makes the next acquisition cost depend on earlier choices. The Bellman recursion is a specialization of this established framework.</w:t>
      </w:r>
    </w:p>
    <w:p>
      <w:pPr>
        <w:pStyle w:val="BodyText"/>
      </w:pPr>
      <w:r>
        <w:rPr>
          <w:bCs/>
          <w:b/>
        </w:rPr>
        <w:t xml:space="preserve">Submodularity and active feature acquisition.</w:t>
      </w:r>
      <w:r>
        <w:t xml:space="preserve"> </w:t>
      </w:r>
      <w:r>
        <w:t xml:space="preserve">Nemhauser, Wolsey, and Fisher [16] establish approximation guarantees for monotone submodular maximization under a cardinality constraint. Golovin and Krause [7] identify adaptive diminishing-returns conditions supporting greedy acquisition, while Krause et al. [12] study observation selection against multiple possible objectives, including extensions with communication and path costs. These results motivate scalable acquisition methods, but their assumptions concern the information objective as well as its constraints. Submodularity of the shared acquisition cost alone does not establish the required diminishing returns in diagnostic value; the parity example in Section 4.2 makes that distinction explicit.</w:t>
      </w:r>
    </w:p>
    <w:p>
      <w:pPr>
        <w:pStyle w:val="BodyText"/>
      </w:pPr>
      <w:r>
        <w:t xml:space="preserve">Active feature acquisition also studies how to choose additional observations for a partially observed instance. Ma et al. [14] combine a partial variational autoencoder with an expected-information-gain acquisition rule, and Li and Oliva [13] use a generative surrogate model to support acquisition-policy learning. These approaches address representation and policy computation. The present analysis isolates a complementary question: how calibration error in a structured acquisition-cost model propagates to decision values when the observation model is held fixed. The synthetic example therefore illustrates the mathematical guarantees, rather than providing a benchmark against learned acquisition methods.</w:t>
      </w:r>
    </w:p>
    <w:bookmarkEnd w:id="28"/>
    <w:bookmarkEnd w:id="29"/>
    <w:bookmarkStart w:id="33" w:name="shared-costs-on-a-rooted-tree"/>
    <w:p>
      <w:pPr>
        <w:pStyle w:val="Heading1"/>
      </w:pPr>
      <w:r>
        <w:t xml:space="preserve">2. Shared costs on a rooted tree</w:t>
      </w:r>
    </w:p>
    <w:bookmarkStart w:id="30" w:name="model-and-notation"/>
    <w:p>
      <w:pPr>
        <w:pStyle w:val="Heading2"/>
      </w:pPr>
      <w:r>
        <w:t xml:space="preserve">2.1. Model and notation</w:t>
      </w:r>
    </w:p>
    <w:p>
      <w:pPr>
        <w:pStyle w:val="FirstParagraph"/>
      </w:pPr>
      <w:r>
        <w:t xml:space="preserve">Let</w:t>
      </w:r>
      <w:r>
        <w:t xml:space="preserve"> </w:t>
      </w:r>
      <m:oMath>
        <m:r>
          <m:t>N</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label evidence sources, and let</w:t>
      </w:r>
      <w:r>
        <w:t xml:space="preserve"> </w:t>
      </w:r>
      <m:oMath>
        <m:r>
          <m:t>T</m:t>
        </m:r>
      </m:oMath>
      <w:r>
        <w:t xml:space="preserve"> </w:t>
      </w:r>
      <w:r>
        <w:t xml:space="preserve">be a finite tree rooted at a coordinator</w:t>
      </w:r>
      <w:r>
        <w:t xml:space="preserve"> </w:t>
      </w:r>
      <m:oMath>
        <m:r>
          <m:t>r</m:t>
        </m:r>
      </m:oMath>
      <w:r>
        <w:t xml:space="preserve">. Source</w:t>
      </w:r>
      <w:r>
        <w:t xml:space="preserve"> </w:t>
      </w:r>
      <m:oMath>
        <m:r>
          <m:t>i</m:t>
        </m:r>
      </m:oMath>
      <w:r>
        <w:t xml:space="preserve"> </w:t>
      </w:r>
      <w:r>
        <w:t xml:space="preserve">is associated with a vertex and the unique root-to-source path</w:t>
      </w:r>
      <w:r>
        <w:t xml:space="preserve"> </w:t>
      </w:r>
      <m:oMath>
        <m:sSub>
          <m:e>
            <m:r>
              <m:t>P</m:t>
            </m:r>
          </m:e>
          <m:sub>
            <m:r>
              <m:t>i</m:t>
            </m:r>
          </m:sub>
        </m:sSub>
      </m:oMath>
      <w:r>
        <w:t xml:space="preserve">. Each edge</w:t>
      </w:r>
      <w:r>
        <w:t xml:space="preserve"> </w:t>
      </w:r>
      <m:oMath>
        <m:r>
          <m:t>e</m:t>
        </m:r>
      </m:oMath>
      <w:r>
        <w:t xml:space="preserve"> </w:t>
      </w:r>
      <w:r>
        <w:t xml:space="preserve">has activation cost</w:t>
      </w:r>
      <w:r>
        <w:t xml:space="preserve"> </w:t>
      </w:r>
      <m:oMath>
        <m:sSub>
          <m:e>
            <m:r>
              <m:t>a</m:t>
            </m:r>
          </m:e>
          <m:sub>
            <m:r>
              <m:t>e</m:t>
            </m:r>
          </m:sub>
        </m:sSub>
        <m:r>
          <m:rPr>
            <m:sty m:val="p"/>
          </m:rPr>
          <m:t>≥</m:t>
        </m:r>
        <m:r>
          <m:t>0</m:t>
        </m:r>
      </m:oMath>
      <w:r>
        <w:t xml:space="preserve">, and source</w:t>
      </w:r>
      <w:r>
        <w:t xml:space="preserve"> </w:t>
      </w:r>
      <m:oMath>
        <m:r>
          <m:t>i</m:t>
        </m:r>
      </m:oMath>
      <w:r>
        <w:t xml:space="preserve"> </w:t>
      </w:r>
      <w:r>
        <w:t xml:space="preserve">has service cost</w:t>
      </w:r>
      <w:r>
        <w:t xml:space="preserve"> </w:t>
      </w:r>
      <m:oMath>
        <m:sSub>
          <m:e>
            <m:r>
              <m:t>s</m:t>
            </m:r>
          </m:e>
          <m:sub>
            <m:r>
              <m:t>i</m:t>
            </m:r>
          </m:sub>
        </m:sSub>
        <m:r>
          <m:rPr>
            <m:sty m:val="p"/>
          </m:rPr>
          <m:t>≥</m:t>
        </m:r>
        <m:r>
          <m:t>0</m:t>
        </m:r>
      </m:oMath>
      <w:r>
        <w:t xml:space="preserve">.</w:t>
      </w:r>
    </w:p>
    <w:p>
      <w:pPr>
        <w:pStyle w:val="BodyText"/>
      </w:pPr>
      <w:r>
        <w:t xml:space="preserve">Each source is queried at most once during an investigation. An edge is charged when first activated and remains available until the investigation ends.</w:t>
      </w:r>
    </w:p>
    <w:p>
      <w:pPr>
        <w:pStyle w:val="BodyText"/>
        <w:keepNext/>
      </w:pPr>
      <w:r>
        <w:t xml:space="preserve">For</w:t>
      </w:r>
      <w:r>
        <w:t xml:space="preserve"> </w:t>
      </w:r>
      <m:oMath>
        <m:r>
          <m:t>S</m:t>
        </m:r>
        <m:r>
          <m:rPr>
            <m:sty m:val="p"/>
          </m:rPr>
          <m:t>⊆</m:t>
        </m:r>
        <m:r>
          <m:t>N</m:t>
        </m:r>
      </m:oMath>
      <w:r>
        <w:t xml:space="preserve">, define</w:t>
      </w:r>
    </w:p>
    <w:p>
      <w:pPr>
        <w:pStyle w:val="Equation"/>
        <w:tabs>
          <w:tab w:pos="4680" w:val="center"/>
          <w:tab w:pos="9792" w:val="right"/>
        </w:tabs>
        <w:jc w:val="left"/>
      </w:pPr>
      <w:r>
        <w:tab/>
      </w:r>
      <m:oMath>
        <m:r>
          <m:t>F</m:t>
        </m:r>
        <m:d>
          <m:dPr>
            <m:begChr m:val="("/>
            <m:endChr m:val=")"/>
            <m:sepChr m:val=""/>
            <m:grow/>
          </m:dPr>
          <m:e>
            <m:r>
              <m:t>S</m:t>
            </m:r>
          </m:e>
        </m:d>
        <m:r>
          <m:rPr>
            <m:sty m:val="p"/>
          </m:rPr>
          <m:t>=</m:t>
        </m:r>
        <m:nary>
          <m:naryPr>
            <m:chr m:val="∑"/>
            <m:limLoc m:val="undOvr"/>
            <m:subHide m:val="off"/>
            <m:supHide m:val="on"/>
          </m:naryPr>
          <m:sub>
            <m:r>
              <m:t>e</m:t>
            </m:r>
            <m:r>
              <m:rPr>
                <m:sty m:val="p"/>
              </m:rPr>
              <m:t>∈</m:t>
            </m:r>
            <m:limLow>
              <m:e>
                <m:r>
                  <m:rPr>
                    <m:sty m:val="p"/>
                  </m:rPr>
                  <m:t>⋃</m:t>
                </m:r>
              </m:e>
              <m:lim>
                <m:r>
                  <m:t>i</m:t>
                </m:r>
                <m:r>
                  <m:rPr>
                    <m:sty m:val="p"/>
                  </m:rPr>
                  <m:t>∈</m:t>
                </m:r>
                <m:r>
                  <m:t>S</m:t>
                </m:r>
              </m:lim>
            </m:limLow>
            <m:sSub>
              <m:e>
                <m:r>
                  <m:t>P</m:t>
                </m:r>
              </m:e>
              <m:sub>
                <m:r>
                  <m:t>i</m:t>
                </m:r>
              </m:sub>
            </m:sSub>
          </m:sub>
          <m:sup>
            <m:r>
              <m:t>​</m:t>
            </m:r>
          </m:sup>
          <m:e>
            <m:sSub>
              <m:e>
                <m:r>
                  <m:t>a</m:t>
                </m:r>
              </m:e>
              <m:sub>
                <m:r>
                  <m:t>e</m:t>
                </m:r>
              </m:sub>
            </m:sSub>
          </m:e>
        </m:nary>
        <m:r>
          <m:rPr>
            <m:sty m:val="p"/>
          </m:rPr>
          <m:t>+</m:t>
        </m:r>
        <m:nary>
          <m:naryPr>
            <m:chr m:val="∑"/>
            <m:limLoc m:val="undOvr"/>
            <m:subHide m:val="off"/>
            <m:supHide m:val="on"/>
          </m:naryPr>
          <m:sub>
            <m:r>
              <m:t>i</m:t>
            </m:r>
            <m:r>
              <m:rPr>
                <m:sty m:val="p"/>
              </m:rPr>
              <m:t>∈</m:t>
            </m:r>
            <m:r>
              <m:t>S</m:t>
            </m:r>
          </m:sub>
          <m:sup>
            <m:r>
              <m:t>​</m:t>
            </m:r>
          </m:sup>
          <m:e>
            <m:sSub>
              <m:e>
                <m:r>
                  <m:t>s</m:t>
                </m:r>
              </m:e>
              <m:sub>
                <m:r>
                  <m:t>i</m:t>
                </m:r>
              </m:sub>
            </m:sSub>
          </m:e>
        </m:nary>
        <m:r>
          <m:rPr>
            <m:sty m:val="p"/>
          </m:rPr>
          <m:t>,</m:t>
        </m:r>
        <m:r>
          <m:t>  </m:t>
        </m:r>
        <m:r>
          <m:t>F</m:t>
        </m:r>
        <m:d>
          <m:dPr>
            <m:begChr m:val="("/>
            <m:endChr m:val=")"/>
            <m:sepChr m:val=""/>
            <m:grow/>
          </m:dPr>
          <m:e>
            <m:r>
              <m:rPr>
                <m:sty m:val="p"/>
              </m:rPr>
              <m:t>⌀</m:t>
            </m:r>
          </m:e>
        </m:d>
        <m:r>
          <m:rPr>
            <m:sty m:val="p"/>
          </m:rPr>
          <m:t>=</m:t>
        </m:r>
        <m:r>
          <m:t>0</m:t>
        </m:r>
        <m:r>
          <m:rPr>
            <m:sty m:val="p"/>
          </m:rPr>
          <m:t>.</m:t>
        </m:r>
      </m:oMath>
      <w:r>
        <w:tab/>
        <w:t>(1)</w:t>
      </w:r>
    </w:p>
    <w:p>
      <w:pPr>
        <w:pStyle w:val="BodyText"/>
      </w:pPr>
      <w:r>
        <w:t xml:space="preserve">This is a nonnegative, monotone weighted-coverage function. Service costs can be absorbed into private pendant edges of lengths</w:t>
      </w:r>
      <w:r>
        <w:t xml:space="preserve"> </w:t>
      </w:r>
      <m:oMath>
        <m:sSub>
          <m:e>
            <m:r>
              <m:t>s</m:t>
            </m:r>
          </m:e>
          <m:sub>
            <m:r>
              <m:t>i</m:t>
            </m:r>
          </m:sub>
        </m:sSub>
      </m:oMath>
      <w:r>
        <w:t xml:space="preserve">, placing each source label at the new endpoint. Thus all costs may be represented by root-path lengths, allowing zero-length edges.</w:t>
      </w:r>
    </w:p>
    <w:p>
      <w:pPr>
        <w:pStyle w:val="BodyText"/>
        <w:keepNext/>
      </w:pPr>
      <w:r>
        <w:t xml:space="preserve">Write</w:t>
      </w:r>
    </w:p>
    <w:p>
      <w:pPr>
        <w:pStyle w:val="Equation"/>
        <w:tabs>
          <w:tab w:pos="4680" w:val="center"/>
          <w:tab w:pos="9792" w:val="right"/>
        </w:tabs>
        <w:jc w:val="left"/>
      </w:pPr>
      <w:r>
        <w:tab/>
      </w:r>
      <m:oMath>
        <m:sSub>
          <m:e>
            <m:r>
              <m:t>c</m:t>
            </m:r>
          </m:e>
          <m:sub>
            <m:r>
              <m:t>i</m:t>
            </m:r>
          </m:sub>
        </m:sSub>
        <m:r>
          <m:rPr>
            <m:sty m:val="p"/>
          </m:rPr>
          <m:t>=</m:t>
        </m:r>
        <m:r>
          <m:t>F</m:t>
        </m:r>
        <m:d>
          <m:dPr>
            <m:begChr m:val="("/>
            <m:endChr m:val=")"/>
            <m:sepChr m:val=""/>
            <m:grow/>
          </m:dPr>
          <m:e>
            <m:r>
              <m:rPr>
                <m:sty m:val="p"/>
              </m:rPr>
              <m:t>{</m:t>
            </m:r>
            <m:r>
              <m:t>i</m:t>
            </m:r>
            <m:r>
              <m:rPr>
                <m:sty m:val="p"/>
              </m:rPr>
              <m:t>}</m:t>
            </m:r>
          </m:e>
        </m:d>
        <m:r>
          <m:rPr>
            <m:sty m:val="p"/>
          </m:rPr>
          <m:t>,</m:t>
        </m:r>
        <m:r>
          <m:t>  </m:t>
        </m:r>
        <m:sSub>
          <m:e>
            <m:r>
              <m:t>c</m:t>
            </m:r>
          </m:e>
          <m:sub>
            <m:r>
              <m:t>i</m:t>
            </m:r>
            <m:r>
              <m:t>j</m:t>
            </m:r>
          </m:sub>
        </m:sSub>
        <m:r>
          <m:rPr>
            <m:sty m:val="p"/>
          </m:rPr>
          <m:t>=</m:t>
        </m:r>
        <m:r>
          <m:t>F</m:t>
        </m:r>
        <m:d>
          <m:dPr>
            <m:begChr m:val="("/>
            <m:endChr m:val=")"/>
            <m:sepChr m:val=""/>
            <m:grow/>
          </m:dPr>
          <m:e>
            <m:r>
              <m:rPr>
                <m:sty m:val="p"/>
              </m:rPr>
              <m:t>{</m:t>
            </m:r>
            <m:r>
              <m:t>i</m:t>
            </m:r>
            <m:r>
              <m:rPr>
                <m:sty m:val="p"/>
              </m:rPr>
              <m:t>,</m:t>
            </m:r>
            <m:r>
              <m:t>j</m:t>
            </m:r>
            <m:r>
              <m:rPr>
                <m:sty m:val="p"/>
              </m:rPr>
              <m:t>}</m:t>
            </m:r>
          </m:e>
        </m:d>
        <m:r>
          <m:rPr>
            <m:sty m:val="p"/>
          </m:rPr>
          <m:t>,</m:t>
        </m:r>
        <m:r>
          <m:t>  </m:t>
        </m:r>
        <m:sSub>
          <m:e>
            <m:r>
              <m:t>o</m:t>
            </m:r>
          </m:e>
          <m:sub>
            <m:r>
              <m:t>i</m:t>
            </m:r>
            <m:r>
              <m:t>j</m:t>
            </m:r>
          </m:sub>
        </m:sSub>
        <m:r>
          <m:rPr>
            <m:sty m:val="p"/>
          </m:rPr>
          <m:t>=</m:t>
        </m:r>
        <m:sSub>
          <m:e>
            <m:r>
              <m:t>c</m:t>
            </m:r>
          </m:e>
          <m:sub>
            <m:r>
              <m:t>i</m:t>
            </m:r>
          </m:sub>
        </m:sSub>
        <m:r>
          <m:rPr>
            <m:sty m:val="p"/>
          </m:rPr>
          <m:t>+</m:t>
        </m:r>
        <m:sSub>
          <m:e>
            <m:r>
              <m:t>c</m:t>
            </m:r>
          </m:e>
          <m:sub>
            <m:r>
              <m:t>j</m:t>
            </m:r>
          </m:sub>
        </m:sSub>
        <m:r>
          <m:rPr>
            <m:sty m:val="p"/>
          </m:rPr>
          <m:t>−</m:t>
        </m:r>
        <m:sSub>
          <m:e>
            <m:r>
              <m:t>c</m:t>
            </m:r>
          </m:e>
          <m:sub>
            <m:r>
              <m:t>i</m:t>
            </m:r>
            <m:r>
              <m:t>j</m:t>
            </m:r>
          </m:sub>
        </m:sSub>
        <m:r>
          <m:rPr>
            <m:sty m:val="p"/>
          </m:rPr>
          <m:t>,</m:t>
        </m:r>
        <m:r>
          <m:t> </m:t>
        </m:r>
        <m:r>
          <m:t>i</m:t>
        </m:r>
        <m:r>
          <m:rPr>
            <m:sty m:val="p"/>
          </m:rPr>
          <m:t>≠</m:t>
        </m:r>
        <m:r>
          <m:t>j</m:t>
        </m:r>
        <m:r>
          <m:rPr>
            <m:sty m:val="p"/>
          </m:rPr>
          <m:t>.</m:t>
        </m:r>
      </m:oMath>
      <w:r>
        <w:tab/>
        <w:t>(2)</w:t>
      </w:r>
    </w:p>
    <w:p>
      <w:pPr>
        <w:pStyle w:val="BodyText"/>
      </w:pPr>
      <w:r>
        <w:t xml:space="preserve">The quantity</w:t>
      </w:r>
      <w:r>
        <w:t xml:space="preserve"> </w:t>
      </w:r>
      <m:oMath>
        <m:sSub>
          <m:e>
            <m:r>
              <m:t>o</m:t>
            </m:r>
          </m:e>
          <m:sub>
            <m:r>
              <m:t>i</m:t>
            </m:r>
            <m:r>
              <m:t>j</m:t>
            </m:r>
          </m:sub>
        </m:sSub>
      </m:oMath>
      <w:r>
        <w:t xml:space="preserve"> </w:t>
      </w:r>
      <w:r>
        <w:t xml:space="preserve">is the cost of the common prefix of the two root paths. Service costs cancel from this overlap. Let</w:t>
      </w:r>
      <w:r>
        <w:t xml:space="preserve"> </w:t>
      </w:r>
      <m:oMath>
        <m:r>
          <m:rPr>
            <m:sty m:val="p"/>
          </m:rPr>
          <m:t>𝒯</m:t>
        </m:r>
        <m:d>
          <m:dPr>
            <m:begChr m:val="("/>
            <m:endChr m:val=")"/>
            <m:sepChr m:val=""/>
            <m:grow/>
          </m:dPr>
          <m:e>
            <m:r>
              <m:t>S</m:t>
            </m:r>
          </m:e>
        </m:d>
      </m:oMath>
      <w:r>
        <w:t xml:space="preserve"> </w:t>
      </w:r>
      <w:r>
        <w:t xml:space="preserve">denote the spanning trees of the complete graph on</w:t>
      </w:r>
      <w:r>
        <w:t xml:space="preserve"> </w:t>
      </w:r>
      <m:oMath>
        <m:r>
          <m:t>S</m:t>
        </m:r>
      </m:oMath>
      <w:r>
        <w:t xml:space="preserve">, when</w:t>
      </w:r>
      <w:r>
        <w:t xml:space="preserve"> </w:t>
      </w:r>
      <m:oMath>
        <m:box>
          <m:e>
            <m:r>
              <m:rPr>
                <m:sty m:val="p"/>
              </m:rPr>
              <m:t>|</m:t>
            </m:r>
            <m:r>
              <m:t>S</m:t>
            </m:r>
            <m:r>
              <m:rPr>
                <m:sty m:val="p"/>
              </m:rPr>
              <m:t>|</m:t>
            </m:r>
          </m:e>
        </m:box>
        <m:r>
          <m:rPr>
            <m:sty m:val="p"/>
          </m:rPr>
          <m:t>≥</m:t>
        </m:r>
        <m:r>
          <m:t>2</m:t>
        </m:r>
      </m:oMath>
      <w:r>
        <w:t xml:space="preserve">.</w:t>
      </w:r>
    </w:p>
    <w:p>
      <w:pPr>
        <w:pStyle w:val="BodyText"/>
      </w:pPr>
      <w:r>
        <w:t xml:space="preserve">The model describes shared activation or setup expenses. These expenses need not equal packet traffic, inference tokens, or wall-clock latency.</w:t>
      </w:r>
    </w:p>
    <w:bookmarkEnd w:id="30"/>
    <w:bookmarkStart w:id="31" w:name="compatibility-and-marginal-costs"/>
    <w:p>
      <w:pPr>
        <w:pStyle w:val="Heading2"/>
      </w:pPr>
      <w:r>
        <w:t xml:space="preserve">2.2. Compatibility and marginal costs</w:t>
      </w:r>
    </w:p>
    <w:p>
      <w:pPr>
        <w:pStyle w:val="FirstParagraph"/>
        <w:keepNext/>
        <w:spacing w:before="140" w:after="100"/>
      </w:pPr>
      <w:r>
        <w:rPr>
          <w:bCs/>
          <w:b/>
        </w:rPr>
        <w:t xml:space="preserve">Proposition 2.1 — Rooted-tree compatibility.</w:t>
      </w:r>
      <w:r>
        <w:t xml:space="preserve"> </w:t>
      </w:r>
      <w:r>
        <w:t xml:space="preserve">A singleton and pair table admits a representation of the form (1) if and only if</w:t>
      </w:r>
      <w:r>
        <w:t xml:space="preserve"> </w:t>
      </w:r>
      <m:oMath>
        <m:sSub>
          <m:e>
            <m:r>
              <m:t>c</m:t>
            </m:r>
          </m:e>
          <m:sub>
            <m:r>
              <m:t>i</m:t>
            </m:r>
          </m:sub>
        </m:sSub>
        <m:r>
          <m:rPr>
            <m:sty m:val="p"/>
          </m:rPr>
          <m:t>≥</m:t>
        </m:r>
        <m:r>
          <m:t>0</m:t>
        </m:r>
      </m:oMath>
      <w:r>
        <w:t xml:space="preserve">, the overlaps are symmetric, and</w:t>
      </w:r>
    </w:p>
    <w:p>
      <w:pPr>
        <w:pStyle w:val="Equation"/>
        <w:tabs>
          <w:tab w:pos="4680" w:val="center"/>
          <w:tab w:pos="9792" w:val="right"/>
        </w:tabs>
        <w:jc w:val="left"/>
      </w:pPr>
      <w:r>
        <w:tab/>
      </w:r>
      <m:oMath>
        <m:r>
          <m:t>0</m:t>
        </m:r>
        <m:r>
          <m:rPr>
            <m:sty m:val="p"/>
          </m:rPr>
          <m:t>≤</m:t>
        </m:r>
        <m:sSub>
          <m:e>
            <m:r>
              <m:t>o</m:t>
            </m:r>
          </m:e>
          <m:sub>
            <m:r>
              <m:t>i</m:t>
            </m:r>
            <m:r>
              <m:t>j</m:t>
            </m:r>
          </m:sub>
        </m:sSub>
        <m:r>
          <m:rPr>
            <m:sty m:val="p"/>
          </m:rPr>
          <m:t>≤</m:t>
        </m:r>
        <m:r>
          <m:rPr>
            <m:sty m:val="p"/>
            <m:nor/>
          </m:rPr>
          <m:t>min</m:t>
        </m:r>
        <m:d>
          <m:dPr>
            <m:begChr m:val="("/>
            <m:endChr m:val=")"/>
            <m:sepChr m:val=""/>
            <m:grow/>
          </m:dPr>
          <m:e>
            <m:sSub>
              <m:e>
                <m:r>
                  <m:t>c</m:t>
                </m:r>
              </m:e>
              <m:sub>
                <m:r>
                  <m:t>i</m:t>
                </m:r>
              </m:sub>
            </m:sSub>
            <m:r>
              <m:rPr>
                <m:sty m:val="p"/>
              </m:rPr>
              <m:t>,</m:t>
            </m:r>
            <m:sSub>
              <m:e>
                <m:r>
                  <m:t>c</m:t>
                </m:r>
              </m:e>
              <m:sub>
                <m:r>
                  <m:t>j</m:t>
                </m:r>
              </m:sub>
            </m:sSub>
          </m:e>
        </m:d>
        <m:r>
          <m:rPr>
            <m:sty m:val="p"/>
          </m:rPr>
          <m:t>,</m:t>
        </m:r>
        <m:r>
          <m:t>  </m:t>
        </m:r>
        <m:sSub>
          <m:e>
            <m:r>
              <m:t>o</m:t>
            </m:r>
          </m:e>
          <m:sub>
            <m:r>
              <m:t>i</m:t>
            </m:r>
            <m:r>
              <m:t>j</m:t>
            </m:r>
          </m:sub>
        </m:sSub>
        <m:r>
          <m:rPr>
            <m:sty m:val="p"/>
          </m:rPr>
          <m:t>≥</m:t>
        </m:r>
        <m:r>
          <m:rPr>
            <m:sty m:val="p"/>
            <m:nor/>
          </m:rPr>
          <m:t>min</m:t>
        </m:r>
        <m:d>
          <m:dPr>
            <m:begChr m:val="("/>
            <m:endChr m:val=")"/>
            <m:sepChr m:val=""/>
            <m:grow/>
          </m:dPr>
          <m:e>
            <m:sSub>
              <m:e>
                <m:r>
                  <m:t>o</m:t>
                </m:r>
              </m:e>
              <m:sub>
                <m:r>
                  <m:t>i</m:t>
                </m:r>
                <m:r>
                  <m:t>k</m:t>
                </m:r>
              </m:sub>
            </m:sSub>
            <m:r>
              <m:rPr>
                <m:sty m:val="p"/>
              </m:rPr>
              <m:t>,</m:t>
            </m:r>
            <m:sSub>
              <m:e>
                <m:r>
                  <m:t>o</m:t>
                </m:r>
              </m:e>
              <m:sub>
                <m:r>
                  <m:t>j</m:t>
                </m:r>
                <m:r>
                  <m:t>k</m:t>
                </m:r>
              </m:sub>
            </m:sSub>
          </m:e>
        </m:d>
      </m:oMath>
      <w:r>
        <w:tab/>
        <w:t>(3)</w:t>
      </w:r>
    </w:p>
    <w:p>
      <w:pPr>
        <w:pStyle w:val="BodyText"/>
        <w:keepNext/>
      </w:pPr>
      <w:r>
        <w:t xml:space="preserve">for distinct relevant indices. Under these conditions,</w:t>
      </w:r>
    </w:p>
    <w:p>
      <w:pPr>
        <w:pStyle w:val="Equation"/>
        <w:tabs>
          <w:tab w:pos="4680" w:val="center"/>
          <w:tab w:pos="9792" w:val="right"/>
        </w:tabs>
        <w:jc w:val="left"/>
      </w:pPr>
      <w:r>
        <w:tab/>
      </w:r>
      <m:oMath>
        <m:r>
          <m:t>F</m:t>
        </m:r>
        <m:d>
          <m:dPr>
            <m:begChr m:val="("/>
            <m:endChr m:val=")"/>
            <m:sepChr m:val=""/>
            <m:grow/>
          </m:dPr>
          <m:e>
            <m:r>
              <m:t>A</m:t>
            </m:r>
            <m:r>
              <m:rPr>
                <m:sty m:val="p"/>
              </m:rPr>
              <m:t>∪</m:t>
            </m:r>
            <m:r>
              <m:rPr>
                <m:sty m:val="p"/>
              </m:rPr>
              <m:t>{</m:t>
            </m:r>
            <m:r>
              <m:t>j</m:t>
            </m:r>
            <m:r>
              <m:rPr>
                <m:sty m:val="p"/>
              </m:rPr>
              <m:t>}</m:t>
            </m:r>
          </m:e>
        </m:d>
        <m:r>
          <m:rPr>
            <m:sty m:val="p"/>
          </m:rPr>
          <m:t>−</m:t>
        </m:r>
        <m:r>
          <m:t>F</m:t>
        </m:r>
        <m:d>
          <m:dPr>
            <m:begChr m:val="("/>
            <m:endChr m:val=")"/>
            <m:sepChr m:val=""/>
            <m:grow/>
          </m:dPr>
          <m:e>
            <m:r>
              <m:t>A</m:t>
            </m:r>
          </m:e>
        </m:d>
        <m:r>
          <m:rPr>
            <m:sty m:val="p"/>
          </m:rPr>
          <m:t>=</m:t>
        </m:r>
        <m:sSub>
          <m:e>
            <m:r>
              <m:t>c</m:t>
            </m:r>
          </m:e>
          <m:sub>
            <m:r>
              <m:t>j</m:t>
            </m:r>
          </m:sub>
        </m:sSub>
        <m:r>
          <m:rPr>
            <m:sty m:val="p"/>
          </m:rPr>
          <m:t>−</m:t>
        </m:r>
        <m:limLow>
          <m:e>
            <m:r>
              <m:rPr>
                <m:sty m:val="p"/>
                <m:nor/>
              </m:rPr>
              <m:t>max</m:t>
            </m:r>
          </m:e>
          <m:lim>
            <m:r>
              <m:t>i</m:t>
            </m:r>
            <m:r>
              <m:rPr>
                <m:sty m:val="p"/>
              </m:rPr>
              <m:t>∈</m:t>
            </m:r>
            <m:r>
              <m:t>A</m:t>
            </m:r>
          </m:lim>
        </m:limLow>
        <m:sSub>
          <m:e>
            <m:r>
              <m:t>o</m:t>
            </m:r>
          </m:e>
          <m:sub>
            <m:r>
              <m:t>i</m:t>
            </m:r>
            <m:r>
              <m:t>j</m:t>
            </m:r>
          </m:sub>
        </m:sSub>
        <m:r>
          <m:rPr>
            <m:sty m:val="p"/>
          </m:rPr>
          <m:t>,</m:t>
        </m:r>
        <m:r>
          <m:t>  </m:t>
        </m:r>
        <m:r>
          <m:t>j</m:t>
        </m:r>
        <m:r>
          <m:rPr>
            <m:sty m:val="p"/>
          </m:rPr>
          <m:t>∉</m:t>
        </m:r>
        <m:r>
          <m:t>A</m:t>
        </m:r>
        <m:r>
          <m:rPr>
            <m:sty m:val="p"/>
          </m:rPr>
          <m:t>,</m:t>
        </m:r>
      </m:oMath>
      <w:r>
        <w:tab/>
        <w:t>(4)</w:t>
      </w:r>
    </w:p>
    <w:p>
      <w:pPr>
        <w:pStyle w:val="BodyText"/>
      </w:pPr>
      <w:r>
        <w:t xml:space="preserve">where the maximum over the empty set is zero.</w:t>
      </w:r>
    </w:p>
    <w:p>
      <w:pPr>
        <w:pStyle w:val="BodyText"/>
      </w:pPr>
      <w:r>
        <w:rPr>
          <w:iCs/>
          <w:i/>
        </w:rPr>
        <w:t xml:space="preserve">Proof.</w:t>
      </w:r>
      <w:r>
        <w:t xml:space="preserve"> </w:t>
      </w:r>
      <w:r>
        <w:t xml:space="preserve">In a rooted tree, intersections of root paths are common prefixes. Their lengths give the bounds in (3). If the paths to</w:t>
      </w:r>
      <w:r>
        <w:t xml:space="preserve"> </w:t>
      </w:r>
      <m:oMath>
        <m:r>
          <m:t>i</m:t>
        </m:r>
      </m:oMath>
      <w:r>
        <w:t xml:space="preserve"> </w:t>
      </w:r>
      <w:r>
        <w:t xml:space="preserve">and</w:t>
      </w:r>
      <w:r>
        <w:t xml:space="preserve"> </w:t>
      </w:r>
      <m:oMath>
        <m:r>
          <m:t>k</m:t>
        </m:r>
      </m:oMath>
      <w:r>
        <w:t xml:space="preserve"> </w:t>
      </w:r>
      <w:r>
        <w:t xml:space="preserve">agree to depth</w:t>
      </w:r>
      <w:r>
        <w:t xml:space="preserve"> </w:t>
      </w:r>
      <m:oMath>
        <m:r>
          <m:t>u</m:t>
        </m:r>
      </m:oMath>
      <w:r>
        <w:t xml:space="preserve">, and those to</w:t>
      </w:r>
      <w:r>
        <w:t xml:space="preserve"> </w:t>
      </w:r>
      <m:oMath>
        <m:r>
          <m:t>j</m:t>
        </m:r>
      </m:oMath>
      <w:r>
        <w:t xml:space="preserve"> </w:t>
      </w:r>
      <w:r>
        <w:t xml:space="preserve">and</w:t>
      </w:r>
      <w:r>
        <w:t xml:space="preserve"> </w:t>
      </w:r>
      <m:oMath>
        <m:r>
          <m:t>k</m:t>
        </m:r>
      </m:oMath>
      <w:r>
        <w:t xml:space="preserve"> </w:t>
      </w:r>
      <w:r>
        <w:t xml:space="preserve">agree to depth</w:t>
      </w:r>
      <w:r>
        <w:t xml:space="preserve"> </w:t>
      </w:r>
      <m:oMath>
        <m:r>
          <m:t>v</m:t>
        </m:r>
      </m:oMath>
      <w:r>
        <w:t xml:space="preserve">, the paths to</w:t>
      </w:r>
      <w:r>
        <w:t xml:space="preserve"> </w:t>
      </w:r>
      <m:oMath>
        <m:r>
          <m:t>i</m:t>
        </m:r>
      </m:oMath>
      <w:r>
        <w:t xml:space="preserve"> </w:t>
      </w:r>
      <w:r>
        <w:t xml:space="preserve">and</w:t>
      </w:r>
      <w:r>
        <w:t xml:space="preserve"> </w:t>
      </w:r>
      <m:oMath>
        <m:r>
          <m:t>j</m:t>
        </m:r>
      </m:oMath>
      <w:r>
        <w:t xml:space="preserve"> </w:t>
      </w:r>
      <w:r>
        <w:t xml:space="preserve">agree to depth at least</w:t>
      </w:r>
      <w:r>
        <w:t xml:space="preserve"> </w:t>
      </w:r>
      <m:oMath>
        <m:r>
          <m:rPr>
            <m:sty m:val="p"/>
            <m:nor/>
          </m:rPr>
          <m:t>min</m:t>
        </m:r>
        <m:d>
          <m:dPr>
            <m:begChr m:val="("/>
            <m:endChr m:val=")"/>
            <m:sepChr m:val=""/>
            <m:grow/>
          </m:dPr>
          <m:e>
            <m:r>
              <m:t>u</m:t>
            </m:r>
            <m:r>
              <m:rPr>
                <m:sty m:val="p"/>
              </m:rPr>
              <m:t>,</m:t>
            </m:r>
            <m:r>
              <m:t>v</m:t>
            </m:r>
          </m:e>
        </m:d>
      </m:oMath>
      <w:r>
        <w:t xml:space="preserve">. This proves the last inequality.</w:t>
      </w:r>
    </w:p>
    <w:p>
      <w:pPr>
        <w:pStyle w:val="BodyText"/>
      </w:pPr>
      <w:r>
        <w:t xml:space="preserve">Conversely, at height</w:t>
      </w:r>
      <w:r>
        <w:t xml:space="preserve"> </w:t>
      </w:r>
      <m:oMath>
        <m:r>
          <m:t>t</m:t>
        </m:r>
        <m:r>
          <m:rPr>
            <m:sty m:val="p"/>
          </m:rPr>
          <m:t>≥</m:t>
        </m:r>
        <m:r>
          <m:t>0</m:t>
        </m:r>
      </m:oMath>
      <w:r>
        <w:t xml:space="preserve">, group distinct labels satisfying</w:t>
      </w:r>
      <w:r>
        <w:t xml:space="preserve"> </w:t>
      </w:r>
      <m:oMath>
        <m:sSub>
          <m:e>
            <m:r>
              <m:t>o</m:t>
            </m:r>
          </m:e>
          <m:sub>
            <m:r>
              <m:t>i</m:t>
            </m:r>
            <m:r>
              <m:t>j</m:t>
            </m:r>
          </m:sub>
        </m:sSub>
        <m:r>
          <m:rPr>
            <m:sty m:val="p"/>
          </m:rPr>
          <m:t>≥</m:t>
        </m:r>
        <m:r>
          <m:t>t</m:t>
        </m:r>
      </m:oMath>
      <w:r>
        <w:t xml:space="preserve">, retaining each label as equivalent to itself. The last inequality in (3) makes these groups equivalence classes. As</w:t>
      </w:r>
      <w:r>
        <w:t xml:space="preserve"> </w:t>
      </w:r>
      <m:oMath>
        <m:r>
          <m:t>t</m:t>
        </m:r>
      </m:oMath>
      <w:r>
        <w:t xml:space="preserve"> </w:t>
      </w:r>
      <w:r>
        <w:t xml:space="preserve">increases, the classes refine and form a hierarchy.</w:t>
      </w:r>
    </w:p>
    <w:p>
      <w:pPr>
        <w:pStyle w:val="BodyText"/>
      </w:pPr>
      <w:r>
        <w:t xml:space="preserve">Realize this hierarchy as a rooted tree whose branching depths are the distinct overlap values, with root depth zero. Place label</w:t>
      </w:r>
      <w:r>
        <w:t xml:space="preserve"> </w:t>
      </w:r>
      <m:oMath>
        <m:r>
          <m:t>i</m:t>
        </m:r>
      </m:oMath>
      <w:r>
        <w:t xml:space="preserve"> </w:t>
      </w:r>
      <w:r>
        <w:t xml:space="preserve">at depth</w:t>
      </w:r>
      <w:r>
        <w:t xml:space="preserve"> </w:t>
      </w:r>
      <m:oMath>
        <m:sSub>
          <m:e>
            <m:r>
              <m:t>c</m:t>
            </m:r>
          </m:e>
          <m:sub>
            <m:r>
              <m:t>i</m:t>
            </m:r>
          </m:sub>
        </m:sSub>
      </m:oMath>
      <w:r>
        <w:t xml:space="preserve">. Every nontrivial class containing</w:t>
      </w:r>
      <w:r>
        <w:t xml:space="preserve"> </w:t>
      </w:r>
      <m:oMath>
        <m:r>
          <m:t>i</m:t>
        </m:r>
      </m:oMath>
      <w:r>
        <w:t xml:space="preserve"> </w:t>
      </w:r>
      <w:r>
        <w:t xml:space="preserve">occurs at depth at most</w:t>
      </w:r>
      <w:r>
        <w:t xml:space="preserve"> </w:t>
      </w:r>
      <m:oMath>
        <m:sSub>
          <m:e>
            <m:r>
              <m:t>c</m:t>
            </m:r>
          </m:e>
          <m:sub>
            <m:r>
              <m:t>i</m:t>
            </m:r>
          </m:sub>
        </m:sSub>
      </m:oMath>
      <w:r>
        <w:t xml:space="preserve">, so all edge lengths are nonnegative. Zero-length edges accommodate tied depths. The resulting common-prefix depths are exactly</w:t>
      </w:r>
      <w:r>
        <w:t xml:space="preserve"> </w:t>
      </w:r>
      <m:oMath>
        <m:sSub>
          <m:e>
            <m:r>
              <m:t>o</m:t>
            </m:r>
          </m:e>
          <m:sub>
            <m:r>
              <m:t>i</m:t>
            </m:r>
            <m:r>
              <m:t>j</m:t>
            </m:r>
          </m:sub>
        </m:sSub>
      </m:oMath>
      <w:r>
        <w:t xml:space="preserve">, giving the prescribed individual and pair costs.</w:t>
      </w:r>
    </w:p>
    <w:p>
      <w:pPr>
        <w:pStyle w:val="BodyText"/>
      </w:pPr>
      <w:r>
        <w:t xml:space="preserve">Finally, the intersection of</w:t>
      </w:r>
      <w:r>
        <w:t xml:space="preserve"> </w:t>
      </w:r>
      <m:oMath>
        <m:sSub>
          <m:e>
            <m:r>
              <m:t>P</m:t>
            </m:r>
          </m:e>
          <m:sub>
            <m:r>
              <m:t>j</m:t>
            </m:r>
          </m:sub>
        </m:sSub>
      </m:oMath>
      <w:r>
        <w:t xml:space="preserve"> </w:t>
      </w:r>
      <w:r>
        <w:t xml:space="preserve">with the union of previously activated paths is its longest common prefix with those paths. Subtracting this already-paid length from</w:t>
      </w:r>
      <w:r>
        <w:t xml:space="preserve"> </w:t>
      </w:r>
      <m:oMath>
        <m:sSub>
          <m:e>
            <m:r>
              <m:t>c</m:t>
            </m:r>
          </m:e>
          <m:sub>
            <m:r>
              <m:t>j</m:t>
            </m:r>
          </m:sub>
        </m:sSub>
      </m:oMath>
      <w:r>
        <w:t xml:space="preserve"> </w:t>
      </w:r>
      <w:r>
        <w:t xml:space="preserve">proves (4).</w:t>
      </w:r>
      <w:r>
        <w:t xml:space="preserve"> </w:t>
      </w:r>
      <m:oMath>
        <m:r>
          <m:rPr>
            <m:sty m:val="p"/>
          </m:rPr>
          <m:t>▫</m:t>
        </m:r>
      </m:oMath>
    </w:p>
    <w:p>
      <w:pPr>
        <w:pStyle w:val="BodyText"/>
      </w:pPr>
      <w:r>
        <w:t xml:space="preserve">This construction uses the established correspondence between hierarchical similarities and rooted trees [4,18]. It identifies the set-cost function. A physical subdivision of edges, or a separate decomposition into service and communication expenses, need not be identifiable.</w:t>
      </w:r>
    </w:p>
    <w:bookmarkEnd w:id="31"/>
    <w:bookmarkStart w:id="32" w:name="reconstruction-from-pairs"/>
    <w:p>
      <w:pPr>
        <w:pStyle w:val="Heading2"/>
      </w:pPr>
      <w:r>
        <w:t xml:space="preserve">2.3. Reconstruction from pairs</w:t>
      </w:r>
    </w:p>
    <w:p>
      <w:pPr>
        <w:pStyle w:val="FirstParagraph"/>
        <w:keepNext/>
        <w:spacing w:before="140" w:after="100"/>
      </w:pPr>
      <w:r>
        <w:rPr>
          <w:bCs/>
          <w:b/>
        </w:rPr>
        <w:t xml:space="preserve">Proposition 2.2 — Spanning-tree reconstruction.</w:t>
      </w:r>
      <w:r>
        <w:t xml:space="preserve"> </w:t>
      </w:r>
      <w:r>
        <w:t xml:space="preserve">For every</w:t>
      </w:r>
      <w:r>
        <w:t xml:space="preserve"> </w:t>
      </w:r>
      <m:oMath>
        <m:r>
          <m:t>S</m:t>
        </m:r>
        <m:r>
          <m:rPr>
            <m:sty m:val="p"/>
          </m:rPr>
          <m:t>⊆</m:t>
        </m:r>
        <m:r>
          <m:t>N</m:t>
        </m:r>
      </m:oMath>
      <w:r>
        <w:t xml:space="preserve"> </w:t>
      </w:r>
      <w:r>
        <w:t xml:space="preserve">with</w:t>
      </w:r>
      <w:r>
        <w:t xml:space="preserve"> </w:t>
      </w:r>
      <m:oMath>
        <m:r>
          <m:t>m</m:t>
        </m:r>
        <m:r>
          <m:rPr>
            <m:sty m:val="p"/>
          </m:rPr>
          <m:t>=</m:t>
        </m:r>
        <m:box>
          <m:e>
            <m:r>
              <m:rPr>
                <m:sty m:val="p"/>
              </m:rPr>
              <m:t>|</m:t>
            </m:r>
            <m:r>
              <m:t>S</m:t>
            </m:r>
            <m:r>
              <m:rPr>
                <m:sty m:val="p"/>
              </m:rPr>
              <m:t>|</m:t>
            </m:r>
          </m:e>
        </m:box>
        <m:r>
          <m:rPr>
            <m:sty m:val="p"/>
          </m:rPr>
          <m:t>≥</m:t>
        </m:r>
        <m:r>
          <m:t>2</m:t>
        </m:r>
      </m:oMath>
      <w:r>
        <w:t xml:space="preserve">,</w:t>
      </w:r>
    </w:p>
    <w:p>
      <w:pPr>
        <w:pStyle w:val="Equation"/>
        <w:tabs>
          <w:tab w:pos="4680" w:val="center"/>
          <w:tab w:pos="9792" w:val="right"/>
        </w:tabs>
        <w:jc w:val="left"/>
      </w:pPr>
      <w:r>
        <w:tab/>
      </w:r>
      <m:oMath>
        <m:r>
          <m:t>F</m:t>
        </m:r>
        <m:d>
          <m:dPr>
            <m:begChr m:val="("/>
            <m:endChr m:val=")"/>
            <m:sepChr m:val=""/>
            <m:grow/>
          </m:dPr>
          <m:e>
            <m:r>
              <m:t>S</m:t>
            </m:r>
          </m:e>
        </m:d>
        <m:r>
          <m:rPr>
            <m:sty m:val="p"/>
          </m:rPr>
          <m:t>=</m:t>
        </m:r>
        <m:nary>
          <m:naryPr>
            <m:chr m:val="∑"/>
            <m:limLoc m:val="undOvr"/>
            <m:subHide m:val="off"/>
            <m:supHide m:val="on"/>
          </m:naryPr>
          <m:sub>
            <m:r>
              <m:t>i</m:t>
            </m:r>
            <m:r>
              <m:rPr>
                <m:sty m:val="p"/>
              </m:rPr>
              <m:t>∈</m:t>
            </m:r>
            <m:r>
              <m:t>S</m:t>
            </m:r>
          </m:sub>
          <m:sup>
            <m:r>
              <m:t>​</m:t>
            </m:r>
          </m:sup>
          <m:e>
            <m:sSub>
              <m:e>
                <m:r>
                  <m:t>c</m:t>
                </m:r>
              </m:e>
              <m:sub>
                <m:r>
                  <m:t>i</m:t>
                </m:r>
              </m:sub>
            </m:sSub>
          </m:e>
        </m:nary>
        <m:r>
          <m:rPr>
            <m:sty m:val="p"/>
          </m:rPr>
          <m:t>−</m:t>
        </m:r>
        <m:limLow>
          <m:e>
            <m:r>
              <m:rPr>
                <m:sty m:val="p"/>
                <m:nor/>
              </m:rPr>
              <m:t>max</m:t>
            </m:r>
          </m:e>
          <m:lim>
            <m:r>
              <m:t>M</m:t>
            </m:r>
            <m:r>
              <m:rPr>
                <m:sty m:val="p"/>
              </m:rPr>
              <m:t>∈</m:t>
            </m:r>
            <m:r>
              <m:rPr>
                <m:sty m:val="p"/>
              </m:rPr>
              <m:t>𝒯</m:t>
            </m:r>
            <m:d>
              <m:dPr>
                <m:begChr m:val="("/>
                <m:endChr m:val=")"/>
                <m:sepChr m:val=""/>
                <m:grow/>
              </m:dPr>
              <m:e>
                <m:r>
                  <m:t>S</m:t>
                </m:r>
              </m:e>
            </m:d>
          </m:lim>
        </m:limLow>
        <m:nary>
          <m:naryPr>
            <m:chr m:val="∑"/>
            <m:limLoc m:val="undOvr"/>
            <m:subHide m:val="off"/>
            <m:supHide m:val="on"/>
          </m:naryPr>
          <m:sub>
            <m:r>
              <m:rPr>
                <m:sty m:val="p"/>
              </m:rPr>
              <m:t>{</m:t>
            </m:r>
            <m:r>
              <m:t>i</m:t>
            </m:r>
            <m:r>
              <m:rPr>
                <m:sty m:val="p"/>
              </m:rPr>
              <m:t>,</m:t>
            </m:r>
            <m:r>
              <m:t>j</m:t>
            </m:r>
            <m:r>
              <m:rPr>
                <m:sty m:val="p"/>
              </m:rPr>
              <m:t>}</m:t>
            </m:r>
            <m:r>
              <m:rPr>
                <m:sty m:val="p"/>
              </m:rPr>
              <m:t>∈</m:t>
            </m:r>
            <m:r>
              <m:t>E</m:t>
            </m:r>
            <m:d>
              <m:dPr>
                <m:begChr m:val="("/>
                <m:endChr m:val=")"/>
                <m:sepChr m:val=""/>
                <m:grow/>
              </m:dPr>
              <m:e>
                <m:r>
                  <m:t>M</m:t>
                </m:r>
              </m:e>
            </m:d>
          </m:sub>
          <m:sup>
            <m:r>
              <m:t>​</m:t>
            </m:r>
          </m:sup>
          <m:e>
            <m:sSub>
              <m:e>
                <m:r>
                  <m:t>o</m:t>
                </m:r>
              </m:e>
              <m:sub>
                <m:r>
                  <m:t>i</m:t>
                </m:r>
                <m:r>
                  <m:t>j</m:t>
                </m:r>
              </m:sub>
            </m:sSub>
          </m:e>
        </m:nary>
        <m:r>
          <m:rPr>
            <m:sty m:val="p"/>
          </m:rPr>
          <m:t>.</m:t>
        </m:r>
      </m:oMath>
      <w:r>
        <w:tab/>
        <w:t>(5)</w:t>
      </w:r>
    </w:p>
    <w:p>
      <w:pPr>
        <w:pStyle w:val="BodyText"/>
        <w:keepNext/>
      </w:pPr>
      <w:r>
        <w:t xml:space="preserve">Equivalently,</w:t>
      </w:r>
    </w:p>
    <w:p>
      <w:pPr>
        <w:pStyle w:val="Equation"/>
        <w:tabs>
          <w:tab w:pos="4680" w:val="center"/>
          <w:tab w:pos="9792" w:val="right"/>
        </w:tabs>
        <w:jc w:val="left"/>
      </w:pPr>
      <w:r>
        <w:tab/>
      </w:r>
      <m:oMath>
        <m:r>
          <m:t>F</m:t>
        </m:r>
        <m:d>
          <m:dPr>
            <m:begChr m:val="("/>
            <m:endChr m:val=")"/>
            <m:sepChr m:val=""/>
            <m:grow/>
          </m:dPr>
          <m:e>
            <m:r>
              <m:t>S</m:t>
            </m:r>
          </m:e>
        </m:d>
        <m:r>
          <m:rPr>
            <m:sty m:val="p"/>
          </m:rPr>
          <m:t>=</m:t>
        </m:r>
        <m:limLow>
          <m:e>
            <m:r>
              <m:rPr>
                <m:sty m:val="p"/>
                <m:nor/>
              </m:rPr>
              <m:t>min</m:t>
            </m:r>
          </m:e>
          <m:lim>
            <m:r>
              <m:t>M</m:t>
            </m:r>
            <m:r>
              <m:rPr>
                <m:sty m:val="p"/>
              </m:rPr>
              <m:t>∈</m:t>
            </m:r>
            <m:r>
              <m:rPr>
                <m:sty m:val="p"/>
              </m:rPr>
              <m:t>𝒯</m:t>
            </m:r>
            <m:d>
              <m:dPr>
                <m:begChr m:val="("/>
                <m:endChr m:val=")"/>
                <m:sepChr m:val=""/>
                <m:grow/>
              </m:dPr>
              <m:e>
                <m:r>
                  <m:t>S</m:t>
                </m:r>
              </m:e>
            </m:d>
          </m:lim>
        </m:limLow>
        <m:box>
          <m:e>
            <m:r>
              <m:rPr>
                <m:sty m:val="p"/>
              </m:rPr>
              <m:t>[</m:t>
            </m:r>
            <m:nary>
              <m:naryPr>
                <m:chr m:val="∑"/>
                <m:limLoc m:val="undOvr"/>
                <m:subHide m:val="off"/>
                <m:supHide m:val="on"/>
              </m:naryPr>
              <m:sub>
                <m:r>
                  <m:rPr>
                    <m:sty m:val="p"/>
                  </m:rPr>
                  <m:t>{</m:t>
                </m:r>
                <m:r>
                  <m:t>i</m:t>
                </m:r>
                <m:r>
                  <m:rPr>
                    <m:sty m:val="p"/>
                  </m:rPr>
                  <m:t>,</m:t>
                </m:r>
                <m:r>
                  <m:t>j</m:t>
                </m:r>
                <m:r>
                  <m:rPr>
                    <m:sty m:val="p"/>
                  </m:rPr>
                  <m:t>}</m:t>
                </m:r>
                <m:r>
                  <m:rPr>
                    <m:sty m:val="p"/>
                  </m:rPr>
                  <m:t>∈</m:t>
                </m:r>
                <m:r>
                  <m:t>E</m:t>
                </m:r>
                <m:d>
                  <m:dPr>
                    <m:begChr m:val="("/>
                    <m:endChr m:val=")"/>
                    <m:sepChr m:val=""/>
                    <m:grow/>
                  </m:dPr>
                  <m:e>
                    <m:r>
                      <m:t>M</m:t>
                    </m:r>
                  </m:e>
                </m:d>
              </m:sub>
              <m:sup>
                <m:r>
                  <m:t>​</m:t>
                </m:r>
              </m:sup>
              <m:e>
                <m:sSub>
                  <m:e>
                    <m:r>
                      <m:t>c</m:t>
                    </m:r>
                  </m:e>
                  <m:sub>
                    <m:r>
                      <m:t>i</m:t>
                    </m:r>
                    <m:r>
                      <m:t>j</m:t>
                    </m:r>
                  </m:sub>
                </m:sSub>
              </m:e>
            </m:nary>
            <m:r>
              <m:rPr>
                <m:sty m:val="p"/>
              </m:rPr>
              <m:t>−</m:t>
            </m:r>
            <m:nary>
              <m:naryPr>
                <m:chr m:val="∑"/>
                <m:limLoc m:val="undOvr"/>
                <m:subHide m:val="off"/>
                <m:supHide m:val="on"/>
              </m:naryPr>
              <m:sub>
                <m:r>
                  <m:t>i</m:t>
                </m:r>
                <m:r>
                  <m:rPr>
                    <m:sty m:val="p"/>
                  </m:rPr>
                  <m:t>∈</m:t>
                </m:r>
                <m:r>
                  <m:t>S</m:t>
                </m:r>
              </m:sub>
              <m:sup>
                <m:r>
                  <m:t>​</m:t>
                </m:r>
              </m:sup>
              <m:e>
                <m:r>
                  <m:rPr>
                    <m:sty m:val="p"/>
                  </m:rPr>
                  <m:t>(</m:t>
                </m:r>
              </m:e>
            </m:nary>
            <m:sSub>
              <m:e>
                <m:r>
                  <m:rPr>
                    <m:sty m:val="p"/>
                    <m:nor/>
                  </m:rPr>
                  <m:t>deg</m:t>
                </m:r>
              </m:e>
              <m:sub>
                <m:r>
                  <m:t>M</m:t>
                </m:r>
              </m:sub>
            </m:sSub>
            <m:d>
              <m:dPr>
                <m:begChr m:val="("/>
                <m:endChr m:val=")"/>
                <m:sepChr m:val=""/>
                <m:grow/>
              </m:dPr>
              <m:e>
                <m:r>
                  <m:t>i</m:t>
                </m:r>
              </m:e>
            </m:d>
            <m:r>
              <m:rPr>
                <m:sty m:val="p"/>
              </m:rPr>
              <m:t>−</m:t>
            </m:r>
            <m:r>
              <m:t>1</m:t>
            </m:r>
            <m:r>
              <m:rPr>
                <m:sty m:val="p"/>
              </m:rPr>
              <m:t>)</m:t>
            </m:r>
            <m:sSub>
              <m:e>
                <m:r>
                  <m:t>c</m:t>
                </m:r>
              </m:e>
              <m:sub>
                <m:r>
                  <m:t>i</m:t>
                </m:r>
              </m:sub>
            </m:sSub>
            <m:r>
              <m:rPr>
                <m:sty m:val="p"/>
              </m:rPr>
              <m:t>]</m:t>
            </m:r>
          </m:e>
        </m:box>
        <m:r>
          <m:rPr>
            <m:sty m:val="p"/>
          </m:rPr>
          <m:t>.</m:t>
        </m:r>
      </m:oMath>
      <w:r>
        <w:tab/>
        <w:t>(6)</w:t>
      </w:r>
    </w:p>
    <w:p>
      <w:pPr>
        <w:pStyle w:val="BodyText"/>
        <w:keepNext/>
      </w:pPr>
      <w:r>
        <w:rPr>
          <w:iCs/>
          <w:i/>
        </w:rPr>
        <w:t xml:space="preserve">Proof.</w:t>
      </w:r>
      <w:r>
        <w:t xml:space="preserve"> </w:t>
      </w:r>
      <w:r>
        <w:t xml:space="preserve">Let</w:t>
      </w:r>
      <w:r>
        <w:t xml:space="preserve"> </w:t>
      </w:r>
      <m:oMath>
        <m:r>
          <m:t>W</m:t>
        </m:r>
        <m:d>
          <m:dPr>
            <m:begChr m:val="("/>
            <m:endChr m:val=")"/>
            <m:sepChr m:val=""/>
            <m:grow/>
          </m:dPr>
          <m:e>
            <m:r>
              <m:t>S</m:t>
            </m:r>
          </m:e>
        </m:d>
      </m:oMath>
      <w:r>
        <w:t xml:space="preserve"> </w:t>
      </w:r>
      <w:r>
        <w:t xml:space="preserve">be the maximum spanning-tree weight in (5). Choose a pair</w:t>
      </w:r>
      <w:r>
        <w:t xml:space="preserve"> </w:t>
      </w:r>
      <m:oMath>
        <m:r>
          <m:t>i</m:t>
        </m:r>
        <m:r>
          <m:rPr>
            <m:sty m:val="p"/>
          </m:rPr>
          <m:t>,</m:t>
        </m:r>
        <m:r>
          <m:t>j</m:t>
        </m:r>
      </m:oMath>
      <w:r>
        <w:t xml:space="preserve"> </w:t>
      </w:r>
      <w:r>
        <w:t xml:space="preserve">of maximum overlap</w:t>
      </w:r>
      <w:r>
        <w:t xml:space="preserve"> </w:t>
      </w:r>
      <m:oMath>
        <m:r>
          <m:t>h</m:t>
        </m:r>
      </m:oMath>
      <w:r>
        <w:t xml:space="preserve"> </w:t>
      </w:r>
      <w:r>
        <w:t xml:space="preserve">in</w:t>
      </w:r>
      <w:r>
        <w:t xml:space="preserve"> </w:t>
      </w:r>
      <m:oMath>
        <m:r>
          <m:t>S</m:t>
        </m:r>
      </m:oMath>
      <w:r>
        <w:t xml:space="preserve">. Equation (4) gives</w:t>
      </w:r>
    </w:p>
    <w:p>
      <w:pPr>
        <w:pStyle w:val="Equation"/>
        <w:jc w:val="center"/>
      </w:pPr>
      <m:oMathPara>
        <m:oMathParaPr>
          <m:jc m:val="center"/>
        </m:oMathParaPr>
        <m:oMath>
          <m:r>
            <m:t>F</m:t>
          </m:r>
          <m:d>
            <m:dPr>
              <m:begChr m:val="("/>
              <m:endChr m:val=")"/>
              <m:sepChr m:val=""/>
              <m:grow/>
            </m:dPr>
            <m:e>
              <m:r>
                <m:t>S</m:t>
              </m:r>
            </m:e>
          </m:d>
          <m:r>
            <m:rPr>
              <m:sty m:val="p"/>
            </m:rPr>
            <m:t>=</m:t>
          </m:r>
          <m:r>
            <m:t>F</m:t>
          </m:r>
          <m:d>
            <m:dPr>
              <m:begChr m:val="("/>
              <m:endChr m:val=")"/>
              <m:sepChr m:val=""/>
              <m:grow/>
            </m:dPr>
            <m:e>
              <m:r>
                <m:t>S</m:t>
              </m:r>
              <m:r>
                <m:rPr>
                  <m:sty m:val="p"/>
                </m:rPr>
                <m:t>∖</m:t>
              </m:r>
              <m:r>
                <m:rPr>
                  <m:sty m:val="p"/>
                </m:rPr>
                <m:t>{</m:t>
              </m:r>
              <m:r>
                <m:t>j</m:t>
              </m:r>
              <m:r>
                <m:rPr>
                  <m:sty m:val="p"/>
                </m:rPr>
                <m:t>}</m:t>
              </m:r>
            </m:e>
          </m:d>
          <m:r>
            <m:rPr>
              <m:sty m:val="p"/>
            </m:rPr>
            <m:t>+</m:t>
          </m:r>
          <m:sSub>
            <m:e>
              <m:r>
                <m:t>c</m:t>
              </m:r>
            </m:e>
            <m:sub>
              <m:r>
                <m:t>j</m:t>
              </m:r>
            </m:sub>
          </m:sSub>
          <m:r>
            <m:rPr>
              <m:sty m:val="p"/>
            </m:rPr>
            <m:t>−</m:t>
          </m:r>
          <m:r>
            <m:t>h</m:t>
          </m:r>
          <m:r>
            <m:rPr>
              <m:sty m:val="p"/>
            </m:rPr>
            <m:t>.</m:t>
          </m:r>
        </m:oMath>
      </m:oMathPara>
    </w:p>
    <w:p>
      <w:pPr>
        <w:pStyle w:val="FirstParagraph"/>
      </w:pPr>
      <w:r>
        <w:t xml:space="preserve">There is a maximum-weight spanning tree containing edge</w:t>
      </w:r>
      <w:r>
        <w:t xml:space="preserve"> </w:t>
      </w:r>
      <m:oMath>
        <m:r>
          <m:t>i</m:t>
        </m:r>
        <m:r>
          <m:t>j</m:t>
        </m:r>
      </m:oMath>
      <w:r>
        <w:t xml:space="preserve">: adding this globally maximum-weight edge to a maximum tree and removing an edge from the resulting cycle cannot decrease its weight.</w:t>
      </w:r>
    </w:p>
    <w:p>
      <w:pPr>
        <w:pStyle w:val="BodyText"/>
        <w:keepNext/>
      </w:pPr>
      <w:r>
        <w:t xml:space="preserve">Moreover, (3) implies</w:t>
      </w:r>
      <w:r>
        <w:t xml:space="preserve"> </w:t>
      </w:r>
      <m:oMath>
        <m:sSub>
          <m:e>
            <m:r>
              <m:t>o</m:t>
            </m:r>
          </m:e>
          <m:sub>
            <m:r>
              <m:t>i</m:t>
            </m:r>
            <m:r>
              <m:t>k</m:t>
            </m:r>
          </m:sub>
        </m:sSub>
        <m:r>
          <m:rPr>
            <m:sty m:val="p"/>
          </m:rPr>
          <m:t>≥</m:t>
        </m:r>
        <m:sSub>
          <m:e>
            <m:r>
              <m:t>o</m:t>
            </m:r>
          </m:e>
          <m:sub>
            <m:r>
              <m:t>j</m:t>
            </m:r>
            <m:r>
              <m:t>k</m:t>
            </m:r>
          </m:sub>
        </m:sSub>
      </m:oMath>
      <w:r>
        <w:t xml:space="preserve"> </w:t>
      </w:r>
      <w:r>
        <w:t xml:space="preserve">for every</w:t>
      </w:r>
      <w:r>
        <w:t xml:space="preserve"> </w:t>
      </w:r>
      <m:oMath>
        <m:r>
          <m:t>k</m:t>
        </m:r>
        <m:r>
          <m:rPr>
            <m:sty m:val="p"/>
          </m:rPr>
          <m:t>∉</m:t>
        </m:r>
        <m:r>
          <m:rPr>
            <m:sty m:val="p"/>
          </m:rPr>
          <m:t>{</m:t>
        </m:r>
        <m:r>
          <m:t>i</m:t>
        </m:r>
        <m:r>
          <m:rPr>
            <m:sty m:val="p"/>
          </m:rPr>
          <m:t>,</m:t>
        </m:r>
        <m:r>
          <m:t>j</m:t>
        </m:r>
        <m:r>
          <m:rPr>
            <m:sty m:val="p"/>
          </m:rPr>
          <m:t>}</m:t>
        </m:r>
      </m:oMath>
      <w:r>
        <w:t xml:space="preserve">, since</w:t>
      </w:r>
      <w:r>
        <w:t xml:space="preserve"> </w:t>
      </w:r>
      <m:oMath>
        <m:r>
          <m:t>h</m:t>
        </m:r>
        <m:r>
          <m:rPr>
            <m:sty m:val="p"/>
          </m:rPr>
          <m:t>≥</m:t>
        </m:r>
        <m:sSub>
          <m:e>
            <m:r>
              <m:t>o</m:t>
            </m:r>
          </m:e>
          <m:sub>
            <m:r>
              <m:t>j</m:t>
            </m:r>
            <m:r>
              <m:t>k</m:t>
            </m:r>
          </m:sub>
        </m:sSub>
      </m:oMath>
      <w:r>
        <w:t xml:space="preserve">. In a maximum tree containing</w:t>
      </w:r>
      <w:r>
        <w:t xml:space="preserve"> </w:t>
      </w:r>
      <m:oMath>
        <m:r>
          <m:t>i</m:t>
        </m:r>
        <m:r>
          <m:t>j</m:t>
        </m:r>
      </m:oMath>
      <w:r>
        <w:t xml:space="preserve">, replace every other edge</w:t>
      </w:r>
      <w:r>
        <w:t xml:space="preserve"> </w:t>
      </w:r>
      <m:oMath>
        <m:r>
          <m:t>j</m:t>
        </m:r>
        <m:r>
          <m:t>k</m:t>
        </m:r>
      </m:oMath>
      <w:r>
        <w:t xml:space="preserve"> </w:t>
      </w:r>
      <w:r>
        <w:t xml:space="preserve">by</w:t>
      </w:r>
      <w:r>
        <w:t xml:space="preserve"> </w:t>
      </w:r>
      <m:oMath>
        <m:r>
          <m:t>i</m:t>
        </m:r>
        <m:r>
          <m:t>k</m:t>
        </m:r>
      </m:oMath>
      <w:r>
        <w:t xml:space="preserve">. The result remains a spanning tree, its weight does not decrease, and</w:t>
      </w:r>
      <w:r>
        <w:t xml:space="preserve"> </w:t>
      </w:r>
      <m:oMath>
        <m:r>
          <m:t>j</m:t>
        </m:r>
      </m:oMath>
      <w:r>
        <w:t xml:space="preserve"> </w:t>
      </w:r>
      <w:r>
        <w:t xml:space="preserve">becomes a leaf. Its restriction to</w:t>
      </w:r>
      <w:r>
        <w:t xml:space="preserve"> </w:t>
      </w:r>
      <m:oMath>
        <m:r>
          <m:t>S</m:t>
        </m:r>
        <m:r>
          <m:rPr>
            <m:sty m:val="p"/>
          </m:rPr>
          <m:t>∖</m:t>
        </m:r>
        <m:r>
          <m:rPr>
            <m:sty m:val="p"/>
          </m:rPr>
          <m:t>{</m:t>
        </m:r>
        <m:r>
          <m:t>j</m:t>
        </m:r>
        <m:r>
          <m:rPr>
            <m:sty m:val="p"/>
          </m:rPr>
          <m:t>}</m:t>
        </m:r>
      </m:oMath>
      <w:r>
        <w:t xml:space="preserve"> </w:t>
      </w:r>
      <w:r>
        <w:t xml:space="preserve">must also be maximum. Consequently,</w:t>
      </w:r>
    </w:p>
    <w:p>
      <w:pPr>
        <w:pStyle w:val="Equation"/>
        <w:jc w:val="center"/>
      </w:pPr>
      <m:oMathPara>
        <m:oMathParaPr>
          <m:jc m:val="center"/>
        </m:oMathParaPr>
        <m:oMath>
          <m:r>
            <m:t>W</m:t>
          </m:r>
          <m:d>
            <m:dPr>
              <m:begChr m:val="("/>
              <m:endChr m:val=")"/>
              <m:sepChr m:val=""/>
              <m:grow/>
            </m:dPr>
            <m:e>
              <m:r>
                <m:t>S</m:t>
              </m:r>
            </m:e>
          </m:d>
          <m:r>
            <m:rPr>
              <m:sty m:val="p"/>
            </m:rPr>
            <m:t>=</m:t>
          </m:r>
          <m:r>
            <m:t>W</m:t>
          </m:r>
          <m:d>
            <m:dPr>
              <m:begChr m:val="("/>
              <m:endChr m:val=")"/>
              <m:sepChr m:val=""/>
              <m:grow/>
            </m:dPr>
            <m:e>
              <m:r>
                <m:t>S</m:t>
              </m:r>
              <m:r>
                <m:rPr>
                  <m:sty m:val="p"/>
                </m:rPr>
                <m:t>∖</m:t>
              </m:r>
              <m:r>
                <m:rPr>
                  <m:sty m:val="p"/>
                </m:rPr>
                <m:t>{</m:t>
              </m:r>
              <m:r>
                <m:t>j</m:t>
              </m:r>
              <m:r>
                <m:rPr>
                  <m:sty m:val="p"/>
                </m:rPr>
                <m:t>}</m:t>
              </m:r>
            </m:e>
          </m:d>
          <m:r>
            <m:rPr>
              <m:sty m:val="p"/>
            </m:rPr>
            <m:t>+</m:t>
          </m:r>
          <m:r>
            <m:t>h</m:t>
          </m:r>
          <m:r>
            <m:rPr>
              <m:sty m:val="p"/>
            </m:rPr>
            <m:t>.</m:t>
          </m:r>
        </m:oMath>
      </m:oMathPara>
    </w:p>
    <w:p>
      <w:pPr>
        <w:pStyle w:val="FirstParagraph"/>
      </w:pPr>
      <w:r>
        <w:t xml:space="preserve">Induction, beginning with a singleton of spanning-tree weight zero, proves (5). Substituting (2) and collecting singleton coefficients proves (6).</w:t>
      </w:r>
      <w:r>
        <w:t xml:space="preserve"> </w:t>
      </w:r>
      <m:oMath>
        <m:r>
          <m:rPr>
            <m:sty m:val="p"/>
          </m:rPr>
          <m:t>▫</m:t>
        </m:r>
      </m:oMath>
    </w:p>
    <w:p>
      <w:pPr>
        <w:pStyle w:val="BodyText"/>
      </w:pPr>
      <w:r>
        <w:t xml:space="preserve">The expression has the same spanning-tree structure as Hunter’s union bound [9]; rooted-path structure makes it exact. A dense maximum-spanning-tree algorithm evaluates a specified</w:t>
      </w:r>
      <w:r>
        <w:t xml:space="preserve"> </w:t>
      </w:r>
      <m:oMath>
        <m:r>
          <m:t>m</m:t>
        </m:r>
      </m:oMath>
      <w:r>
        <w:t xml:space="preserve">-source cost in</w:t>
      </w:r>
      <w:r>
        <w:t xml:space="preserve"> </w:t>
      </w:r>
      <m:oMath>
        <m:r>
          <m:t>O</m:t>
        </m:r>
        <m:d>
          <m:dPr>
            <m:begChr m:val="("/>
            <m:endChr m:val=")"/>
            <m:sepChr m:val=""/>
            <m:grow/>
          </m:dPr>
          <m:e>
            <m:sSup>
              <m:e>
                <m:r>
                  <m:t>m</m:t>
                </m:r>
              </m:e>
              <m:sup>
                <m:r>
                  <m:t>2</m:t>
                </m:r>
              </m:sup>
            </m:sSup>
          </m:e>
        </m:d>
      </m:oMath>
      <w:r>
        <w:t xml:space="preserve"> </w:t>
      </w:r>
      <w:r>
        <w:t xml:space="preserve">arithmetic operations. All subset costs are represented by</w:t>
      </w:r>
      <w:r>
        <w:t xml:space="preserve"> </w:t>
      </w:r>
      <m:oMath>
        <m:r>
          <m:t>O</m:t>
        </m:r>
        <m:d>
          <m:dPr>
            <m:begChr m:val="("/>
            <m:endChr m:val=")"/>
            <m:sepChr m:val=""/>
            <m:grow/>
          </m:dPr>
          <m:e>
            <m:sSup>
              <m:e>
                <m:r>
                  <m:t>n</m:t>
                </m:r>
              </m:e>
              <m:sup>
                <m:r>
                  <m:t>2</m:t>
                </m:r>
              </m:sup>
            </m:sSup>
          </m:e>
        </m:d>
      </m:oMath>
      <w:r>
        <w:t xml:space="preserve"> </w:t>
      </w:r>
      <w:r>
        <w:t xml:space="preserve">measurements, although explicitly listing them requires exponential space.</w:t>
      </w:r>
    </w:p>
    <w:bookmarkEnd w:id="32"/>
    <w:bookmarkEnd w:id="33"/>
    <w:bookmarkStart w:id="36" w:name="minimax-recovery-under-measurement-error"/>
    <w:p>
      <w:pPr>
        <w:pStyle w:val="Heading1"/>
      </w:pPr>
      <w:r>
        <w:t xml:space="preserve">3. Minimax recovery under measurement error</w:t>
      </w:r>
    </w:p>
    <w:p>
      <w:pPr>
        <w:pStyle w:val="FirstParagraph"/>
        <w:keepNext/>
      </w:pPr>
      <w:r>
        <w:t xml:space="preserve">Suppose measurements satisfy</w:t>
      </w:r>
    </w:p>
    <w:p>
      <w:pPr>
        <w:pStyle w:val="Equation"/>
        <w:tabs>
          <w:tab w:pos="4680" w:val="center"/>
          <w:tab w:pos="9792" w:val="right"/>
        </w:tabs>
        <w:jc w:val="left"/>
      </w:pPr>
      <w:r>
        <w:tab/>
      </w:r>
      <m:oMath>
        <m:box>
          <m:e>
            <m:r>
              <m:rPr>
                <m:sty m:val="p"/>
              </m:rPr>
              <m:t>|</m:t>
            </m:r>
            <m:sSub>
              <m:e>
                <m:acc>
                  <m:accPr>
                    <m:chr m:val="̃"/>
                  </m:accPr>
                  <m:e>
                    <m:r>
                      <m:t>c</m:t>
                    </m:r>
                  </m:e>
                </m:acc>
              </m:e>
              <m:sub>
                <m:r>
                  <m:t>i</m:t>
                </m:r>
              </m:sub>
            </m:sSub>
            <m:r>
              <m:rPr>
                <m:sty m:val="p"/>
              </m:rPr>
              <m:t>−</m:t>
            </m:r>
            <m:sSub>
              <m:e>
                <m:r>
                  <m:t>c</m:t>
                </m:r>
              </m:e>
              <m:sub>
                <m:r>
                  <m:t>i</m:t>
                </m:r>
              </m:sub>
            </m:sSub>
            <m:r>
              <m:rPr>
                <m:sty m:val="p"/>
              </m:rPr>
              <m:t>|</m:t>
            </m:r>
          </m:e>
        </m:box>
        <m:r>
          <m:rPr>
            <m:sty m:val="p"/>
          </m:rPr>
          <m:t>≤</m:t>
        </m:r>
        <m:r>
          <m:t>ε</m:t>
        </m:r>
        <m:r>
          <m:rPr>
            <m:sty m:val="p"/>
          </m:rPr>
          <m:t>,</m:t>
        </m:r>
        <m:r>
          <m:t>  </m:t>
        </m:r>
        <m:box>
          <m:e>
            <m:r>
              <m:rPr>
                <m:sty m:val="p"/>
              </m:rPr>
              <m:t>|</m:t>
            </m:r>
            <m:sSub>
              <m:e>
                <m:acc>
                  <m:accPr>
                    <m:chr m:val="̃"/>
                  </m:accPr>
                  <m:e>
                    <m:r>
                      <m:t>c</m:t>
                    </m:r>
                  </m:e>
                </m:acc>
              </m:e>
              <m:sub>
                <m:r>
                  <m:t>i</m:t>
                </m:r>
                <m:r>
                  <m:t>j</m:t>
                </m:r>
              </m:sub>
            </m:sSub>
            <m:r>
              <m:rPr>
                <m:sty m:val="p"/>
              </m:rPr>
              <m:t>−</m:t>
            </m:r>
            <m:sSub>
              <m:e>
                <m:r>
                  <m:t>c</m:t>
                </m:r>
              </m:e>
              <m:sub>
                <m:r>
                  <m:t>i</m:t>
                </m:r>
                <m:r>
                  <m:t>j</m:t>
                </m:r>
              </m:sub>
            </m:sSub>
            <m:r>
              <m:rPr>
                <m:sty m:val="p"/>
              </m:rPr>
              <m:t>|</m:t>
            </m:r>
          </m:e>
        </m:box>
        <m:r>
          <m:rPr>
            <m:sty m:val="p"/>
          </m:rPr>
          <m:t>≤</m:t>
        </m:r>
        <m:r>
          <m:t>ε</m:t>
        </m:r>
        <m:r>
          <m:rPr>
            <m:sty m:val="p"/>
          </m:rPr>
          <m:t>.</m:t>
        </m:r>
      </m:oMath>
      <w:r>
        <w:tab/>
        <w:t>(7)</w:t>
      </w:r>
    </w:p>
    <w:p>
      <w:pPr>
        <w:pStyle w:val="BodyText"/>
      </w:pPr>
      <w:r>
        <w:t xml:space="preserve">The measured table need not satisfy (3). Define</w:t>
      </w:r>
      <w:r>
        <w:t xml:space="preserve"> </w:t>
      </w:r>
      <m:oMath>
        <m:r>
          <m:t>H</m:t>
        </m:r>
        <m:d>
          <m:dPr>
            <m:begChr m:val="("/>
            <m:endChr m:val=")"/>
            <m:sepChr m:val=""/>
            <m:grow/>
          </m:dPr>
          <m:e>
            <m:r>
              <m:rPr>
                <m:sty m:val="p"/>
              </m:rPr>
              <m:t>⌀</m:t>
            </m:r>
          </m:e>
        </m:d>
        <m:r>
          <m:rPr>
            <m:sty m:val="p"/>
          </m:rPr>
          <m:t>=</m:t>
        </m:r>
        <m:r>
          <m:t>0</m:t>
        </m:r>
      </m:oMath>
      <w:r>
        <w:t xml:space="preserve">,</w:t>
      </w:r>
      <w:r>
        <w:t xml:space="preserve"> </w:t>
      </w:r>
      <m:oMath>
        <m:r>
          <m:t>H</m:t>
        </m:r>
        <m:d>
          <m:dPr>
            <m:begChr m:val="("/>
            <m:endChr m:val=")"/>
            <m:sepChr m:val=""/>
            <m:grow/>
          </m:dPr>
          <m:e>
            <m:r>
              <m:rPr>
                <m:sty m:val="p"/>
              </m:rPr>
              <m:t>{</m:t>
            </m:r>
            <m:r>
              <m:t>i</m:t>
            </m:r>
            <m:r>
              <m:rPr>
                <m:sty m:val="p"/>
              </m:rPr>
              <m:t>}</m:t>
            </m:r>
          </m:e>
        </m:d>
        <m:r>
          <m:rPr>
            <m:sty m:val="p"/>
          </m:rPr>
          <m:t>=</m:t>
        </m:r>
        <m:sSub>
          <m:e>
            <m:acc>
              <m:accPr>
                <m:chr m:val="̃"/>
              </m:accPr>
              <m:e>
                <m:r>
                  <m:t>c</m:t>
                </m:r>
              </m:e>
            </m:acc>
          </m:e>
          <m:sub>
            <m:r>
              <m:t>i</m:t>
            </m:r>
          </m:sub>
        </m:sSub>
      </m:oMath>
      <w:r>
        <w:t xml:space="preserve">, and, for</w:t>
      </w:r>
      <w:r>
        <w:t xml:space="preserve"> </w:t>
      </w:r>
      <m:oMath>
        <m:box>
          <m:e>
            <m:r>
              <m:rPr>
                <m:sty m:val="p"/>
              </m:rPr>
              <m:t>|</m:t>
            </m:r>
            <m:r>
              <m:t>S</m:t>
            </m:r>
            <m:r>
              <m:rPr>
                <m:sty m:val="p"/>
              </m:rPr>
              <m:t>|</m:t>
            </m:r>
          </m:e>
        </m:box>
        <m:r>
          <m:rPr>
            <m:sty m:val="p"/>
          </m:rPr>
          <m:t>≥</m:t>
        </m:r>
        <m:r>
          <m:t>2</m:t>
        </m:r>
      </m:oMath>
      <w:r>
        <w:t xml:space="preserve">, define</w:t>
      </w:r>
      <w:r>
        <w:t xml:space="preserve"> </w:t>
      </w:r>
      <m:oMath>
        <m:r>
          <m:t>H</m:t>
        </m:r>
        <m:d>
          <m:dPr>
            <m:begChr m:val="("/>
            <m:endChr m:val=")"/>
            <m:sepChr m:val=""/>
            <m:grow/>
          </m:dPr>
          <m:e>
            <m:r>
              <m:t>S</m:t>
            </m:r>
          </m:e>
        </m:d>
      </m:oMath>
      <w:r>
        <w:t xml:space="preserve"> </w:t>
      </w:r>
      <w:r>
        <w:t xml:space="preserve">by the right side of (6) using measured values.</w:t>
      </w:r>
    </w:p>
    <w:bookmarkStart w:id="34" w:name="exact-recovery-radius"/>
    <w:p>
      <w:pPr>
        <w:pStyle w:val="Heading2"/>
      </w:pPr>
      <w:r>
        <w:t xml:space="preserve">3.1. Exact recovery radius</w:t>
      </w:r>
    </w:p>
    <w:p>
      <w:pPr>
        <w:pStyle w:val="FirstParagraph"/>
        <w:keepNext/>
        <w:spacing w:before="140" w:after="100"/>
      </w:pPr>
      <w:r>
        <w:rPr>
          <w:bCs/>
          <w:b/>
        </w:rPr>
        <w:t xml:space="preserve">Theorem 3.1 — Sharp error bound and minimax optimality.</w:t>
      </w:r>
      <w:r>
        <w:t xml:space="preserve"> </w:t>
      </w:r>
      <w:r>
        <w:t xml:space="preserve">Set</w:t>
      </w:r>
    </w:p>
    <w:p>
      <w:pPr>
        <w:pStyle w:val="Equation"/>
        <w:jc w:val="center"/>
      </w:pPr>
      <m:oMathPara>
        <m:oMathParaPr>
          <m:jc m:val="center"/>
        </m:oMathParaPr>
        <m:oMath>
          <m:sSub>
            <m:e>
              <m:r>
                <m:t>α</m:t>
              </m:r>
            </m:e>
            <m:sub>
              <m:r>
                <m:t>0</m:t>
              </m:r>
            </m:sub>
          </m:sSub>
          <m:r>
            <m:rPr>
              <m:sty m:val="p"/>
            </m:rPr>
            <m:t>=</m:t>
          </m:r>
          <m:r>
            <m:t>0</m:t>
          </m:r>
          <m:r>
            <m:rPr>
              <m:sty m:val="p"/>
            </m:rPr>
            <m:t>,</m:t>
          </m:r>
          <m:r>
            <m:t>  </m:t>
          </m:r>
          <m:sSub>
            <m:e>
              <m:r>
                <m:t>α</m:t>
              </m:r>
            </m:e>
            <m:sub>
              <m:r>
                <m:t>1</m:t>
              </m:r>
            </m:sub>
          </m:sSub>
          <m:r>
            <m:rPr>
              <m:sty m:val="p"/>
            </m:rPr>
            <m:t>=</m:t>
          </m:r>
          <m:r>
            <m:t>1</m:t>
          </m:r>
          <m:r>
            <m:rPr>
              <m:sty m:val="p"/>
            </m:rPr>
            <m:t>,</m:t>
          </m:r>
          <m:r>
            <m:t>  </m:t>
          </m:r>
          <m:sSub>
            <m:e>
              <m:r>
                <m:t>α</m:t>
              </m:r>
            </m:e>
            <m:sub>
              <m:r>
                <m:t>m</m:t>
              </m:r>
            </m:sub>
          </m:sSub>
          <m:r>
            <m:rPr>
              <m:sty m:val="p"/>
            </m:rPr>
            <m:t>=</m:t>
          </m:r>
          <m:r>
            <m:t>2</m:t>
          </m:r>
          <m:r>
            <m:t>m</m:t>
          </m:r>
          <m:r>
            <m:rPr>
              <m:sty m:val="p"/>
            </m:rPr>
            <m:t>−</m:t>
          </m:r>
          <m:r>
            <m:t>3</m:t>
          </m:r>
          <m:r>
            <m:t> </m:t>
          </m:r>
          <m:d>
            <m:dPr>
              <m:begChr m:val="("/>
              <m:endChr m:val=")"/>
              <m:sepChr m:val=""/>
              <m:grow/>
            </m:dPr>
            <m:e>
              <m:r>
                <m:t>m</m:t>
              </m:r>
              <m:r>
                <m:rPr>
                  <m:sty m:val="p"/>
                </m:rPr>
                <m:t>≥</m:t>
              </m:r>
              <m:r>
                <m:t>2</m:t>
              </m:r>
            </m:e>
          </m:d>
          <m:r>
            <m:rPr>
              <m:sty m:val="p"/>
            </m:rPr>
            <m:t>.</m:t>
          </m:r>
        </m:oMath>
      </m:oMathPara>
    </w:p>
    <w:p>
      <w:pPr>
        <w:pStyle w:val="FirstParagraph"/>
        <w:keepNext/>
      </w:pPr>
      <w:r>
        <w:t xml:space="preserve">Then</w:t>
      </w:r>
    </w:p>
    <w:p>
      <w:pPr>
        <w:pStyle w:val="Equation"/>
        <w:tabs>
          <w:tab w:pos="4680" w:val="center"/>
          <w:tab w:pos="9792" w:val="right"/>
        </w:tabs>
        <w:jc w:val="left"/>
      </w:pPr>
      <w:r>
        <w:tab/>
      </w:r>
      <m:oMath>
        <m:box>
          <m:e>
            <m:r>
              <m:rPr>
                <m:sty m:val="p"/>
              </m:rPr>
              <m:t>|</m:t>
            </m:r>
            <m:r>
              <m:t>H</m:t>
            </m:r>
            <m:d>
              <m:dPr>
                <m:begChr m:val="("/>
                <m:endChr m:val=")"/>
                <m:sepChr m:val=""/>
                <m:grow/>
              </m:dPr>
              <m:e>
                <m:r>
                  <m:t>S</m:t>
                </m:r>
              </m:e>
            </m:d>
            <m:r>
              <m:rPr>
                <m:sty m:val="p"/>
              </m:rPr>
              <m:t>−</m:t>
            </m:r>
            <m:r>
              <m:t>F</m:t>
            </m:r>
            <m:d>
              <m:dPr>
                <m:begChr m:val="("/>
                <m:endChr m:val=")"/>
                <m:sepChr m:val=""/>
                <m:grow/>
              </m:dPr>
              <m:e>
                <m:r>
                  <m:t>S</m:t>
                </m:r>
              </m:e>
            </m:d>
            <m:r>
              <m:rPr>
                <m:sty m:val="p"/>
              </m:rPr>
              <m:t>|</m:t>
            </m:r>
          </m:e>
        </m:box>
        <m:r>
          <m:rPr>
            <m:sty m:val="p"/>
          </m:rPr>
          <m:t>≤</m:t>
        </m:r>
        <m:sSub>
          <m:e>
            <m:r>
              <m:t>α</m:t>
            </m:r>
          </m:e>
          <m:sub>
            <m:box>
              <m:e>
                <m:r>
                  <m:rPr>
                    <m:sty m:val="p"/>
                  </m:rPr>
                  <m:t>|</m:t>
                </m:r>
                <m:r>
                  <m:t>S</m:t>
                </m:r>
                <m:r>
                  <m:rPr>
                    <m:sty m:val="p"/>
                  </m:rPr>
                  <m:t>|</m:t>
                </m:r>
              </m:e>
            </m:box>
          </m:sub>
        </m:sSub>
        <m:r>
          <m:t>ε</m:t>
        </m:r>
        <m:r>
          <m:rPr>
            <m:sty m:val="p"/>
          </m:rPr>
          <m:t>.</m:t>
        </m:r>
      </m:oMath>
      <w:r>
        <w:tab/>
        <w:t>(8)</w:t>
      </w:r>
    </w:p>
    <w:p>
      <w:pPr>
        <w:pStyle w:val="BodyText"/>
      </w:pPr>
      <w:r>
        <w:t xml:space="preserve">For each</w:t>
      </w:r>
      <w:r>
        <w:t xml:space="preserve"> </w:t>
      </w:r>
      <m:oMath>
        <m:r>
          <m:t>m</m:t>
        </m:r>
        <m:r>
          <m:rPr>
            <m:sty m:val="p"/>
          </m:rPr>
          <m:t>≥</m:t>
        </m:r>
        <m:r>
          <m:t>2</m:t>
        </m:r>
      </m:oMath>
      <w:r>
        <w:t xml:space="preserve">, the coefficient</w:t>
      </w:r>
      <w:r>
        <w:t xml:space="preserve"> </w:t>
      </w:r>
      <m:oMath>
        <m:r>
          <m:t>2</m:t>
        </m:r>
        <m:r>
          <m:t>m</m:t>
        </m:r>
        <m:r>
          <m:rPr>
            <m:sty m:val="p"/>
          </m:rPr>
          <m:t>−</m:t>
        </m:r>
        <m:r>
          <m:t>3</m:t>
        </m:r>
      </m:oMath>
      <w:r>
        <w:t xml:space="preserve"> </w:t>
      </w:r>
      <w:r>
        <w:t xml:space="preserve">cannot be reduced by replacing</w:t>
      </w:r>
      <w:r>
        <w:t xml:space="preserve"> </w:t>
      </w:r>
      <m:oMath>
        <m:r>
          <m:t>H</m:t>
        </m:r>
      </m:oMath>
      <w:r>
        <w:t xml:space="preserve"> </w:t>
      </w:r>
      <w:r>
        <w:t xml:space="preserve">with any other estimator based only on the individual and pairwise measurements.</w:t>
      </w:r>
    </w:p>
    <w:p>
      <w:pPr>
        <w:pStyle w:val="BodyText"/>
        <w:keepNext/>
      </w:pPr>
      <w:r>
        <w:rPr>
          <w:iCs/>
          <w:i/>
        </w:rPr>
        <w:t xml:space="preserve">Proof.</w:t>
      </w:r>
      <w:r>
        <w:t xml:space="preserve"> </w:t>
      </w:r>
      <w:r>
        <w:t xml:space="preserve">Fix</w:t>
      </w:r>
      <w:r>
        <w:t xml:space="preserve"> </w:t>
      </w:r>
      <m:oMath>
        <m:r>
          <m:t>S</m:t>
        </m:r>
      </m:oMath>
      <w:r>
        <w:t xml:space="preserve"> </w:t>
      </w:r>
      <w:r>
        <w:t xml:space="preserve">of size</w:t>
      </w:r>
      <w:r>
        <w:t xml:space="preserve"> </w:t>
      </w:r>
      <m:oMath>
        <m:r>
          <m:t>m</m:t>
        </m:r>
        <m:r>
          <m:rPr>
            <m:sty m:val="p"/>
          </m:rPr>
          <m:t>≥</m:t>
        </m:r>
        <m:r>
          <m:t>2</m:t>
        </m:r>
      </m:oMath>
      <w:r>
        <w:t xml:space="preserve">. Each spanning-tree expression in (6) contains</w:t>
      </w:r>
      <w:r>
        <w:t xml:space="preserve"> </w:t>
      </w:r>
      <m:oMath>
        <m:r>
          <m:t>m</m:t>
        </m:r>
        <m:r>
          <m:rPr>
            <m:sty m:val="p"/>
          </m:rPr>
          <m:t>−</m:t>
        </m:r>
        <m:r>
          <m:t>1</m:t>
        </m:r>
      </m:oMath>
      <w:r>
        <w:t xml:space="preserve"> </w:t>
      </w:r>
      <w:r>
        <w:t xml:space="preserve">pair terms with coefficient</w:t>
      </w:r>
      <w:r>
        <w:t xml:space="preserve"> </w:t>
      </w:r>
      <m:oMath>
        <m:r>
          <m:rPr>
            <m:sty m:val="p"/>
          </m:rPr>
          <m:t>+</m:t>
        </m:r>
        <m:r>
          <m:t>1</m:t>
        </m:r>
      </m:oMath>
      <w:r>
        <w:t xml:space="preserve">. Since every vertex has degree at least one,</w:t>
      </w:r>
    </w:p>
    <w:p>
      <w:pPr>
        <w:pStyle w:val="Equation"/>
        <w:jc w:val="center"/>
      </w:pPr>
      <m:oMathPara>
        <m:oMathParaPr>
          <m:jc m:val="center"/>
        </m:oMathParaPr>
        <m:oMath>
          <m:nary>
            <m:naryPr>
              <m:chr m:val="∑"/>
              <m:limLoc m:val="undOvr"/>
              <m:subHide m:val="off"/>
              <m:supHide m:val="on"/>
            </m:naryPr>
            <m:sub>
              <m:r>
                <m:t>i</m:t>
              </m:r>
              <m:r>
                <m:rPr>
                  <m:sty m:val="p"/>
                </m:rPr>
                <m:t>∈</m:t>
              </m:r>
              <m:r>
                <m:t>S</m:t>
              </m:r>
            </m:sub>
            <m:sup>
              <m:r>
                <m:t>​</m:t>
              </m:r>
            </m:sup>
            <m:e>
              <m:box>
                <m:e>
                  <m:r>
                    <m:rPr>
                      <m:sty m:val="p"/>
                    </m:rPr>
                    <m:t>|</m:t>
                  </m:r>
                  <m:sSub>
                    <m:e>
                      <m:r>
                        <m:rPr>
                          <m:sty m:val="p"/>
                          <m:nor/>
                        </m:rPr>
                        <m:t>deg</m:t>
                      </m:r>
                    </m:e>
                    <m:sub>
                      <m:r>
                        <m:t>M</m:t>
                      </m:r>
                    </m:sub>
                  </m:sSub>
                  <m:d>
                    <m:dPr>
                      <m:begChr m:val="("/>
                      <m:endChr m:val=")"/>
                      <m:sepChr m:val=""/>
                      <m:grow/>
                    </m:dPr>
                    <m:e>
                      <m:r>
                        <m:t>i</m:t>
                      </m:r>
                    </m:e>
                  </m:d>
                  <m:r>
                    <m:rPr>
                      <m:sty m:val="p"/>
                    </m:rPr>
                    <m:t>−</m:t>
                  </m:r>
                  <m:r>
                    <m:t>1</m:t>
                  </m:r>
                  <m:r>
                    <m:rPr>
                      <m:sty m:val="p"/>
                    </m:rPr>
                    <m:t>|</m:t>
                  </m:r>
                </m:e>
              </m:box>
            </m:e>
          </m:nary>
          <m:r>
            <m:rPr>
              <m:sty m:val="p"/>
            </m:rPr>
            <m:t>=</m:t>
          </m:r>
          <m:r>
            <m:t>2</m:t>
          </m:r>
          <m:d>
            <m:dPr>
              <m:begChr m:val="("/>
              <m:endChr m:val=")"/>
              <m:sepChr m:val=""/>
              <m:grow/>
            </m:dPr>
            <m:e>
              <m:r>
                <m:t>m</m:t>
              </m:r>
              <m:r>
                <m:rPr>
                  <m:sty m:val="p"/>
                </m:rPr>
                <m:t>−</m:t>
              </m:r>
              <m:r>
                <m:t>1</m:t>
              </m:r>
            </m:e>
          </m:d>
          <m:r>
            <m:rPr>
              <m:sty m:val="p"/>
            </m:rPr>
            <m:t>−</m:t>
          </m:r>
          <m:r>
            <m:t>m</m:t>
          </m:r>
          <m:r>
            <m:rPr>
              <m:sty m:val="p"/>
            </m:rPr>
            <m:t>=</m:t>
          </m:r>
          <m:r>
            <m:t>m</m:t>
          </m:r>
          <m:r>
            <m:rPr>
              <m:sty m:val="p"/>
            </m:rPr>
            <m:t>−</m:t>
          </m:r>
          <m:r>
            <m:t>2</m:t>
          </m:r>
          <m:r>
            <m:rPr>
              <m:sty m:val="p"/>
            </m:rPr>
            <m:t>.</m:t>
          </m:r>
        </m:oMath>
      </m:oMathPara>
    </w:p>
    <w:p>
      <w:pPr>
        <w:pStyle w:val="FirstParagraph"/>
        <w:keepNext/>
      </w:pPr>
      <w:r>
        <w:t xml:space="preserve">Thus each expression changes by at most</w:t>
      </w:r>
    </w:p>
    <w:p>
      <w:pPr>
        <w:pStyle w:val="Equation"/>
        <w:jc w:val="center"/>
      </w:pPr>
      <m:oMathPara>
        <m:oMathParaPr>
          <m:jc m:val="center"/>
        </m:oMathParaPr>
        <m:oMath>
          <m:d>
            <m:dPr>
              <m:begChr m:val="("/>
              <m:endChr m:val=")"/>
              <m:sepChr m:val=""/>
              <m:grow/>
            </m:dPr>
            <m:e>
              <m:r>
                <m:t>m</m:t>
              </m:r>
              <m:r>
                <m:rPr>
                  <m:sty m:val="p"/>
                </m:rPr>
                <m:t>−</m:t>
              </m:r>
              <m:r>
                <m:t>1</m:t>
              </m:r>
            </m:e>
          </m:d>
          <m:r>
            <m:t>ε</m:t>
          </m:r>
          <m:r>
            <m:rPr>
              <m:sty m:val="p"/>
            </m:rPr>
            <m:t>+</m:t>
          </m:r>
          <m:d>
            <m:dPr>
              <m:begChr m:val="("/>
              <m:endChr m:val=")"/>
              <m:sepChr m:val=""/>
              <m:grow/>
            </m:dPr>
            <m:e>
              <m:r>
                <m:t>m</m:t>
              </m:r>
              <m:r>
                <m:rPr>
                  <m:sty m:val="p"/>
                </m:rPr>
                <m:t>−</m:t>
              </m:r>
              <m:r>
                <m:t>2</m:t>
              </m:r>
            </m:e>
          </m:d>
          <m:r>
            <m:t>ε</m:t>
          </m:r>
          <m:r>
            <m:rPr>
              <m:sty m:val="p"/>
            </m:rPr>
            <m:t>=</m:t>
          </m:r>
          <m:d>
            <m:dPr>
              <m:begChr m:val="("/>
              <m:endChr m:val=")"/>
              <m:sepChr m:val=""/>
              <m:grow/>
            </m:dPr>
            <m:e>
              <m:r>
                <m:t>2</m:t>
              </m:r>
              <m:r>
                <m:t>m</m:t>
              </m:r>
              <m:r>
                <m:rPr>
                  <m:sty m:val="p"/>
                </m:rPr>
                <m:t>−</m:t>
              </m:r>
              <m:r>
                <m:t>3</m:t>
              </m:r>
            </m:e>
          </m:d>
          <m:r>
            <m:t>ε</m:t>
          </m:r>
          <m:r>
            <m:rPr>
              <m:sty m:val="p"/>
            </m:rPr>
            <m:t>.</m:t>
          </m:r>
        </m:oMath>
      </m:oMathPara>
    </w:p>
    <w:p>
      <w:pPr>
        <w:pStyle w:val="FirstParagraph"/>
      </w:pPr>
      <w:r>
        <w:t xml:space="preserve">If every member of a finite family of real numbers changes by at most</w:t>
      </w:r>
      <w:r>
        <w:t xml:space="preserve"> </w:t>
      </w:r>
      <m:oMath>
        <m:r>
          <m:t>d</m:t>
        </m:r>
      </m:oMath>
      <w:r>
        <w:t xml:space="preserve">, its minimum changes by at most</w:t>
      </w:r>
      <w:r>
        <w:t xml:space="preserve"> </w:t>
      </w:r>
      <m:oMath>
        <m:r>
          <m:t>d</m:t>
        </m:r>
      </m:oMath>
      <w:r>
        <w:t xml:space="preserve">. Applying this fact to (6) proves (8). The empty and singleton cases are immediate.</w:t>
      </w:r>
    </w:p>
    <w:p>
      <w:pPr>
        <w:pStyle w:val="BodyText"/>
        <w:keepNext/>
      </w:pPr>
      <w:r>
        <w:t xml:space="preserve">For the lower bound, consider</w:t>
      </w:r>
      <w:r>
        <w:t xml:space="preserve"> </w:t>
      </w:r>
      <m:oMath>
        <m:r>
          <m:t>m</m:t>
        </m:r>
      </m:oMath>
      <w:r>
        <w:t xml:space="preserve"> </w:t>
      </w:r>
      <w:r>
        <w:t xml:space="preserve">leaves sharing a trunk of length</w:t>
      </w:r>
      <w:r>
        <w:t xml:space="preserve"> </w:t>
      </w:r>
      <m:oMath>
        <m:r>
          <m:t>a</m:t>
        </m:r>
        <m:r>
          <m:rPr>
            <m:sty m:val="p"/>
          </m:rPr>
          <m:t>&gt;</m:t>
        </m:r>
        <m:r>
          <m:t>3</m:t>
        </m:r>
        <m:r>
          <m:t>ε</m:t>
        </m:r>
      </m:oMath>
      <w:r>
        <w:t xml:space="preserve">, with each pendant edge of length</w:t>
      </w:r>
      <w:r>
        <w:t xml:space="preserve"> </w:t>
      </w:r>
      <m:oMath>
        <m:r>
          <m:t>b</m:t>
        </m:r>
        <m:r>
          <m:rPr>
            <m:sty m:val="p"/>
          </m:rPr>
          <m:t>&gt;</m:t>
        </m:r>
        <m:r>
          <m:t>2</m:t>
        </m:r>
        <m:r>
          <m:t>ε</m:t>
        </m:r>
      </m:oMath>
      <w:r>
        <w:t xml:space="preserve">. Let the measured table be that of this central tree:</w:t>
      </w:r>
    </w:p>
    <w:p>
      <w:pPr>
        <w:pStyle w:val="Equation"/>
        <w:jc w:val="center"/>
      </w:pPr>
      <m:oMathPara>
        <m:oMathParaPr>
          <m:jc m:val="center"/>
        </m:oMathParaPr>
        <m:oMath>
          <m:sSub>
            <m:e>
              <m:acc>
                <m:accPr>
                  <m:chr m:val="̃"/>
                </m:accPr>
                <m:e>
                  <m:r>
                    <m:t>c</m:t>
                  </m:r>
                </m:e>
              </m:acc>
            </m:e>
            <m:sub>
              <m:r>
                <m:t>i</m:t>
              </m:r>
            </m:sub>
          </m:sSub>
          <m:r>
            <m:rPr>
              <m:sty m:val="p"/>
            </m:rPr>
            <m:t>=</m:t>
          </m:r>
          <m:r>
            <m:t>a</m:t>
          </m:r>
          <m:r>
            <m:rPr>
              <m:sty m:val="p"/>
            </m:rPr>
            <m:t>+</m:t>
          </m:r>
          <m:r>
            <m:t>b</m:t>
          </m:r>
          <m:r>
            <m:rPr>
              <m:sty m:val="p"/>
            </m:rPr>
            <m:t>,</m:t>
          </m:r>
          <m:r>
            <m:t>  </m:t>
          </m:r>
          <m:sSub>
            <m:e>
              <m:acc>
                <m:accPr>
                  <m:chr m:val="̃"/>
                </m:accPr>
                <m:e>
                  <m:r>
                    <m:t>c</m:t>
                  </m:r>
                </m:e>
              </m:acc>
            </m:e>
            <m:sub>
              <m:r>
                <m:t>i</m:t>
              </m:r>
              <m:r>
                <m:t>j</m:t>
              </m:r>
            </m:sub>
          </m:sSub>
          <m:r>
            <m:rPr>
              <m:sty m:val="p"/>
            </m:rPr>
            <m:t>=</m:t>
          </m:r>
          <m:r>
            <m:t>a</m:t>
          </m:r>
          <m:r>
            <m:rPr>
              <m:sty m:val="p"/>
            </m:rPr>
            <m:t>+</m:t>
          </m:r>
          <m:r>
            <m:t>2</m:t>
          </m:r>
          <m:r>
            <m:t>b</m:t>
          </m:r>
          <m:r>
            <m:rPr>
              <m:sty m:val="p"/>
            </m:rPr>
            <m:t>.</m:t>
          </m:r>
        </m:oMath>
      </m:oMathPara>
    </w:p>
    <w:p>
      <w:pPr>
        <w:pStyle w:val="FirstParagraph"/>
        <w:keepNext/>
      </w:pPr>
      <w:r>
        <w:t xml:space="preserve">Two possible true trees have trunk and pendant lengths</w:t>
      </w:r>
    </w:p>
    <w:p>
      <w:pPr>
        <w:pStyle w:val="Equation"/>
        <w:keepNext/>
        <w:jc w:val="center"/>
      </w:pPr>
      <m:oMathPara>
        <m:oMathParaPr>
          <m:jc m:val="center"/>
        </m:oMathParaPr>
        <m:oMath>
          <m:d>
            <m:dPr>
              <m:begChr m:val="("/>
              <m:endChr m:val=")"/>
              <m:sepChr m:val=""/>
              <m:grow/>
            </m:dPr>
            <m:e>
              <m:sSub>
                <m:e>
                  <m:r>
                    <m:t>a</m:t>
                  </m:r>
                </m:e>
                <m:sub>
                  <m:r>
                    <m:rPr>
                      <m:sty m:val="p"/>
                    </m:rPr>
                    <m:t>+</m:t>
                  </m:r>
                </m:sub>
              </m:sSub>
              <m:r>
                <m:rPr>
                  <m:sty m:val="p"/>
                </m:rPr>
                <m:t>,</m:t>
              </m:r>
              <m:sSub>
                <m:e>
                  <m:r>
                    <m:t>b</m:t>
                  </m:r>
                </m:e>
                <m:sub>
                  <m:r>
                    <m:rPr>
                      <m:sty m:val="p"/>
                    </m:rPr>
                    <m:t>+</m:t>
                  </m:r>
                </m:sub>
              </m:sSub>
            </m:e>
          </m:d>
          <m:r>
            <m:rPr>
              <m:sty m:val="p"/>
            </m:rPr>
            <m:t>=</m:t>
          </m:r>
          <m:d>
            <m:dPr>
              <m:begChr m:val="("/>
              <m:endChr m:val=")"/>
              <m:sepChr m:val=""/>
              <m:grow/>
            </m:dPr>
            <m:e>
              <m:r>
                <m:t>a</m:t>
              </m:r>
              <m:r>
                <m:rPr>
                  <m:sty m:val="p"/>
                </m:rPr>
                <m:t>−</m:t>
              </m:r>
              <m:r>
                <m:t>3</m:t>
              </m:r>
              <m:r>
                <m:t>ε</m:t>
              </m:r>
              <m:r>
                <m:rPr>
                  <m:sty m:val="p"/>
                </m:rPr>
                <m:t>,</m:t>
              </m:r>
              <m:r>
                <m:t>b</m:t>
              </m:r>
              <m:r>
                <m:rPr>
                  <m:sty m:val="p"/>
                </m:rPr>
                <m:t>+</m:t>
              </m:r>
              <m:r>
                <m:t>2</m:t>
              </m:r>
              <m:r>
                <m:t>ε</m:t>
              </m:r>
            </m:e>
          </m:d>
          <m:r>
            <m:rPr>
              <m:sty m:val="p"/>
            </m:rPr>
            <m:t>,</m:t>
          </m:r>
        </m:oMath>
      </m:oMathPara>
    </w:p>
    <w:p>
      <w:pPr>
        <w:pStyle w:val="Equation"/>
        <w:jc w:val="center"/>
      </w:pPr>
      <m:oMathPara>
        <m:oMathParaPr>
          <m:jc m:val="center"/>
        </m:oMathParaPr>
        <m:oMath>
          <m:d>
            <m:dPr>
              <m:begChr m:val="("/>
              <m:endChr m:val=")"/>
              <m:sepChr m:val=""/>
              <m:grow/>
            </m:dPr>
            <m:e>
              <m:sSub>
                <m:e>
                  <m:r>
                    <m:t>a</m:t>
                  </m:r>
                </m:e>
                <m:sub>
                  <m:r>
                    <m:rPr>
                      <m:sty m:val="p"/>
                    </m:rPr>
                    <m:t>−</m:t>
                  </m:r>
                </m:sub>
              </m:sSub>
              <m:r>
                <m:rPr>
                  <m:sty m:val="p"/>
                </m:rPr>
                <m:t>,</m:t>
              </m:r>
              <m:sSub>
                <m:e>
                  <m:r>
                    <m:t>b</m:t>
                  </m:r>
                </m:e>
                <m:sub>
                  <m:r>
                    <m:rPr>
                      <m:sty m:val="p"/>
                    </m:rPr>
                    <m:t>−</m:t>
                  </m:r>
                </m:sub>
              </m:sSub>
            </m:e>
          </m:d>
          <m:r>
            <m:rPr>
              <m:sty m:val="p"/>
            </m:rPr>
            <m:t>=</m:t>
          </m:r>
          <m:d>
            <m:dPr>
              <m:begChr m:val="("/>
              <m:endChr m:val=")"/>
              <m:sepChr m:val=""/>
              <m:grow/>
            </m:dPr>
            <m:e>
              <m:r>
                <m:t>a</m:t>
              </m:r>
              <m:r>
                <m:rPr>
                  <m:sty m:val="p"/>
                </m:rPr>
                <m:t>+</m:t>
              </m:r>
              <m:r>
                <m:t>3</m:t>
              </m:r>
              <m:r>
                <m:t>ε</m:t>
              </m:r>
              <m:r>
                <m:rPr>
                  <m:sty m:val="p"/>
                </m:rPr>
                <m:t>,</m:t>
              </m:r>
              <m:r>
                <m:t>b</m:t>
              </m:r>
              <m:r>
                <m:rPr>
                  <m:sty m:val="p"/>
                </m:rPr>
                <m:t>−</m:t>
              </m:r>
              <m:r>
                <m:t>2</m:t>
              </m:r>
              <m:r>
                <m:t>ε</m:t>
              </m:r>
            </m:e>
          </m:d>
          <m:r>
            <m:rPr>
              <m:sty m:val="p"/>
            </m:rPr>
            <m:t>.</m:t>
          </m:r>
        </m:oMath>
      </m:oMathPara>
    </w:p>
    <w:p>
      <w:pPr>
        <w:pStyle w:val="FirstParagraph"/>
      </w:pPr>
      <w:r>
        <w:t xml:space="preserve">All edge lengths are nonnegative. In the first tree, every singleton is lower than its measurement by</w:t>
      </w:r>
      <w:r>
        <w:t xml:space="preserve"> </w:t>
      </w:r>
      <m:oMath>
        <m:r>
          <m:t>ε</m:t>
        </m:r>
      </m:oMath>
      <w:r>
        <w:t xml:space="preserve">, while every pair is higher by</w:t>
      </w:r>
      <w:r>
        <w:t xml:space="preserve"> </w:t>
      </w:r>
      <m:oMath>
        <m:r>
          <m:t>ε</m:t>
        </m:r>
      </m:oMath>
      <w:r>
        <w:t xml:space="preserve">. The signs are reversed in the second tree. Both trees satisfy (7) for the same observed table.</w:t>
      </w:r>
    </w:p>
    <w:p>
      <w:pPr>
        <w:pStyle w:val="BodyText"/>
        <w:keepNext/>
      </w:pPr>
      <w:r>
        <w:t xml:space="preserve">Their full-set costs are</w:t>
      </w:r>
    </w:p>
    <w:p>
      <w:pPr>
        <w:pStyle w:val="Equation"/>
        <w:keepNext/>
        <w:jc w:val="center"/>
      </w:pPr>
      <m:oMathPara>
        <m:oMathParaPr>
          <m:jc m:val="center"/>
        </m:oMathParaPr>
        <m:oMath>
          <m:sSub>
            <m:e>
              <m:r>
                <m:t>F</m:t>
              </m:r>
            </m:e>
            <m:sub>
              <m:r>
                <m:rPr>
                  <m:sty m:val="p"/>
                </m:rPr>
                <m:t>+</m:t>
              </m:r>
            </m:sub>
          </m:sSub>
          <m:d>
            <m:dPr>
              <m:begChr m:val="("/>
              <m:endChr m:val=")"/>
              <m:sepChr m:val=""/>
              <m:grow/>
            </m:dPr>
            <m:e>
              <m:r>
                <m:t>N</m:t>
              </m:r>
            </m:e>
          </m:d>
          <m:r>
            <m:rPr>
              <m:sty m:val="p"/>
            </m:rPr>
            <m:t>=</m:t>
          </m:r>
          <m:r>
            <m:t>a</m:t>
          </m:r>
          <m:r>
            <m:rPr>
              <m:sty m:val="p"/>
            </m:rPr>
            <m:t>+</m:t>
          </m:r>
          <m:r>
            <m:t>m</m:t>
          </m:r>
          <m:r>
            <m:t>b</m:t>
          </m:r>
          <m:r>
            <m:rPr>
              <m:sty m:val="p"/>
            </m:rPr>
            <m:t>+</m:t>
          </m:r>
          <m:d>
            <m:dPr>
              <m:begChr m:val="("/>
              <m:endChr m:val=")"/>
              <m:sepChr m:val=""/>
              <m:grow/>
            </m:dPr>
            <m:e>
              <m:r>
                <m:t>2</m:t>
              </m:r>
              <m:r>
                <m:t>m</m:t>
              </m:r>
              <m:r>
                <m:rPr>
                  <m:sty m:val="p"/>
                </m:rPr>
                <m:t>−</m:t>
              </m:r>
              <m:r>
                <m:t>3</m:t>
              </m:r>
            </m:e>
          </m:d>
          <m:r>
            <m:t>ε</m:t>
          </m:r>
          <m:r>
            <m:rPr>
              <m:sty m:val="p"/>
            </m:rPr>
            <m:t>,</m:t>
          </m:r>
        </m:oMath>
      </m:oMathPara>
    </w:p>
    <w:p>
      <w:pPr>
        <w:pStyle w:val="Equation"/>
        <w:jc w:val="center"/>
      </w:pPr>
      <m:oMathPara>
        <m:oMathParaPr>
          <m:jc m:val="center"/>
        </m:oMathParaPr>
        <m:oMath>
          <m:sSub>
            <m:e>
              <m:r>
                <m:t>F</m:t>
              </m:r>
            </m:e>
            <m:sub>
              <m:r>
                <m:rPr>
                  <m:sty m:val="p"/>
                </m:rPr>
                <m:t>−</m:t>
              </m:r>
            </m:sub>
          </m:sSub>
          <m:d>
            <m:dPr>
              <m:begChr m:val="("/>
              <m:endChr m:val=")"/>
              <m:sepChr m:val=""/>
              <m:grow/>
            </m:dPr>
            <m:e>
              <m:r>
                <m:t>N</m:t>
              </m:r>
            </m:e>
          </m:d>
          <m:r>
            <m:rPr>
              <m:sty m:val="p"/>
            </m:rPr>
            <m:t>=</m:t>
          </m:r>
          <m:r>
            <m:t>a</m:t>
          </m:r>
          <m:r>
            <m:rPr>
              <m:sty m:val="p"/>
            </m:rPr>
            <m:t>+</m:t>
          </m:r>
          <m:r>
            <m:t>m</m:t>
          </m:r>
          <m:r>
            <m:t>b</m:t>
          </m:r>
          <m:r>
            <m:rPr>
              <m:sty m:val="p"/>
            </m:rPr>
            <m:t>−</m:t>
          </m:r>
          <m:d>
            <m:dPr>
              <m:begChr m:val="("/>
              <m:endChr m:val=")"/>
              <m:sepChr m:val=""/>
              <m:grow/>
            </m:dPr>
            <m:e>
              <m:r>
                <m:t>2</m:t>
              </m:r>
              <m:r>
                <m:t>m</m:t>
              </m:r>
              <m:r>
                <m:rPr>
                  <m:sty m:val="p"/>
                </m:rPr>
                <m:t>−</m:t>
              </m:r>
              <m:r>
                <m:t>3</m:t>
              </m:r>
            </m:e>
          </m:d>
          <m:r>
            <m:t>ε</m:t>
          </m:r>
          <m:r>
            <m:rPr>
              <m:sty m:val="p"/>
            </m:rPr>
            <m:t>.</m:t>
          </m:r>
        </m:oMath>
      </m:oMathPara>
    </w:p>
    <w:p>
      <w:pPr>
        <w:pStyle w:val="FirstParagraph"/>
      </w:pPr>
      <w:r>
        <w:t xml:space="preserve">An estimator receives identical input in these two cases. Its largest error must be at least half the distance between the two possible costs, namely</w:t>
      </w:r>
      <w:r>
        <w:t xml:space="preserve"> </w:t>
      </w:r>
      <m:oMath>
        <m:d>
          <m:dPr>
            <m:begChr m:val="("/>
            <m:endChr m:val=")"/>
            <m:sepChr m:val=""/>
            <m:grow/>
          </m:dPr>
          <m:e>
            <m:r>
              <m:t>2</m:t>
            </m:r>
            <m:r>
              <m:t>m</m:t>
            </m:r>
            <m:r>
              <m:rPr>
                <m:sty m:val="p"/>
              </m:rPr>
              <m:t>−</m:t>
            </m:r>
            <m:r>
              <m:t>3</m:t>
            </m:r>
          </m:e>
        </m:d>
        <m:r>
          <m:t>ε</m:t>
        </m:r>
      </m:oMath>
      <w:r>
        <w:t xml:space="preserve">. Together with (8), this proves minimax optimality.</w:t>
      </w:r>
      <w:r>
        <w:t xml:space="preserve"> </w:t>
      </w:r>
      <m:oMath>
        <m:r>
          <m:rPr>
            <m:sty m:val="p"/>
          </m:rPr>
          <m:t>▫</m:t>
        </m:r>
      </m:oMath>
    </w:p>
    <w:p>
      <w:pPr>
        <w:pStyle w:val="BodyText"/>
        <w:keepNext/>
      </w:pPr>
      <w:r>
        <w:t xml:space="preserve">Formally, let</w:t>
      </w:r>
      <w:r>
        <w:t xml:space="preserve"> </w:t>
      </w:r>
      <m:oMath>
        <m:sSub>
          <m:e>
            <m:r>
              <m:rPr>
                <m:sty m:val="p"/>
              </m:rPr>
              <m:t>𝒞</m:t>
            </m:r>
          </m:e>
          <m:sub>
            <m:r>
              <m:t>m</m:t>
            </m:r>
          </m:sub>
        </m:sSub>
      </m:oMath>
      <w:r>
        <w:t xml:space="preserve"> </w:t>
      </w:r>
      <w:r>
        <w:t xml:space="preserve">be the class of nonnegative rooted-tree cost functions on</w:t>
      </w:r>
      <w:r>
        <w:t xml:space="preserve"> </w:t>
      </w:r>
      <m:oMath>
        <m:r>
          <m:t>m</m:t>
        </m:r>
      </m:oMath>
      <w:r>
        <w:t xml:space="preserve"> </w:t>
      </w:r>
      <w:r>
        <w:t xml:space="preserve">labels, and let</w:t>
      </w:r>
      <w:r>
        <w:t xml:space="preserve"> </w:t>
      </w:r>
      <m:oMath>
        <m:r>
          <m:t>D</m:t>
        </m:r>
        <m:d>
          <m:dPr>
            <m:begChr m:val="("/>
            <m:endChr m:val=")"/>
            <m:sepChr m:val=""/>
            <m:grow/>
          </m:dPr>
          <m:e>
            <m:r>
              <m:t>F</m:t>
            </m:r>
          </m:e>
        </m:d>
      </m:oMath>
      <w:r>
        <w:t xml:space="preserve"> </w:t>
      </w:r>
      <w:r>
        <w:t xml:space="preserve">be the vector of singleton and pair costs. Then</w:t>
      </w:r>
    </w:p>
    <w:p>
      <w:pPr>
        <w:pStyle w:val="Equation"/>
        <w:tabs>
          <w:tab w:pos="4680" w:val="center"/>
          <w:tab w:pos="9792" w:val="right"/>
        </w:tabs>
        <w:jc w:val="left"/>
      </w:pPr>
      <w:r>
        <w:tab/>
      </w:r>
      <m:oMath>
        <m:limLow>
          <m:e>
            <m:r>
              <m:rPr>
                <m:sty m:val="p"/>
                <m:nor/>
              </m:rPr>
              <m:t>inf</m:t>
            </m:r>
          </m:e>
          <m:lim>
            <m:r>
              <m:t>R</m:t>
            </m:r>
          </m:lim>
        </m:limLow>
        <m:limLow>
          <m:e>
            <m:r>
              <m:rPr>
                <m:sty m:val="p"/>
                <m:nor/>
              </m:rPr>
              <m:t>sup</m:t>
            </m:r>
          </m:e>
          <m:lim>
            <m:m>
              <m:mPr>
                <m:baseJc m:val="center"/>
                <m:plcHide m:val="on"/>
                <m:mcs>
                  <m:mc>
                    <m:mcPr>
                      <m:mcJc m:val="center"/>
                      <m:count m:val="1"/>
                    </m:mcPr>
                  </m:mc>
                </m:mcs>
              </m:mPr>
              <m:mr>
                <m:e>
                  <m:r>
                    <m:t>F</m:t>
                  </m:r>
                  <m:r>
                    <m:rPr>
                      <m:sty m:val="p"/>
                    </m:rPr>
                    <m:t>∈</m:t>
                  </m:r>
                  <m:sSub>
                    <m:e>
                      <m:r>
                        <m:rPr>
                          <m:sty m:val="p"/>
                        </m:rPr>
                        <m:t>𝒞</m:t>
                      </m:r>
                    </m:e>
                    <m:sub>
                      <m:r>
                        <m:t>m</m:t>
                      </m:r>
                    </m:sub>
                  </m:sSub>
                  <m:r>
                    <m:rPr>
                      <m:sty m:val="p"/>
                    </m:rPr>
                    <m:t>,</m:t>
                  </m:r>
                  <m:r>
                    <m:t> </m:t>
                  </m:r>
                  <m:r>
                    <m:t>z</m:t>
                  </m:r>
                </m:e>
              </m:mr>
              <m:mr>
                <m:e>
                  <m:r>
                    <m:rPr>
                      <m:sty m:val="p"/>
                    </m:rPr>
                    <m:t>∥</m:t>
                  </m:r>
                  <m:r>
                    <m:t>z</m:t>
                  </m:r>
                  <m:r>
                    <m:rPr>
                      <m:sty m:val="p"/>
                    </m:rPr>
                    <m:t>−</m:t>
                  </m:r>
                  <m:r>
                    <m:t>D</m:t>
                  </m:r>
                  <m:d>
                    <m:dPr>
                      <m:begChr m:val="("/>
                      <m:endChr m:val=")"/>
                      <m:sepChr m:val=""/>
                      <m:grow/>
                    </m:dPr>
                    <m:e>
                      <m:r>
                        <m:t>F</m:t>
                      </m:r>
                    </m:e>
                  </m:d>
                  <m:sSub>
                    <m:e>
                      <m:r>
                        <m:rPr>
                          <m:sty m:val="p"/>
                        </m:rPr>
                        <m:t>∥</m:t>
                      </m:r>
                    </m:e>
                    <m:sub>
                      <m:r>
                        <m:rPr>
                          <m:sty m:val="p"/>
                        </m:rPr>
                        <m:t>∞</m:t>
                      </m:r>
                    </m:sub>
                  </m:sSub>
                  <m:r>
                    <m:rPr>
                      <m:sty m:val="p"/>
                    </m:rPr>
                    <m:t>≤</m:t>
                  </m:r>
                  <m:r>
                    <m:t>ε</m:t>
                  </m:r>
                </m:e>
              </m:mr>
            </m:m>
          </m:lim>
        </m:limLow>
        <m:box>
          <m:e>
            <m:r>
              <m:rPr>
                <m:sty m:val="p"/>
              </m:rPr>
              <m:t>|</m:t>
            </m:r>
            <m:r>
              <m:t>R</m:t>
            </m:r>
            <m:d>
              <m:dPr>
                <m:begChr m:val="("/>
                <m:endChr m:val=")"/>
                <m:sepChr m:val=""/>
                <m:grow/>
              </m:dPr>
              <m:e>
                <m:r>
                  <m:t>z</m:t>
                </m:r>
              </m:e>
            </m:d>
            <m:r>
              <m:rPr>
                <m:sty m:val="p"/>
              </m:rPr>
              <m:t>−</m:t>
            </m:r>
            <m:r>
              <m:t>F</m:t>
            </m:r>
            <m:d>
              <m:dPr>
                <m:begChr m:val="("/>
                <m:endChr m:val=")"/>
                <m:sepChr m:val=""/>
                <m:grow/>
              </m:dPr>
              <m:e>
                <m:r>
                  <m:t>N</m:t>
                </m:r>
              </m:e>
            </m:d>
            <m:r>
              <m:rPr>
                <m:sty m:val="p"/>
              </m:rPr>
              <m:t>|</m:t>
            </m:r>
          </m:e>
        </m:box>
        <m:r>
          <m:rPr>
            <m:sty m:val="p"/>
          </m:rPr>
          <m:t>=</m:t>
        </m:r>
        <m:d>
          <m:dPr>
            <m:begChr m:val="("/>
            <m:endChr m:val=")"/>
            <m:sepChr m:val=""/>
            <m:grow/>
          </m:dPr>
          <m:e>
            <m:r>
              <m:t>2</m:t>
            </m:r>
            <m:r>
              <m:t>m</m:t>
            </m:r>
            <m:r>
              <m:rPr>
                <m:sty m:val="p"/>
              </m:rPr>
              <m:t>−</m:t>
            </m:r>
            <m:r>
              <m:t>3</m:t>
            </m:r>
          </m:e>
        </m:d>
        <m:r>
          <m:t>ε</m:t>
        </m:r>
        <m:r>
          <m:rPr>
            <m:sty m:val="p"/>
          </m:rPr>
          <m:t>,</m:t>
        </m:r>
        <m:r>
          <m:t>  </m:t>
        </m:r>
        <m:r>
          <m:t>m</m:t>
        </m:r>
        <m:r>
          <m:rPr>
            <m:sty m:val="p"/>
          </m:rPr>
          <m:t>≥</m:t>
        </m:r>
        <m:r>
          <m:t>2</m:t>
        </m:r>
        <m:r>
          <m:rPr>
            <m:sty m:val="p"/>
          </m:rPr>
          <m:t>.</m:t>
        </m:r>
      </m:oMath>
      <w:r>
        <w:tab/>
        <w:t>(9)</w:t>
      </w:r>
    </w:p>
    <w:p>
      <w:pPr>
        <w:pStyle w:val="BodyText"/>
      </w:pPr>
      <w:r>
        <w:t xml:space="preserve">The infimum ranges over estimators</w:t>
      </w:r>
      <w:r>
        <w:t xml:space="preserve"> </w:t>
      </w:r>
      <m:oMath>
        <m:r>
          <m:t>R</m:t>
        </m:r>
      </m:oMath>
      <w:r>
        <w:t xml:space="preserve">.</w:t>
      </w:r>
    </w:p>
    <w:p>
      <w:pPr>
        <w:pStyle w:val="BodyText"/>
        <w:keepNext/>
      </w:pPr>
      <w:r>
        <w:t xml:space="preserve">If singleton errors are bounded by</w:t>
      </w:r>
      <w:r>
        <w:t xml:space="preserve"> </w:t>
      </w:r>
      <m:oMath>
        <m:sSub>
          <m:e>
            <m:r>
              <m:t>ε</m:t>
            </m:r>
          </m:e>
          <m:sub>
            <m:r>
              <m:t>1</m:t>
            </m:r>
          </m:sub>
        </m:sSub>
      </m:oMath>
      <w:r>
        <w:t xml:space="preserve"> </w:t>
      </w:r>
      <w:r>
        <w:t xml:space="preserve">and pair errors by</w:t>
      </w:r>
      <w:r>
        <w:t xml:space="preserve"> </w:t>
      </w:r>
      <m:oMath>
        <m:sSub>
          <m:e>
            <m:r>
              <m:t>ε</m:t>
            </m:r>
          </m:e>
          <m:sub>
            <m:r>
              <m:t>2</m:t>
            </m:r>
          </m:sub>
        </m:sSub>
      </m:oMath>
      <w:r>
        <w:t xml:space="preserve">, the same argument gives the sharp radius</w:t>
      </w:r>
    </w:p>
    <w:p>
      <w:pPr>
        <w:pStyle w:val="Equation"/>
        <w:jc w:val="center"/>
      </w:pPr>
      <m:oMathPara>
        <m:oMathParaPr>
          <m:jc m:val="center"/>
        </m:oMathParaPr>
        <m:oMath>
          <m:d>
            <m:dPr>
              <m:begChr m:val="("/>
              <m:endChr m:val=")"/>
              <m:sepChr m:val=""/>
              <m:grow/>
            </m:dPr>
            <m:e>
              <m:r>
                <m:t>m</m:t>
              </m:r>
              <m:r>
                <m:rPr>
                  <m:sty m:val="p"/>
                </m:rPr>
                <m:t>−</m:t>
              </m:r>
              <m:r>
                <m:t>2</m:t>
              </m:r>
            </m:e>
          </m:d>
          <m:sSub>
            <m:e>
              <m:r>
                <m:t>ε</m:t>
              </m:r>
            </m:e>
            <m:sub>
              <m:r>
                <m:t>1</m:t>
              </m:r>
            </m:sub>
          </m:sSub>
          <m:r>
            <m:rPr>
              <m:sty m:val="p"/>
            </m:rPr>
            <m:t>+</m:t>
          </m:r>
          <m:d>
            <m:dPr>
              <m:begChr m:val="("/>
              <m:endChr m:val=")"/>
              <m:sepChr m:val=""/>
              <m:grow/>
            </m:dPr>
            <m:e>
              <m:r>
                <m:t>m</m:t>
              </m:r>
              <m:r>
                <m:rPr>
                  <m:sty m:val="p"/>
                </m:rPr>
                <m:t>−</m:t>
              </m:r>
              <m:r>
                <m:t>1</m:t>
              </m:r>
            </m:e>
          </m:d>
          <m:sSub>
            <m:e>
              <m:r>
                <m:t>ε</m:t>
              </m:r>
            </m:e>
            <m:sub>
              <m:r>
                <m:t>2</m:t>
              </m:r>
            </m:sub>
          </m:sSub>
          <m:r>
            <m:rPr>
              <m:sty m:val="p"/>
            </m:rPr>
            <m:t>.</m:t>
          </m:r>
        </m:oMath>
      </m:oMathPara>
    </w:p>
    <w:p>
      <w:pPr>
        <w:pStyle w:val="FirstParagraph"/>
      </w:pPr>
      <w:r>
        <w:t xml:space="preserve">For the lower bound, perturb the trunk by opposite amounts</w:t>
      </w:r>
      <w:r>
        <w:t xml:space="preserve"> </w:t>
      </w:r>
      <m:oMath>
        <m:r>
          <m:t>2</m:t>
        </m:r>
        <m:sSub>
          <m:e>
            <m:r>
              <m:t>ε</m:t>
            </m:r>
          </m:e>
          <m:sub>
            <m:r>
              <m:t>1</m:t>
            </m:r>
          </m:sub>
        </m:sSub>
        <m:r>
          <m:rPr>
            <m:sty m:val="p"/>
          </m:rPr>
          <m:t>+</m:t>
        </m:r>
        <m:sSub>
          <m:e>
            <m:r>
              <m:t>ε</m:t>
            </m:r>
          </m:e>
          <m:sub>
            <m:r>
              <m:t>2</m:t>
            </m:r>
          </m:sub>
        </m:sSub>
      </m:oMath>
      <w:r>
        <w:t xml:space="preserve">, and each pendant edge by opposite amounts</w:t>
      </w:r>
      <w:r>
        <w:t xml:space="preserve"> </w:t>
      </w:r>
      <m:oMath>
        <m:sSub>
          <m:e>
            <m:r>
              <m:t>ε</m:t>
            </m:r>
          </m:e>
          <m:sub>
            <m:r>
              <m:t>1</m:t>
            </m:r>
          </m:sub>
        </m:sSub>
        <m:r>
          <m:rPr>
            <m:sty m:val="p"/>
          </m:rPr>
          <m:t>+</m:t>
        </m:r>
        <m:sSub>
          <m:e>
            <m:r>
              <m:t>ε</m:t>
            </m:r>
          </m:e>
          <m:sub>
            <m:r>
              <m:t>2</m:t>
            </m:r>
          </m:sub>
        </m:sSub>
      </m:oMath>
      <w:r>
        <w:t xml:space="preserve">.</w:t>
      </w:r>
    </w:p>
    <w:bookmarkEnd w:id="34"/>
    <w:bookmarkStart w:id="35" w:name="a-feasible-repair"/>
    <w:p>
      <w:pPr>
        <w:pStyle w:val="Heading2"/>
      </w:pPr>
      <w:r>
        <w:t xml:space="preserve">3.2. A feasible repair</w:t>
      </w:r>
    </w:p>
    <w:p>
      <w:pPr>
        <w:pStyle w:val="FirstParagraph"/>
      </w:pPr>
      <w:r>
        <w:t xml:space="preserve">The direct estimate</w:t>
      </w:r>
      <w:r>
        <w:t xml:space="preserve"> </w:t>
      </w:r>
      <m:oMath>
        <m:r>
          <m:t>H</m:t>
        </m:r>
      </m:oMath>
      <w:r>
        <w:t xml:space="preserve"> </w:t>
      </w:r>
      <w:r>
        <w:t xml:space="preserve">can be nonmonotone when measurements are incompatible. A physical network representation can instead be obtained by repairing the overlaps.</w:t>
      </w:r>
    </w:p>
    <w:p>
      <w:pPr>
        <w:pStyle w:val="BodyText"/>
        <w:keepNext/>
      </w:pPr>
      <w:r>
        <w:t xml:space="preserve">Define</w:t>
      </w:r>
    </w:p>
    <w:p>
      <w:pPr>
        <w:pStyle w:val="Equation"/>
        <w:keepNext/>
        <w:jc w:val="center"/>
      </w:pPr>
      <m:oMathPara>
        <m:oMathParaPr>
          <m:jc m:val="center"/>
        </m:oMathParaPr>
        <m:oMath>
          <m:sSub>
            <m:e>
              <m:acc>
                <m:accPr>
                  <m:chr m:val="̂"/>
                </m:accPr>
                <m:e>
                  <m:r>
                    <m:t>c</m:t>
                  </m:r>
                </m:e>
              </m:acc>
            </m:e>
            <m:sub>
              <m:r>
                <m:t>i</m:t>
              </m:r>
            </m:sub>
          </m:sSub>
          <m:r>
            <m:rPr>
              <m:sty m:val="p"/>
            </m:rPr>
            <m:t>=</m:t>
          </m:r>
          <m:r>
            <m:rPr>
              <m:sty m:val="p"/>
              <m:nor/>
            </m:rPr>
            <m:t>max</m:t>
          </m:r>
          <m:d>
            <m:dPr>
              <m:begChr m:val="("/>
              <m:endChr m:val=")"/>
              <m:sepChr m:val=""/>
              <m:grow/>
            </m:dPr>
            <m:e>
              <m:r>
                <m:t>0</m:t>
              </m:r>
              <m:r>
                <m:rPr>
                  <m:sty m:val="p"/>
                </m:rPr>
                <m:t>,</m:t>
              </m:r>
              <m:sSub>
                <m:e>
                  <m:acc>
                    <m:accPr>
                      <m:chr m:val="̃"/>
                    </m:accPr>
                    <m:e>
                      <m:r>
                        <m:t>c</m:t>
                      </m:r>
                    </m:e>
                  </m:acc>
                </m:e>
                <m:sub>
                  <m:r>
                    <m:t>i</m:t>
                  </m:r>
                </m:sub>
              </m:sSub>
            </m:e>
          </m:d>
          <m:r>
            <m:rPr>
              <m:sty m:val="p"/>
            </m:rPr>
            <m:t>,</m:t>
          </m:r>
        </m:oMath>
      </m:oMathPara>
    </w:p>
    <w:p>
      <w:pPr>
        <w:pStyle w:val="Equation"/>
        <w:tabs>
          <w:tab w:pos="4680" w:val="center"/>
          <w:tab w:pos="9792" w:val="right"/>
        </w:tabs>
        <w:jc w:val="left"/>
      </w:pPr>
      <w:r>
        <w:tab/>
      </w:r>
      <m:oMath>
        <m:sSub>
          <m:e>
            <m:r>
              <m:t>u</m:t>
            </m:r>
          </m:e>
          <m:sub>
            <m:r>
              <m:t>i</m:t>
            </m:r>
            <m:r>
              <m:t>j</m:t>
            </m:r>
          </m:sub>
        </m:sSub>
        <m:r>
          <m:rPr>
            <m:sty m:val="p"/>
          </m:rPr>
          <m:t>=</m:t>
        </m:r>
        <m:r>
          <m:rPr>
            <m:sty m:val="p"/>
            <m:nor/>
          </m:rPr>
          <m:t>min</m:t>
        </m:r>
        <m:box>
          <m:e>
            <m:r>
              <m:rPr>
                <m:sty m:val="p"/>
              </m:rPr>
              <m:t>{</m:t>
            </m:r>
            <m:sSub>
              <m:e>
                <m:acc>
                  <m:accPr>
                    <m:chr m:val="̂"/>
                  </m:accPr>
                  <m:e>
                    <m:r>
                      <m:t>c</m:t>
                    </m:r>
                  </m:e>
                </m:acc>
              </m:e>
              <m:sub>
                <m:r>
                  <m:t>i</m:t>
                </m:r>
              </m:sub>
            </m:sSub>
            <m:r>
              <m:rPr>
                <m:sty m:val="p"/>
              </m:rPr>
              <m:t>,</m:t>
            </m:r>
            <m:sSub>
              <m:e>
                <m:acc>
                  <m:accPr>
                    <m:chr m:val="̂"/>
                  </m:accPr>
                  <m:e>
                    <m:r>
                      <m:t>c</m:t>
                    </m:r>
                  </m:e>
                </m:acc>
              </m:e>
              <m:sub>
                <m:r>
                  <m:t>j</m:t>
                </m:r>
              </m:sub>
            </m:sSub>
            <m:r>
              <m:rPr>
                <m:sty m:val="p"/>
              </m:rPr>
              <m:t>,</m:t>
            </m:r>
            <m:r>
              <m:rPr>
                <m:sty m:val="p"/>
                <m:nor/>
              </m:rPr>
              <m:t>max</m:t>
            </m:r>
            <m:d>
              <m:dPr>
                <m:begChr m:val="("/>
                <m:endChr m:val=")"/>
                <m:sepChr m:val=""/>
                <m:grow/>
              </m:dPr>
              <m:e>
                <m:r>
                  <m:t>0</m:t>
                </m:r>
                <m:r>
                  <m:rPr>
                    <m:sty m:val="p"/>
                  </m:rPr>
                  <m:t>,</m:t>
                </m:r>
                <m:sSub>
                  <m:e>
                    <m:acc>
                      <m:accPr>
                        <m:chr m:val="̃"/>
                      </m:accPr>
                      <m:e>
                        <m:r>
                          <m:t>c</m:t>
                        </m:r>
                      </m:e>
                    </m:acc>
                  </m:e>
                  <m:sub>
                    <m:r>
                      <m:t>i</m:t>
                    </m:r>
                  </m:sub>
                </m:sSub>
                <m:r>
                  <m:rPr>
                    <m:sty m:val="p"/>
                  </m:rPr>
                  <m:t>+</m:t>
                </m:r>
                <m:sSub>
                  <m:e>
                    <m:acc>
                      <m:accPr>
                        <m:chr m:val="̃"/>
                      </m:accPr>
                      <m:e>
                        <m:r>
                          <m:t>c</m:t>
                        </m:r>
                      </m:e>
                    </m:acc>
                  </m:e>
                  <m:sub>
                    <m:r>
                      <m:t>j</m:t>
                    </m:r>
                  </m:sub>
                </m:sSub>
                <m:r>
                  <m:rPr>
                    <m:sty m:val="p"/>
                  </m:rPr>
                  <m:t>−</m:t>
                </m:r>
                <m:sSub>
                  <m:e>
                    <m:acc>
                      <m:accPr>
                        <m:chr m:val="̃"/>
                      </m:accPr>
                      <m:e>
                        <m:r>
                          <m:t>c</m:t>
                        </m:r>
                      </m:e>
                    </m:acc>
                  </m:e>
                  <m:sub>
                    <m:r>
                      <m:t>i</m:t>
                    </m:r>
                    <m:r>
                      <m:t>j</m:t>
                    </m:r>
                  </m:sub>
                </m:sSub>
              </m:e>
            </m:d>
            <m:r>
              <m:rPr>
                <m:sty m:val="p"/>
              </m:rPr>
              <m:t>}</m:t>
            </m:r>
          </m:e>
        </m:box>
        <m:r>
          <m:rPr>
            <m:sty m:val="p"/>
          </m:rPr>
          <m:t>.</m:t>
        </m:r>
      </m:oMath>
      <w:r>
        <w:tab/>
        <w:t>(10)</w:t>
      </w:r>
    </w:p>
    <w:p>
      <w:pPr>
        <w:pStyle w:val="BodyText"/>
        <w:keepNext/>
      </w:pPr>
      <w:r>
        <w:t xml:space="preserve">For distinct</w:t>
      </w:r>
      <w:r>
        <w:t xml:space="preserve"> </w:t>
      </w:r>
      <m:oMath>
        <m:r>
          <m:t>i</m:t>
        </m:r>
        <m:r>
          <m:rPr>
            <m:sty m:val="p"/>
          </m:rPr>
          <m:t>,</m:t>
        </m:r>
        <m:r>
          <m:t>j</m:t>
        </m:r>
      </m:oMath>
      <w:r>
        <w:t xml:space="preserve">, define the maximum-bottleneck closure</w:t>
      </w:r>
    </w:p>
    <w:p>
      <w:pPr>
        <w:pStyle w:val="Equation"/>
        <w:tabs>
          <w:tab w:pos="4680" w:val="center"/>
          <w:tab w:pos="9792" w:val="right"/>
        </w:tabs>
        <w:jc w:val="left"/>
      </w:pPr>
      <w:r>
        <w:tab/>
      </w:r>
      <m:oMath>
        <m:sSub>
          <m:e>
            <m:acc>
              <m:accPr>
                <m:chr m:val="̂"/>
              </m:accPr>
              <m:e>
                <m:r>
                  <m:t>o</m:t>
                </m:r>
              </m:e>
            </m:acc>
          </m:e>
          <m:sub>
            <m:r>
              <m:t>i</m:t>
            </m:r>
            <m:r>
              <m:t>j</m:t>
            </m:r>
          </m:sub>
        </m:sSub>
        <m:r>
          <m:rPr>
            <m:sty m:val="p"/>
          </m:rPr>
          <m:t>=</m:t>
        </m:r>
        <m:limLow>
          <m:e>
            <m:r>
              <m:rPr>
                <m:sty m:val="p"/>
                <m:nor/>
              </m:rPr>
              <m:t>max</m:t>
            </m:r>
          </m:e>
          <m:lim>
            <m:r>
              <m:t>γ</m:t>
            </m:r>
            <m:r>
              <m:rPr>
                <m:sty m:val="p"/>
              </m:rPr>
              <m:t>:</m:t>
            </m:r>
            <m:r>
              <m:t>i</m:t>
            </m:r>
            <m:r>
              <m:rPr>
                <m:sty m:val="p"/>
              </m:rPr>
              <m:t>⤳</m:t>
            </m:r>
            <m:r>
              <m:t>j</m:t>
            </m:r>
          </m:lim>
        </m:limLow>
        <m:limLow>
          <m:e>
            <m:r>
              <m:rPr>
                <m:sty m:val="p"/>
                <m:nor/>
              </m:rPr>
              <m:t>min</m:t>
            </m:r>
          </m:e>
          <m:lim>
            <m:r>
              <m:rPr>
                <m:sty m:val="p"/>
              </m:rPr>
              <m:t>{</m:t>
            </m:r>
            <m:r>
              <m:t>u</m:t>
            </m:r>
            <m:r>
              <m:rPr>
                <m:sty m:val="p"/>
              </m:rPr>
              <m:t>,</m:t>
            </m:r>
            <m:r>
              <m:t>v</m:t>
            </m:r>
            <m:r>
              <m:rPr>
                <m:sty m:val="p"/>
              </m:rPr>
              <m:t>}</m:t>
            </m:r>
            <m:r>
              <m:rPr>
                <m:sty m:val="p"/>
              </m:rPr>
              <m:t>∈</m:t>
            </m:r>
            <m:r>
              <m:t>E</m:t>
            </m:r>
            <m:d>
              <m:dPr>
                <m:begChr m:val="("/>
                <m:endChr m:val=")"/>
                <m:sepChr m:val=""/>
                <m:grow/>
              </m:dPr>
              <m:e>
                <m:r>
                  <m:t>γ</m:t>
                </m:r>
              </m:e>
            </m:d>
          </m:lim>
        </m:limLow>
        <m:sSub>
          <m:e>
            <m:r>
              <m:t>u</m:t>
            </m:r>
          </m:e>
          <m:sub>
            <m:r>
              <m:t>u</m:t>
            </m:r>
            <m:r>
              <m:t>v</m:t>
            </m:r>
          </m:sub>
        </m:sSub>
        <m:r>
          <m:rPr>
            <m:sty m:val="p"/>
          </m:rPr>
          <m:t>,</m:t>
        </m:r>
      </m:oMath>
      <w:r>
        <w:tab/>
        <w:t>(11)</w:t>
      </w:r>
    </w:p>
    <w:p>
      <w:pPr>
        <w:pStyle w:val="BodyText"/>
      </w:pPr>
      <w:r>
        <w:t xml:space="preserve">where the maximum is over simple paths in the complete graph. Let</w:t>
      </w:r>
      <w:r>
        <w:t xml:space="preserve"> </w:t>
      </w:r>
      <m:oMath>
        <m:acc>
          <m:accPr>
            <m:chr m:val="̂"/>
          </m:accPr>
          <m:e>
            <m:r>
              <m:t>F</m:t>
            </m:r>
          </m:e>
        </m:acc>
      </m:oMath>
      <w:r>
        <w:t xml:space="preserve"> </w:t>
      </w:r>
      <w:r>
        <w:t xml:space="preserve">be the rooted-tree cost reconstructed from</w:t>
      </w:r>
      <w:r>
        <w:t xml:space="preserve"> </w:t>
      </w:r>
      <m:oMath>
        <m:acc>
          <m:accPr>
            <m:chr m:val="̂"/>
          </m:accPr>
          <m:e>
            <m:r>
              <m:t>c</m:t>
            </m:r>
          </m:e>
        </m:acc>
        <m:r>
          <m:rPr>
            <m:sty m:val="p"/>
          </m:rPr>
          <m:t>,</m:t>
        </m:r>
        <m:acc>
          <m:accPr>
            <m:chr m:val="̂"/>
          </m:accPr>
          <m:e>
            <m:r>
              <m:t>o</m:t>
            </m:r>
          </m:e>
        </m:acc>
      </m:oMath>
      <w:r>
        <w:t xml:space="preserve">.</w:t>
      </w:r>
    </w:p>
    <w:p>
      <w:pPr>
        <w:pStyle w:val="BodyText"/>
        <w:keepNext/>
        <w:spacing w:before="140" w:after="100"/>
      </w:pPr>
      <w:r>
        <w:rPr>
          <w:bCs/>
          <w:b/>
        </w:rPr>
        <w:t xml:space="preserve">Proposition 3.2 — Feasibility and repair error.</w:t>
      </w:r>
      <w:r>
        <w:t xml:space="preserve"> </w:t>
      </w:r>
      <w:r>
        <w:t xml:space="preserve">The repaired table satisfies (3). For every nonempty</w:t>
      </w:r>
      <w:r>
        <w:t xml:space="preserve"> </w:t>
      </w:r>
      <m:oMath>
        <m:r>
          <m:t>S</m:t>
        </m:r>
      </m:oMath>
      <w:r>
        <w:t xml:space="preserve">,</w:t>
      </w:r>
    </w:p>
    <w:p>
      <w:pPr>
        <w:pStyle w:val="Equation"/>
        <w:tabs>
          <w:tab w:pos="4680" w:val="center"/>
          <w:tab w:pos="9792" w:val="right"/>
        </w:tabs>
        <w:jc w:val="left"/>
      </w:pPr>
      <w:r>
        <w:tab/>
      </w:r>
      <m:oMath>
        <m:box>
          <m:e>
            <m:r>
              <m:rPr>
                <m:sty m:val="p"/>
              </m:rPr>
              <m:t>|</m:t>
            </m:r>
            <m:acc>
              <m:accPr>
                <m:chr m:val="̂"/>
              </m:accPr>
              <m:e>
                <m:r>
                  <m:t>F</m:t>
                </m:r>
              </m:e>
            </m:acc>
            <m:d>
              <m:dPr>
                <m:begChr m:val="("/>
                <m:endChr m:val=")"/>
                <m:sepChr m:val=""/>
                <m:grow/>
              </m:dPr>
              <m:e>
                <m:r>
                  <m:t>S</m:t>
                </m:r>
              </m:e>
            </m:d>
            <m:r>
              <m:rPr>
                <m:sty m:val="p"/>
              </m:rPr>
              <m:t>−</m:t>
            </m:r>
            <m:r>
              <m:t>F</m:t>
            </m:r>
            <m:d>
              <m:dPr>
                <m:begChr m:val="("/>
                <m:endChr m:val=")"/>
                <m:sepChr m:val=""/>
                <m:grow/>
              </m:dPr>
              <m:e>
                <m:r>
                  <m:t>S</m:t>
                </m:r>
              </m:e>
            </m:d>
            <m:r>
              <m:rPr>
                <m:sty m:val="p"/>
              </m:rPr>
              <m:t>|</m:t>
            </m:r>
          </m:e>
        </m:box>
        <m:r>
          <m:rPr>
            <m:sty m:val="p"/>
          </m:rPr>
          <m:t>≤</m:t>
        </m:r>
        <m:d>
          <m:dPr>
            <m:begChr m:val="("/>
            <m:endChr m:val=")"/>
            <m:sepChr m:val=""/>
            <m:grow/>
          </m:dPr>
          <m:e>
            <m:r>
              <m:t>4</m:t>
            </m:r>
            <m:box>
              <m:e>
                <m:r>
                  <m:rPr>
                    <m:sty m:val="p"/>
                  </m:rPr>
                  <m:t>|</m:t>
                </m:r>
                <m:r>
                  <m:t>S</m:t>
                </m:r>
                <m:r>
                  <m:rPr>
                    <m:sty m:val="p"/>
                  </m:rPr>
                  <m:t>|</m:t>
                </m:r>
              </m:e>
            </m:box>
            <m:r>
              <m:rPr>
                <m:sty m:val="p"/>
              </m:rPr>
              <m:t>−</m:t>
            </m:r>
            <m:r>
              <m:t>3</m:t>
            </m:r>
          </m:e>
        </m:d>
        <m:r>
          <m:t>ε</m:t>
        </m:r>
        <m:r>
          <m:rPr>
            <m:sty m:val="p"/>
          </m:rPr>
          <m:t>.</m:t>
        </m:r>
      </m:oMath>
      <w:r>
        <w:tab/>
        <w:t>(12)</w:t>
      </w:r>
    </w:p>
    <w:p>
      <w:pPr>
        <w:pStyle w:val="BodyText"/>
        <w:keepNext/>
      </w:pPr>
      <w:r>
        <w:rPr>
          <w:iCs/>
          <w:i/>
        </w:rPr>
        <w:t xml:space="preserve">Proof.</w:t>
      </w:r>
      <w:r>
        <w:t xml:space="preserve"> </w:t>
      </w:r>
      <w:r>
        <w:t xml:space="preserve">The closure is symmetric and nonnegative. Every path from</w:t>
      </w:r>
      <w:r>
        <w:t xml:space="preserve"> </w:t>
      </w:r>
      <m:oMath>
        <m:r>
          <m:t>i</m:t>
        </m:r>
      </m:oMath>
      <w:r>
        <w:t xml:space="preserve"> </w:t>
      </w:r>
      <w:r>
        <w:t xml:space="preserve">to</w:t>
      </w:r>
      <w:r>
        <w:t xml:space="preserve"> </w:t>
      </w:r>
      <m:oMath>
        <m:r>
          <m:t>j</m:t>
        </m:r>
      </m:oMath>
      <w:r>
        <w:t xml:space="preserve"> </w:t>
      </w:r>
      <w:r>
        <w:t xml:space="preserve">starts with an edge bounded by</w:t>
      </w:r>
      <w:r>
        <w:t xml:space="preserve"> </w:t>
      </w:r>
      <m:oMath>
        <m:sSub>
          <m:e>
            <m:acc>
              <m:accPr>
                <m:chr m:val="̂"/>
              </m:accPr>
              <m:e>
                <m:r>
                  <m:t>c</m:t>
                </m:r>
              </m:e>
            </m:acc>
          </m:e>
          <m:sub>
            <m:r>
              <m:t>i</m:t>
            </m:r>
          </m:sub>
        </m:sSub>
      </m:oMath>
      <w:r>
        <w:t xml:space="preserve"> </w:t>
      </w:r>
      <w:r>
        <w:t xml:space="preserve">and ends with one bounded by</w:t>
      </w:r>
      <w:r>
        <w:t xml:space="preserve"> </w:t>
      </w:r>
      <m:oMath>
        <m:sSub>
          <m:e>
            <m:acc>
              <m:accPr>
                <m:chr m:val="̂"/>
              </m:accPr>
              <m:e>
                <m:r>
                  <m:t>c</m:t>
                </m:r>
              </m:e>
            </m:acc>
          </m:e>
          <m:sub>
            <m:r>
              <m:t>j</m:t>
            </m:r>
          </m:sub>
        </m:sSub>
      </m:oMath>
      <w:r>
        <w:t xml:space="preserve">. Hence</w:t>
      </w:r>
    </w:p>
    <w:p>
      <w:pPr>
        <w:pStyle w:val="Equation"/>
        <w:jc w:val="center"/>
      </w:pPr>
      <m:oMathPara>
        <m:oMathParaPr>
          <m:jc m:val="center"/>
        </m:oMathParaPr>
        <m:oMath>
          <m:sSub>
            <m:e>
              <m:acc>
                <m:accPr>
                  <m:chr m:val="̂"/>
                </m:accPr>
                <m:e>
                  <m:r>
                    <m:t>o</m:t>
                  </m:r>
                </m:e>
              </m:acc>
            </m:e>
            <m:sub>
              <m:r>
                <m:t>i</m:t>
              </m:r>
              <m:r>
                <m:t>j</m:t>
              </m:r>
            </m:sub>
          </m:sSub>
          <m:r>
            <m:rPr>
              <m:sty m:val="p"/>
            </m:rPr>
            <m:t>≤</m:t>
          </m:r>
          <m:r>
            <m:rPr>
              <m:sty m:val="p"/>
              <m:nor/>
            </m:rPr>
            <m:t>min</m:t>
          </m:r>
          <m:d>
            <m:dPr>
              <m:begChr m:val="("/>
              <m:endChr m:val=")"/>
              <m:sepChr m:val=""/>
              <m:grow/>
            </m:dPr>
            <m:e>
              <m:sSub>
                <m:e>
                  <m:acc>
                    <m:accPr>
                      <m:chr m:val="̂"/>
                    </m:accPr>
                    <m:e>
                      <m:r>
                        <m:t>c</m:t>
                      </m:r>
                    </m:e>
                  </m:acc>
                </m:e>
                <m:sub>
                  <m:r>
                    <m:t>i</m:t>
                  </m:r>
                </m:sub>
              </m:sSub>
              <m:r>
                <m:rPr>
                  <m:sty m:val="p"/>
                </m:rPr>
                <m:t>,</m:t>
              </m:r>
              <m:sSub>
                <m:e>
                  <m:acc>
                    <m:accPr>
                      <m:chr m:val="̂"/>
                    </m:accPr>
                    <m:e>
                      <m:r>
                        <m:t>c</m:t>
                      </m:r>
                    </m:e>
                  </m:acc>
                </m:e>
                <m:sub>
                  <m:r>
                    <m:t>j</m:t>
                  </m:r>
                </m:sub>
              </m:sSub>
            </m:e>
          </m:d>
          <m:r>
            <m:rPr>
              <m:sty m:val="p"/>
            </m:rPr>
            <m:t>.</m:t>
          </m:r>
        </m:oMath>
      </m:oMathPara>
    </w:p>
    <w:p>
      <w:pPr>
        <w:pStyle w:val="FirstParagraph"/>
      </w:pPr>
      <w:r>
        <w:t xml:space="preserve">Concatenating paths through</w:t>
      </w:r>
      <w:r>
        <w:t xml:space="preserve"> </w:t>
      </w:r>
      <m:oMath>
        <m:r>
          <m:t>k</m:t>
        </m:r>
      </m:oMath>
      <w:r>
        <w:t xml:space="preserve">, and removing loops without reducing the bottleneck, proves the final inequality in (3).</w:t>
      </w:r>
    </w:p>
    <w:p>
      <w:pPr>
        <w:pStyle w:val="BodyText"/>
      </w:pPr>
      <w:r>
        <w:t xml:space="preserve">Singleton clipping has error at most</w:t>
      </w:r>
      <w:r>
        <w:t xml:space="preserve"> </w:t>
      </w:r>
      <m:oMath>
        <m:r>
          <m:t>ε</m:t>
        </m:r>
      </m:oMath>
      <w:r>
        <w:t xml:space="preserve">. Raw overlap errors are at most</w:t>
      </w:r>
      <w:r>
        <w:t xml:space="preserve"> </w:t>
      </w:r>
      <m:oMath>
        <m:r>
          <m:t>3</m:t>
        </m:r>
        <m:r>
          <m:t>ε</m:t>
        </m:r>
      </m:oMath>
      <w:r>
        <w:t xml:space="preserve">. The clipping in (10) preserves this bound because minimum and maximum are nonexpansive in the sup norm.</w:t>
      </w:r>
    </w:p>
    <w:p>
      <w:pPr>
        <w:pStyle w:val="BodyText"/>
      </w:pPr>
      <w:r>
        <w:t xml:space="preserve">The maximum-bottleneck operation is also nonexpansive: perturbing every edge value by at most</w:t>
      </w:r>
      <w:r>
        <w:t xml:space="preserve"> </w:t>
      </w:r>
      <m:oMath>
        <m:r>
          <m:t>d</m:t>
        </m:r>
      </m:oMath>
      <w:r>
        <w:t xml:space="preserve"> </w:t>
      </w:r>
      <w:r>
        <w:t xml:space="preserve">perturbs each path bottleneck, and then their maximum, by at most</w:t>
      </w:r>
      <w:r>
        <w:t xml:space="preserve"> </w:t>
      </w:r>
      <m:oMath>
        <m:r>
          <m:t>d</m:t>
        </m:r>
      </m:oMath>
      <w:r>
        <w:t xml:space="preserve">. This operation fixes the true overlap matrix, because repeated application of (3) bounds every path bottleneck by the direct true overlap. Therefore,</w:t>
      </w:r>
    </w:p>
    <w:p>
      <w:pPr>
        <w:pStyle w:val="Equation"/>
        <w:jc w:val="center"/>
      </w:pPr>
      <m:oMathPara>
        <m:oMathParaPr>
          <m:jc m:val="center"/>
        </m:oMathParaPr>
        <m:oMath>
          <m:r>
            <m:rPr>
              <m:sty m:val="p"/>
            </m:rPr>
            <m:t>∥</m:t>
          </m:r>
          <m:acc>
            <m:accPr>
              <m:chr m:val="̂"/>
            </m:accPr>
            <m:e>
              <m:r>
                <m:t>o</m:t>
              </m:r>
            </m:e>
          </m:acc>
          <m:r>
            <m:rPr>
              <m:sty m:val="p"/>
            </m:rPr>
            <m:t>−</m:t>
          </m:r>
          <m:r>
            <m:t>o</m:t>
          </m:r>
          <m:sSub>
            <m:e>
              <m:r>
                <m:rPr>
                  <m:sty m:val="p"/>
                </m:rPr>
                <m:t>∥</m:t>
              </m:r>
            </m:e>
            <m:sub>
              <m:r>
                <m:rPr>
                  <m:sty m:val="p"/>
                </m:rPr>
                <m:t>∞</m:t>
              </m:r>
            </m:sub>
          </m:sSub>
          <m:r>
            <m:rPr>
              <m:sty m:val="p"/>
            </m:rPr>
            <m:t>≤</m:t>
          </m:r>
          <m:r>
            <m:t>3</m:t>
          </m:r>
          <m:r>
            <m:t>ε</m:t>
          </m:r>
          <m:r>
            <m:rPr>
              <m:sty m:val="p"/>
            </m:rPr>
            <m:t>.</m:t>
          </m:r>
        </m:oMath>
      </m:oMathPara>
    </w:p>
    <w:p>
      <w:pPr>
        <w:pStyle w:val="FirstParagraph"/>
      </w:pPr>
      <w:r>
        <w:t xml:space="preserve">In (5), the singleton sum changes by at most</w:t>
      </w:r>
      <w:r>
        <w:t xml:space="preserve"> </w:t>
      </w:r>
      <m:oMath>
        <m:box>
          <m:e>
            <m:r>
              <m:rPr>
                <m:sty m:val="p"/>
              </m:rPr>
              <m:t>|</m:t>
            </m:r>
            <m:r>
              <m:t>S</m:t>
            </m:r>
            <m:r>
              <m:rPr>
                <m:sty m:val="p"/>
              </m:rPr>
              <m:t>|</m:t>
            </m:r>
          </m:e>
        </m:box>
        <m:r>
          <m:t>ε</m:t>
        </m:r>
      </m:oMath>
      <w:r>
        <w:t xml:space="preserve">, while the maximum spanning-tree weight changes by at most</w:t>
      </w:r>
      <w:r>
        <w:t xml:space="preserve"> </w:t>
      </w:r>
      <m:oMath>
        <m:r>
          <m:t>3</m:t>
        </m:r>
        <m:d>
          <m:dPr>
            <m:begChr m:val="("/>
            <m:endChr m:val=")"/>
            <m:sepChr m:val=""/>
            <m:grow/>
          </m:dPr>
          <m:e>
            <m:box>
              <m:e>
                <m:r>
                  <m:rPr>
                    <m:sty m:val="p"/>
                  </m:rPr>
                  <m:t>|</m:t>
                </m:r>
                <m:r>
                  <m:t>S</m:t>
                </m:r>
                <m:r>
                  <m:rPr>
                    <m:sty m:val="p"/>
                  </m:rPr>
                  <m:t>|</m:t>
                </m:r>
              </m:e>
            </m:box>
            <m:r>
              <m:rPr>
                <m:sty m:val="p"/>
              </m:rPr>
              <m:t>−</m:t>
            </m:r>
            <m:r>
              <m:t>1</m:t>
            </m:r>
          </m:e>
        </m:d>
        <m:r>
          <m:t>ε</m:t>
        </m:r>
      </m:oMath>
      <w:r>
        <w:t xml:space="preserve">. Adding these bounds proves (12).</w:t>
      </w:r>
      <w:r>
        <w:t xml:space="preserve"> </w:t>
      </w:r>
      <m:oMath>
        <m:r>
          <m:rPr>
            <m:sty m:val="p"/>
          </m:rPr>
          <m:t>▫</m:t>
        </m:r>
      </m:oMath>
    </w:p>
    <w:p>
      <w:pPr>
        <w:pStyle w:val="BodyText"/>
      </w:pPr>
      <w:r>
        <w:t xml:space="preserve">The closure is a standard hierarchical operation related to single linkage [4,8]. A max-min version of Floyd’s algorithm computes it in</w:t>
      </w:r>
      <w:r>
        <w:t xml:space="preserve"> </w:t>
      </w:r>
      <m:oMath>
        <m:r>
          <m:t>O</m:t>
        </m:r>
        <m:d>
          <m:dPr>
            <m:begChr m:val="("/>
            <m:endChr m:val=")"/>
            <m:sepChr m:val=""/>
            <m:grow/>
          </m:dPr>
          <m:e>
            <m:sSup>
              <m:e>
                <m:r>
                  <m:t>n</m:t>
                </m:r>
              </m:e>
              <m:sup>
                <m:r>
                  <m:t>3</m:t>
                </m:r>
              </m:sup>
            </m:sSup>
          </m:e>
        </m:d>
      </m:oMath>
      <w:r>
        <w:t xml:space="preserve"> </w:t>
      </w:r>
      <w:r>
        <w:t xml:space="preserve">time. The constant in (12) is a conservative guarantee; its sharpness is not asserted. Repair supplies nonnegative, monotone physical set costs, while direct recovery has the sharper guarantee in (8).</w:t>
      </w:r>
    </w:p>
    <w:bookmarkEnd w:id="35"/>
    <w:bookmarkEnd w:id="36"/>
    <w:bookmarkStart w:id="39" w:name="sequential-bayesian-decisions"/>
    <w:p>
      <w:pPr>
        <w:pStyle w:val="Heading1"/>
      </w:pPr>
      <w:r>
        <w:t xml:space="preserve">4. Sequential Bayesian decisions</w:t>
      </w:r>
    </w:p>
    <w:bookmarkStart w:id="37" w:name="exact-finite-horizon-solution"/>
    <w:p>
      <w:pPr>
        <w:pStyle w:val="Heading2"/>
      </w:pPr>
      <w:r>
        <w:t xml:space="preserve">4.1. Exact finite-horizon solution</w:t>
      </w:r>
    </w:p>
    <w:p>
      <w:pPr>
        <w:pStyle w:val="FirstParagraph"/>
      </w:pPr>
      <w:r>
        <w:t xml:space="preserve">Let the latent state</w:t>
      </w:r>
      <w:r>
        <w:t xml:space="preserve"> </w:t>
      </w:r>
      <m:oMath>
        <m:r>
          <m:t>X</m:t>
        </m:r>
      </m:oMath>
      <w:r>
        <w:t xml:space="preserve"> </w:t>
      </w:r>
      <w:r>
        <w:t xml:space="preserve">take values in a finite set</w:t>
      </w:r>
      <w:r>
        <w:t xml:space="preserve"> </w:t>
      </w:r>
      <m:oMath>
        <m:r>
          <m:rPr>
            <m:sty m:val="p"/>
          </m:rPr>
          <m:t>𝒳</m:t>
        </m:r>
      </m:oMath>
      <w:r>
        <w:t xml:space="preserve">, with prior</w:t>
      </w:r>
      <w:r>
        <w:t xml:space="preserve"> </w:t>
      </w:r>
      <m:oMath>
        <m:r>
          <m:t>p</m:t>
        </m:r>
      </m:oMath>
      <w:r>
        <w:t xml:space="preserve">. Source</w:t>
      </w:r>
      <w:r>
        <w:t xml:space="preserve"> </w:t>
      </w:r>
      <m:oMath>
        <m:r>
          <m:t>i</m:t>
        </m:r>
      </m:oMath>
      <w:r>
        <w:t xml:space="preserve"> </w:t>
      </w:r>
      <w:r>
        <w:t xml:space="preserve">returns an observation in a finite set</w:t>
      </w:r>
      <w:r>
        <w:t xml:space="preserve"> </w:t>
      </w:r>
      <m:oMath>
        <m:sSub>
          <m:e>
            <m:r>
              <m:rPr>
                <m:sty m:val="p"/>
              </m:rPr>
              <m:t>𝒴</m:t>
            </m:r>
          </m:e>
          <m:sub>
            <m:r>
              <m:t>i</m:t>
            </m:r>
          </m:sub>
        </m:sSub>
      </m:oMath>
      <w:r>
        <w:t xml:space="preserve">, according to a known likelihood</w:t>
      </w:r>
      <w:r>
        <w:t xml:space="preserve"> </w:t>
      </w:r>
      <m:oMath>
        <m:sSub>
          <m:e>
            <m:r>
              <m:t>L</m:t>
            </m:r>
          </m:e>
          <m:sub>
            <m:r>
              <m:t>i</m:t>
            </m:r>
          </m:sub>
        </m:sSub>
        <m:d>
          <m:dPr>
            <m:begChr m:val="("/>
            <m:endChr m:val=")"/>
            <m:sepChr m:val=""/>
            <m:grow/>
          </m:dPr>
          <m:e>
            <m:r>
              <m:t>y</m:t>
            </m:r>
            <m:r>
              <m:rPr>
                <m:sty m:val="p"/>
              </m:rPr>
              <m:t>∣</m:t>
            </m:r>
            <m:r>
              <m:t>x</m:t>
            </m:r>
          </m:e>
        </m:d>
      </m:oMath>
      <w:r>
        <w:t xml:space="preserve">. Source observations are conditionally independent given</w:t>
      </w:r>
      <w:r>
        <w:t xml:space="preserve"> </w:t>
      </w:r>
      <m:oMath>
        <m:r>
          <m:t>X</m:t>
        </m:r>
      </m:oMath>
      <w:r>
        <w:t xml:space="preserve">.</w:t>
      </w:r>
    </w:p>
    <w:p>
      <w:pPr>
        <w:pStyle w:val="BodyText"/>
        <w:keepNext/>
      </w:pPr>
      <w:r>
        <w:t xml:space="preserve">A final decision</w:t>
      </w:r>
      <w:r>
        <w:t xml:space="preserve"> </w:t>
      </w:r>
      <m:oMath>
        <m:r>
          <m:t>d</m:t>
        </m:r>
      </m:oMath>
      <w:r>
        <w:t xml:space="preserve"> </w:t>
      </w:r>
      <w:r>
        <w:t xml:space="preserve">belongs to a finite set</w:t>
      </w:r>
      <w:r>
        <w:t xml:space="preserve"> </w:t>
      </w:r>
      <m:oMath>
        <m:r>
          <m:rPr>
            <m:sty m:val="p"/>
          </m:rPr>
          <m:t>𝒟</m:t>
        </m:r>
      </m:oMath>
      <w:r>
        <w:t xml:space="preserve">, with loss</w:t>
      </w:r>
      <w:r>
        <w:t xml:space="preserve"> </w:t>
      </w:r>
      <m:oMath>
        <m:r>
          <m:t>0</m:t>
        </m:r>
        <m:r>
          <m:rPr>
            <m:sty m:val="p"/>
          </m:rPr>
          <m:t>≤</m:t>
        </m:r>
        <m:r>
          <m:rPr>
            <m:sty m:val="p"/>
          </m:rPr>
          <m:t>ℓ</m:t>
        </m:r>
        <m:d>
          <m:dPr>
            <m:begChr m:val="("/>
            <m:endChr m:val=")"/>
            <m:sepChr m:val=""/>
            <m:grow/>
          </m:dPr>
          <m:e>
            <m:r>
              <m:t>d</m:t>
            </m:r>
            <m:r>
              <m:rPr>
                <m:sty m:val="p"/>
              </m:rPr>
              <m:t>,</m:t>
            </m:r>
            <m:r>
              <m:t>x</m:t>
            </m:r>
          </m:e>
        </m:d>
        <m:r>
          <m:rPr>
            <m:sty m:val="p"/>
          </m:rPr>
          <m:t>≤</m:t>
        </m:r>
        <m:r>
          <m:t>1</m:t>
        </m:r>
      </m:oMath>
      <w:r>
        <w:t xml:space="preserve">. A policy may stop or query an unqueried source, with at most</w:t>
      </w:r>
      <w:r>
        <w:t xml:space="preserve"> </w:t>
      </w:r>
      <m:oMath>
        <m:r>
          <m:t>B</m:t>
        </m:r>
        <m:r>
          <m:rPr>
            <m:sty m:val="p"/>
          </m:rPr>
          <m:t>≤</m:t>
        </m:r>
        <m:r>
          <m:t>n</m:t>
        </m:r>
      </m:oMath>
      <w:r>
        <w:t xml:space="preserve"> </w:t>
      </w:r>
      <w:r>
        <w:t xml:space="preserve">queries. If its final queried set is</w:t>
      </w:r>
      <w:r>
        <w:t xml:space="preserve"> </w:t>
      </w:r>
      <m:oMath>
        <m:sSub>
          <m:e>
            <m:r>
              <m:t>S</m:t>
            </m:r>
          </m:e>
          <m:sub>
            <m:r>
              <m:t>τ</m:t>
            </m:r>
          </m:sub>
        </m:sSub>
      </m:oMath>
      <w:r>
        <w:t xml:space="preserve">, its objective is</w:t>
      </w:r>
    </w:p>
    <w:p>
      <w:pPr>
        <w:pStyle w:val="Equation"/>
        <w:tabs>
          <w:tab w:pos="4680" w:val="center"/>
          <w:tab w:pos="9792" w:val="right"/>
        </w:tabs>
        <w:jc w:val="left"/>
      </w:pPr>
      <w:r>
        <w:tab/>
      </w:r>
      <m:oMath>
        <m:sSub>
          <m:e>
            <m:r>
              <m:t>J</m:t>
            </m:r>
          </m:e>
          <m:sub>
            <m:r>
              <m:t>F</m:t>
            </m:r>
          </m:sub>
        </m:sSub>
        <m:d>
          <m:dPr>
            <m:begChr m:val="("/>
            <m:endChr m:val=")"/>
            <m:sepChr m:val=""/>
            <m:grow/>
          </m:dPr>
          <m:e>
            <m:r>
              <m:t>π</m:t>
            </m:r>
          </m:e>
        </m:d>
        <m:r>
          <m:rPr>
            <m:sty m:val="p"/>
          </m:rPr>
          <m:t>=</m:t>
        </m:r>
        <m:sSup>
          <m:e>
            <m:r>
              <m:rPr>
                <m:sty m:val="p"/>
              </m:rPr>
              <m:t>𝔼</m:t>
            </m:r>
          </m:e>
          <m:sup>
            <m:r>
              <m:t>π</m:t>
            </m:r>
          </m:sup>
        </m:sSup>
        <m:box>
          <m:e>
            <m:r>
              <m:rPr>
                <m:sty m:val="p"/>
              </m:rPr>
              <m:t>[</m:t>
            </m:r>
            <m:r>
              <m:rPr>
                <m:sty m:val="p"/>
              </m:rPr>
              <m:t>ℓ</m:t>
            </m:r>
            <m:d>
              <m:dPr>
                <m:begChr m:val="("/>
                <m:endChr m:val=")"/>
                <m:sepChr m:val=""/>
                <m:grow/>
              </m:dPr>
              <m:e>
                <m:sSub>
                  <m:e>
                    <m:r>
                      <m:t>d</m:t>
                    </m:r>
                  </m:e>
                  <m:sub>
                    <m:r>
                      <m:t>τ</m:t>
                    </m:r>
                  </m:sub>
                </m:sSub>
                <m:r>
                  <m:rPr>
                    <m:sty m:val="p"/>
                  </m:rPr>
                  <m:t>,</m:t>
                </m:r>
                <m:r>
                  <m:t>X</m:t>
                </m:r>
              </m:e>
            </m:d>
            <m:r>
              <m:rPr>
                <m:sty m:val="p"/>
              </m:rPr>
              <m:t>+</m:t>
            </m:r>
            <m:r>
              <m:t>λ</m:t>
            </m:r>
            <m:r>
              <m:t>F</m:t>
            </m:r>
            <m:d>
              <m:dPr>
                <m:begChr m:val="("/>
                <m:endChr m:val=")"/>
                <m:sepChr m:val=""/>
                <m:grow/>
              </m:dPr>
              <m:e>
                <m:sSub>
                  <m:e>
                    <m:r>
                      <m:t>S</m:t>
                    </m:r>
                  </m:e>
                  <m:sub>
                    <m:r>
                      <m:t>τ</m:t>
                    </m:r>
                  </m:sub>
                </m:sSub>
              </m:e>
            </m:d>
            <m:r>
              <m:rPr>
                <m:sty m:val="p"/>
              </m:rPr>
              <m:t>]</m:t>
            </m:r>
          </m:e>
        </m:box>
        <m:r>
          <m:rPr>
            <m:sty m:val="p"/>
          </m:rPr>
          <m:t>,</m:t>
        </m:r>
        <m:r>
          <m:t>  </m:t>
        </m:r>
        <m:r>
          <m:t>λ</m:t>
        </m:r>
        <m:r>
          <m:rPr>
            <m:sty m:val="p"/>
          </m:rPr>
          <m:t>&gt;</m:t>
        </m:r>
        <m:r>
          <m:t>0</m:t>
        </m:r>
        <m:r>
          <m:rPr>
            <m:sty m:val="p"/>
          </m:rPr>
          <m:t>.</m:t>
        </m:r>
      </m:oMath>
      <w:r>
        <w:tab/>
        <w:t>(13)</w:t>
      </w:r>
    </w:p>
    <w:p>
      <w:pPr>
        <w:pStyle w:val="BodyText"/>
      </w:pPr>
      <w:r>
        <w:t xml:space="preserve">The query limit is a call budget; monetary cost appears as a penalty. A hard monetary constraint would make the admissible policy class depend on the estimated cost and requires separate treatment.</w:t>
      </w:r>
    </w:p>
    <w:p>
      <w:pPr>
        <w:pStyle w:val="BodyText"/>
        <w:keepNext/>
      </w:pPr>
      <w:r>
        <w:t xml:space="preserve">For posterior</w:t>
      </w:r>
      <w:r>
        <w:t xml:space="preserve"> </w:t>
      </w:r>
      <m:oMath>
        <m:r>
          <m:t>p</m:t>
        </m:r>
      </m:oMath>
      <w:r>
        <w:t xml:space="preserve">, define</w:t>
      </w:r>
    </w:p>
    <w:p>
      <w:pPr>
        <w:pStyle w:val="Equation"/>
        <w:keepNext/>
        <w:jc w:val="center"/>
      </w:pPr>
      <m:oMathPara>
        <m:oMathParaPr>
          <m:jc m:val="center"/>
        </m:oMathParaPr>
        <m:oMath>
          <m:r>
            <m:t>r</m:t>
          </m:r>
          <m:d>
            <m:dPr>
              <m:begChr m:val="("/>
              <m:endChr m:val=")"/>
              <m:sepChr m:val=""/>
              <m:grow/>
            </m:dPr>
            <m:e>
              <m:r>
                <m:t>p</m:t>
              </m:r>
            </m:e>
          </m:d>
          <m:r>
            <m:rPr>
              <m:sty m:val="p"/>
            </m:rPr>
            <m:t>=</m:t>
          </m:r>
          <m:limLow>
            <m:e>
              <m:r>
                <m:rPr>
                  <m:sty m:val="p"/>
                  <m:nor/>
                </m:rPr>
                <m:t>min</m:t>
              </m:r>
            </m:e>
            <m:lim>
              <m:r>
                <m:t>d</m:t>
              </m:r>
              <m:r>
                <m:rPr>
                  <m:sty m:val="p"/>
                </m:rPr>
                <m:t>∈</m:t>
              </m:r>
              <m:r>
                <m:rPr>
                  <m:sty m:val="p"/>
                </m:rPr>
                <m:t>𝒟</m:t>
              </m:r>
            </m:lim>
          </m:limLow>
          <m:nary>
            <m:naryPr>
              <m:chr m:val="∑"/>
              <m:limLoc m:val="undOvr"/>
              <m:subHide m:val="off"/>
              <m:supHide m:val="on"/>
            </m:naryPr>
            <m:sub>
              <m:r>
                <m:t>x</m:t>
              </m:r>
            </m:sub>
            <m:sup>
              <m:r>
                <m:t>​</m:t>
              </m:r>
            </m:sup>
            <m:e>
              <m:r>
                <m:t>p</m:t>
              </m:r>
            </m:e>
          </m:nary>
          <m:d>
            <m:dPr>
              <m:begChr m:val="("/>
              <m:endChr m:val=")"/>
              <m:sepChr m:val=""/>
              <m:grow/>
            </m:dPr>
            <m:e>
              <m:r>
                <m:t>x</m:t>
              </m:r>
            </m:e>
          </m:d>
          <m:r>
            <m:rPr>
              <m:sty m:val="p"/>
            </m:rPr>
            <m:t>ℓ</m:t>
          </m:r>
          <m:d>
            <m:dPr>
              <m:begChr m:val="("/>
              <m:endChr m:val=")"/>
              <m:sepChr m:val=""/>
              <m:grow/>
            </m:dPr>
            <m:e>
              <m:r>
                <m:t>d</m:t>
              </m:r>
              <m:r>
                <m:rPr>
                  <m:sty m:val="p"/>
                </m:rPr>
                <m:t>,</m:t>
              </m:r>
              <m:r>
                <m:t>x</m:t>
              </m:r>
            </m:e>
          </m:d>
          <m:r>
            <m:rPr>
              <m:sty m:val="p"/>
            </m:rPr>
            <m:t>,</m:t>
          </m:r>
        </m:oMath>
      </m:oMathPara>
    </w:p>
    <w:p>
      <w:pPr>
        <w:pStyle w:val="Equation"/>
        <w:tabs>
          <w:tab w:pos="4680" w:val="center"/>
          <w:tab w:pos="9792" w:val="right"/>
        </w:tabs>
        <w:jc w:val="left"/>
      </w:pPr>
      <w:r>
        <w:tab/>
      </w:r>
      <m:oMath>
        <m:sSub>
          <m:e>
            <m:r>
              <m:t>q</m:t>
            </m:r>
          </m:e>
          <m:sub>
            <m:r>
              <m:t>i</m:t>
            </m:r>
          </m:sub>
        </m:sSub>
        <m:d>
          <m:dPr>
            <m:begChr m:val="("/>
            <m:endChr m:val=")"/>
            <m:sepChr m:val=""/>
            <m:grow/>
          </m:dPr>
          <m:e>
            <m:r>
              <m:t>y</m:t>
            </m:r>
            <m:r>
              <m:rPr>
                <m:sty m:val="p"/>
              </m:rPr>
              <m:t>∣</m:t>
            </m:r>
            <m:r>
              <m:t>p</m:t>
            </m:r>
          </m:e>
        </m:d>
        <m:r>
          <m:rPr>
            <m:sty m:val="p"/>
          </m:rPr>
          <m:t>=</m:t>
        </m:r>
        <m:nary>
          <m:naryPr>
            <m:chr m:val="∑"/>
            <m:limLoc m:val="undOvr"/>
            <m:subHide m:val="off"/>
            <m:supHide m:val="on"/>
          </m:naryPr>
          <m:sub>
            <m:r>
              <m:t>x</m:t>
            </m:r>
          </m:sub>
          <m:sup>
            <m:r>
              <m:t>​</m:t>
            </m:r>
          </m:sup>
          <m:e>
            <m:r>
              <m:t>p</m:t>
            </m:r>
          </m:e>
        </m:nary>
        <m:d>
          <m:dPr>
            <m:begChr m:val="("/>
            <m:endChr m:val=")"/>
            <m:sepChr m:val=""/>
            <m:grow/>
          </m:dPr>
          <m:e>
            <m:r>
              <m:t>x</m:t>
            </m:r>
          </m:e>
        </m:d>
        <m:sSub>
          <m:e>
            <m:r>
              <m:t>L</m:t>
            </m:r>
          </m:e>
          <m:sub>
            <m:r>
              <m:t>i</m:t>
            </m:r>
          </m:sub>
        </m:sSub>
        <m:d>
          <m:dPr>
            <m:begChr m:val="("/>
            <m:endChr m:val=")"/>
            <m:sepChr m:val=""/>
            <m:grow/>
          </m:dPr>
          <m:e>
            <m:r>
              <m:t>y</m:t>
            </m:r>
            <m:r>
              <m:rPr>
                <m:sty m:val="p"/>
              </m:rPr>
              <m:t>∣</m:t>
            </m:r>
            <m:r>
              <m:t>x</m:t>
            </m:r>
          </m:e>
        </m:d>
        <m:r>
          <m:rPr>
            <m:sty m:val="p"/>
          </m:rPr>
          <m:t>,</m:t>
        </m:r>
        <m:r>
          <m:t>  </m:t>
        </m:r>
        <m:sSub>
          <m:e>
            <m:r>
              <m:t>T</m:t>
            </m:r>
          </m:e>
          <m:sub>
            <m:r>
              <m:t>i</m:t>
            </m:r>
          </m:sub>
        </m:sSub>
        <m:d>
          <m:dPr>
            <m:begChr m:val="("/>
            <m:endChr m:val=")"/>
            <m:sepChr m:val=""/>
            <m:grow/>
          </m:dPr>
          <m:e>
            <m:r>
              <m:t>p</m:t>
            </m:r>
            <m:r>
              <m:rPr>
                <m:sty m:val="p"/>
              </m:rPr>
              <m:t>,</m:t>
            </m:r>
            <m:r>
              <m:t>y</m:t>
            </m:r>
          </m:e>
        </m:d>
        <m:d>
          <m:dPr>
            <m:begChr m:val="("/>
            <m:endChr m:val=")"/>
            <m:sepChr m:val=""/>
            <m:grow/>
          </m:dPr>
          <m:e>
            <m:r>
              <m:t>x</m:t>
            </m:r>
          </m:e>
        </m:d>
        <m:r>
          <m:rPr>
            <m:sty m:val="p"/>
          </m:rPr>
          <m:t>=</m:t>
        </m:r>
        <m:f>
          <m:fPr>
            <m:type m:val="bar"/>
          </m:fPr>
          <m:num>
            <m:r>
              <m:t>p</m:t>
            </m:r>
            <m:d>
              <m:dPr>
                <m:begChr m:val="("/>
                <m:endChr m:val=")"/>
                <m:sepChr m:val=""/>
                <m:grow/>
              </m:dPr>
              <m:e>
                <m:r>
                  <m:t>x</m:t>
                </m:r>
              </m:e>
            </m:d>
            <m:sSub>
              <m:e>
                <m:r>
                  <m:t>L</m:t>
                </m:r>
              </m:e>
              <m:sub>
                <m:r>
                  <m:t>i</m:t>
                </m:r>
              </m:sub>
            </m:sSub>
            <m:d>
              <m:dPr>
                <m:begChr m:val="("/>
                <m:endChr m:val=")"/>
                <m:sepChr m:val=""/>
                <m:grow/>
              </m:dPr>
              <m:e>
                <m:r>
                  <m:t>y</m:t>
                </m:r>
                <m:r>
                  <m:rPr>
                    <m:sty m:val="p"/>
                  </m:rPr>
                  <m:t>∣</m:t>
                </m:r>
                <m:r>
                  <m:t>x</m:t>
                </m:r>
              </m:e>
            </m:d>
          </m:num>
          <m:den>
            <m:sSub>
              <m:e>
                <m:r>
                  <m:t>q</m:t>
                </m:r>
              </m:e>
              <m:sub>
                <m:r>
                  <m:t>i</m:t>
                </m:r>
              </m:sub>
            </m:sSub>
            <m:d>
              <m:dPr>
                <m:begChr m:val="("/>
                <m:endChr m:val=")"/>
                <m:sepChr m:val=""/>
                <m:grow/>
              </m:dPr>
              <m:e>
                <m:r>
                  <m:t>y</m:t>
                </m:r>
                <m:r>
                  <m:rPr>
                    <m:sty m:val="p"/>
                  </m:rPr>
                  <m:t>∣</m:t>
                </m:r>
                <m:r>
                  <m:t>p</m:t>
                </m:r>
              </m:e>
            </m:d>
          </m:den>
        </m:f>
        <m:r>
          <m:rPr>
            <m:sty m:val="p"/>
          </m:rPr>
          <m:t>.</m:t>
        </m:r>
      </m:oMath>
      <w:r>
        <w:tab/>
        <w:t>(14)</w:t>
      </w:r>
    </w:p>
    <w:p>
      <w:pPr>
        <w:pStyle w:val="BodyText"/>
      </w:pPr>
      <w:r>
        <w:t xml:space="preserve">Outcomes of zero predictive probability are omitted.</w:t>
      </w:r>
    </w:p>
    <w:p>
      <w:pPr>
        <w:pStyle w:val="BodyText"/>
        <w:keepNext/>
        <w:spacing w:before="140" w:after="100"/>
      </w:pPr>
      <w:r>
        <w:rPr>
          <w:bCs/>
          <w:b/>
        </w:rPr>
        <w:t xml:space="preserve">Proposition 4.1 — Bellman recursion.</w:t>
      </w:r>
      <w:r>
        <w:t xml:space="preserve"> </w:t>
      </w:r>
      <w:r>
        <w:t xml:space="preserve">The minimum expected remaining loss and future acquisition cost, after querying</w:t>
      </w:r>
      <w:r>
        <w:t xml:space="preserve"> </w:t>
      </w:r>
      <m:oMath>
        <m:r>
          <m:t>A</m:t>
        </m:r>
      </m:oMath>
      <w:r>
        <w:t xml:space="preserve"> </w:t>
      </w:r>
      <w:r>
        <w:t xml:space="preserve">and with</w:t>
      </w:r>
      <w:r>
        <w:t xml:space="preserve"> </w:t>
      </w:r>
      <m:oMath>
        <m:r>
          <m:t>b</m:t>
        </m:r>
      </m:oMath>
      <w:r>
        <w:t xml:space="preserve"> </w:t>
      </w:r>
      <w:r>
        <w:t xml:space="preserve">calls remaining, is</w:t>
      </w:r>
    </w:p>
    <w:p>
      <w:pPr>
        <w:pStyle w:val="Equation"/>
        <w:tabs>
          <w:tab w:pos="4680" w:val="center"/>
          <w:tab w:pos="9792" w:val="right"/>
        </w:tabs>
        <w:jc w:val="left"/>
      </w:pPr>
      <w:r>
        <w:tab/>
      </w:r>
      <m:oMath>
        <m:sSub>
          <m:e>
            <m:r>
              <m:t>V</m:t>
            </m:r>
          </m:e>
          <m:sub>
            <m:r>
              <m:t>0</m:t>
            </m:r>
          </m:sub>
        </m:sSub>
        <m:d>
          <m:dPr>
            <m:begChr m:val="("/>
            <m:endChr m:val=")"/>
            <m:sepChr m:val=""/>
            <m:grow/>
          </m:dPr>
          <m:e>
            <m:r>
              <m:t>p</m:t>
            </m:r>
            <m:r>
              <m:rPr>
                <m:sty m:val="p"/>
              </m:rPr>
              <m:t>,</m:t>
            </m:r>
            <m:r>
              <m:t>A</m:t>
            </m:r>
          </m:e>
        </m:d>
        <m:r>
          <m:rPr>
            <m:sty m:val="p"/>
          </m:rPr>
          <m:t>=</m:t>
        </m:r>
        <m:r>
          <m:t>r</m:t>
        </m:r>
        <m:d>
          <m:dPr>
            <m:begChr m:val="("/>
            <m:endChr m:val=")"/>
            <m:sepChr m:val=""/>
            <m:grow/>
          </m:dPr>
          <m:e>
            <m:r>
              <m:t>p</m:t>
            </m:r>
          </m:e>
        </m:d>
        <m:r>
          <m:rPr>
            <m:sty m:val="p"/>
          </m:rPr>
          <m:t>,</m:t>
        </m:r>
      </m:oMath>
      <w:r>
        <w:tab/>
        <w:t>(15)</w:t>
      </w:r>
    </w:p>
    <w:p>
      <w:pPr>
        <w:pStyle w:val="BodyText"/>
        <w:keepNext/>
      </w:pPr>
      <w:r>
        <w:t xml:space="preserve">and, for</w:t>
      </w:r>
      <w:r>
        <w:t xml:space="preserve"> </w:t>
      </w:r>
      <m:oMath>
        <m:r>
          <m:t>b</m:t>
        </m:r>
        <m:r>
          <m:rPr>
            <m:sty m:val="p"/>
          </m:rPr>
          <m:t>≥</m:t>
        </m:r>
        <m:r>
          <m:t>1</m:t>
        </m:r>
      </m:oMath>
      <w:r>
        <w:t xml:space="preserve">,</w:t>
      </w:r>
    </w:p>
    <w:p>
      <w:pPr>
        <w:pStyle w:val="Equation"/>
        <w:tabs>
          <w:tab w:pos="4680" w:val="center"/>
          <w:tab w:pos="9792" w:val="right"/>
        </w:tabs>
        <w:jc w:val="left"/>
      </w:pPr>
      <w:r>
        <w:tab/>
      </w:r>
      <m:oMath>
        <m:eqArr>
          <m:eqArrPr>
            <m:baseJc m:val="center"/>
          </m:eqArrPr>
          <m:e>
            <m:sSub>
              <m:e>
                <m:r>
                  <m:t>V</m:t>
                </m:r>
              </m:e>
              <m:sub>
                <m:r>
                  <m:t>b</m:t>
                </m:r>
              </m:sub>
            </m:sSub>
            <m:d>
              <m:dPr>
                <m:begChr m:val="("/>
                <m:endChr m:val=")"/>
                <m:sepChr m:val=""/>
                <m:grow/>
              </m:dPr>
              <m:e>
                <m:r>
                  <m:t>p</m:t>
                </m:r>
                <m:r>
                  <m:rPr>
                    <m:sty m:val="p"/>
                  </m:rPr>
                  <m:t>,</m:t>
                </m:r>
                <m:r>
                  <m:t>A</m:t>
                </m:r>
              </m:e>
            </m:d>
            <m:r>
              <m:rPr>
                <m:sty m:val="p"/>
              </m:rPr>
              <m:t>=</m:t>
            </m:r>
            <m:r>
              <m:rPr>
                <m:sty m:val="p"/>
                <m:nor/>
              </m:rPr>
              <m:t>min</m:t>
            </m:r>
            <m:r>
              <m:rPr>
                <m:sty m:val="p"/>
              </m:rPr>
              <m:t>{</m:t>
            </m:r>
            <m:r>
              <m:t>r</m:t>
            </m:r>
            <m:d>
              <m:dPr>
                <m:begChr m:val="("/>
                <m:endChr m:val=")"/>
                <m:sepChr m:val=""/>
                <m:grow/>
              </m:dPr>
              <m:e>
                <m:r>
                  <m:t>p</m:t>
                </m:r>
              </m:e>
            </m:d>
            <m:r>
              <m:rPr>
                <m:sty m:val="p"/>
              </m:rPr>
              <m:t>,</m:t>
            </m:r>
            <m:r>
              <m:t> </m:t>
            </m:r>
            <m:limLow>
              <m:e>
                <m:r>
                  <m:rPr>
                    <m:sty m:val="p"/>
                    <m:nor/>
                  </m:rPr>
                  <m:t>min</m:t>
                </m:r>
              </m:e>
              <m:lim>
                <m:r>
                  <m:t>i</m:t>
                </m:r>
                <m:r>
                  <m:rPr>
                    <m:sty m:val="p"/>
                  </m:rPr>
                  <m:t>∉</m:t>
                </m:r>
                <m:r>
                  <m:t>A</m:t>
                </m:r>
              </m:lim>
            </m:limLow>
            <m:r>
              <m:rPr>
                <m:sty m:val="p"/>
              </m:rPr>
              <m:t>[</m:t>
            </m:r>
            <m:r>
              <m:t>λ</m:t>
            </m:r>
            <m:d>
              <m:dPr>
                <m:begChr m:val="("/>
                <m:endChr m:val=")"/>
                <m:sepChr m:val=""/>
                <m:grow/>
              </m:dPr>
              <m:e>
                <m:r>
                  <m:t>F</m:t>
                </m:r>
                <m:d>
                  <m:dPr>
                    <m:begChr m:val="("/>
                    <m:endChr m:val=")"/>
                    <m:sepChr m:val=""/>
                    <m:grow/>
                  </m:dPr>
                  <m:e>
                    <m:r>
                      <m:t>A</m:t>
                    </m:r>
                    <m:r>
                      <m:rPr>
                        <m:sty m:val="p"/>
                      </m:rPr>
                      <m:t>∪</m:t>
                    </m:r>
                    <m:r>
                      <m:rPr>
                        <m:sty m:val="p"/>
                      </m:rPr>
                      <m:t>{</m:t>
                    </m:r>
                    <m:r>
                      <m:t>i</m:t>
                    </m:r>
                    <m:r>
                      <m:rPr>
                        <m:sty m:val="p"/>
                      </m:rPr>
                      <m:t>}</m:t>
                    </m:r>
                  </m:e>
                </m:d>
                <m:r>
                  <m:rPr>
                    <m:sty m:val="p"/>
                  </m:rPr>
                  <m:t>−</m:t>
                </m:r>
                <m:r>
                  <m:t>F</m:t>
                </m:r>
                <m:d>
                  <m:dPr>
                    <m:begChr m:val="("/>
                    <m:endChr m:val=")"/>
                    <m:sepChr m:val=""/>
                    <m:grow/>
                  </m:dPr>
                  <m:e>
                    <m:r>
                      <m:t>A</m:t>
                    </m:r>
                  </m:e>
                </m:d>
              </m:e>
            </m:d>
          </m:e>
          <m:e>
            <m:r>
              <m:rPr>
                <m:sty m:val="p"/>
              </m:rPr>
              <m:t>+</m:t>
            </m:r>
            <m:nary>
              <m:naryPr>
                <m:chr m:val="∑"/>
                <m:limLoc m:val="undOvr"/>
                <m:subHide m:val="off"/>
                <m:supHide m:val="on"/>
              </m:naryPr>
              <m:sub>
                <m:r>
                  <m:t>y</m:t>
                </m:r>
              </m:sub>
              <m:sup>
                <m:r>
                  <m:t>​</m:t>
                </m:r>
              </m:sup>
              <m:e>
                <m:sSub>
                  <m:e>
                    <m:r>
                      <m:t>q</m:t>
                    </m:r>
                  </m:e>
                  <m:sub>
                    <m:r>
                      <m:t>i</m:t>
                    </m:r>
                  </m:sub>
                </m:sSub>
              </m:e>
            </m:nary>
            <m:d>
              <m:dPr>
                <m:begChr m:val="("/>
                <m:endChr m:val=")"/>
                <m:sepChr m:val=""/>
                <m:grow/>
              </m:dPr>
              <m:e>
                <m:r>
                  <m:t>y</m:t>
                </m:r>
                <m:r>
                  <m:rPr>
                    <m:sty m:val="p"/>
                  </m:rPr>
                  <m:t>∣</m:t>
                </m:r>
                <m:r>
                  <m:t>p</m:t>
                </m:r>
              </m:e>
            </m:d>
            <m:sSub>
              <m:e>
                <m:r>
                  <m:t>V</m:t>
                </m:r>
              </m:e>
              <m:sub>
                <m:r>
                  <m:t>b</m:t>
                </m:r>
                <m:r>
                  <m:rPr>
                    <m:sty m:val="p"/>
                  </m:rPr>
                  <m:t>−</m:t>
                </m:r>
                <m:r>
                  <m:t>1</m:t>
                </m:r>
              </m:sub>
            </m:sSub>
            <m:d>
              <m:dPr>
                <m:begChr m:val="("/>
                <m:endChr m:val=")"/>
                <m:sepChr m:val=""/>
                <m:grow/>
              </m:dPr>
              <m:e>
                <m:sSub>
                  <m:e>
                    <m:r>
                      <m:t>T</m:t>
                    </m:r>
                  </m:e>
                  <m:sub>
                    <m:r>
                      <m:t>i</m:t>
                    </m:r>
                  </m:sub>
                </m:sSub>
                <m:d>
                  <m:dPr>
                    <m:begChr m:val="("/>
                    <m:endChr m:val=")"/>
                    <m:sepChr m:val=""/>
                    <m:grow/>
                  </m:dPr>
                  <m:e>
                    <m:r>
                      <m:t>p</m:t>
                    </m:r>
                    <m:r>
                      <m:rPr>
                        <m:sty m:val="p"/>
                      </m:rPr>
                      <m:t>,</m:t>
                    </m:r>
                    <m:r>
                      <m:t>y</m:t>
                    </m:r>
                  </m:e>
                </m:d>
                <m:r>
                  <m:rPr>
                    <m:sty m:val="p"/>
                  </m:rPr>
                  <m:t>,</m:t>
                </m:r>
                <m:r>
                  <m:t>A</m:t>
                </m:r>
                <m:r>
                  <m:rPr>
                    <m:sty m:val="p"/>
                  </m:rPr>
                  <m:t>∪</m:t>
                </m:r>
                <m:r>
                  <m:rPr>
                    <m:sty m:val="p"/>
                  </m:rPr>
                  <m:t>{</m:t>
                </m:r>
                <m:r>
                  <m:t>i</m:t>
                </m:r>
                <m:r>
                  <m:rPr>
                    <m:sty m:val="p"/>
                  </m:rPr>
                  <m:t>}</m:t>
                </m:r>
              </m:e>
            </m:d>
            <m:r>
              <m:rPr>
                <m:sty m:val="p"/>
              </m:rPr>
              <m:t>]</m:t>
            </m:r>
            <m:r>
              <m:rPr>
                <m:sty m:val="p"/>
              </m:rPr>
              <m:t>}</m:t>
            </m:r>
            <m:r>
              <m:rPr>
                <m:sty m:val="p"/>
              </m:rPr>
              <m:t>.</m:t>
            </m:r>
          </m:e>
        </m:eqArr>
      </m:oMath>
      <w:r>
        <w:tab/>
        <w:t>(16)</w:t>
      </w:r>
    </w:p>
    <w:p>
      <w:pPr>
        <w:pStyle w:val="BodyText"/>
      </w:pPr>
      <w:r>
        <w:t xml:space="preserve">If no source remains, only the stopping term is used. A deterministic optimal policy exists.</w:t>
      </w:r>
    </w:p>
    <w:p>
      <w:pPr>
        <w:pStyle w:val="BodyText"/>
      </w:pPr>
      <w:r>
        <w:rPr>
          <w:iCs/>
          <w:i/>
        </w:rPr>
        <w:t xml:space="preserve">Proof.</w:t>
      </w:r>
      <w:r>
        <w:t xml:space="preserve"> </w:t>
      </w:r>
      <w:r>
        <w:t xml:space="preserve">Conditional independence makes</w:t>
      </w:r>
      <w:r>
        <w:t xml:space="preserve"> </w:t>
      </w:r>
      <m:oMath>
        <m:d>
          <m:dPr>
            <m:begChr m:val="("/>
            <m:endChr m:val=")"/>
            <m:sepChr m:val=""/>
            <m:grow/>
          </m:dPr>
          <m:e>
            <m:r>
              <m:t>p</m:t>
            </m:r>
            <m:r>
              <m:rPr>
                <m:sty m:val="p"/>
              </m:rPr>
              <m:t>,</m:t>
            </m:r>
            <m:r>
              <m:t>A</m:t>
            </m:r>
            <m:r>
              <m:rPr>
                <m:sty m:val="p"/>
              </m:rPr>
              <m:t>,</m:t>
            </m:r>
            <m:r>
              <m:t>b</m:t>
            </m:r>
          </m:e>
        </m:d>
      </m:oMath>
      <w:r>
        <w:t xml:space="preserve"> </w:t>
      </w:r>
      <w:r>
        <w:t xml:space="preserve">sufficient for predicting every remaining observation. Stopping incurs Bayes risk</w:t>
      </w:r>
      <w:r>
        <w:t xml:space="preserve"> </w:t>
      </w:r>
      <m:oMath>
        <m:r>
          <m:t>r</m:t>
        </m:r>
        <m:d>
          <m:dPr>
            <m:begChr m:val="("/>
            <m:endChr m:val=")"/>
            <m:sepChr m:val=""/>
            <m:grow/>
          </m:dPr>
          <m:e>
            <m:r>
              <m:t>p</m:t>
            </m:r>
          </m:e>
        </m:d>
      </m:oMath>
      <w:r>
        <w:t xml:space="preserve">. Querying</w:t>
      </w:r>
      <w:r>
        <w:t xml:space="preserve"> </w:t>
      </w:r>
      <m:oMath>
        <m:r>
          <m:t>i</m:t>
        </m:r>
      </m:oMath>
      <w:r>
        <w:t xml:space="preserve"> </w:t>
      </w:r>
      <w:r>
        <w:t xml:space="preserve">incurs its marginal cost and the optimal continuation value under the updated posterior.</w:t>
      </w:r>
    </w:p>
    <w:p>
      <w:pPr>
        <w:pStyle w:val="BodyText"/>
      </w:pPr>
      <w:r>
        <w:t xml:space="preserve">Backward induction over</w:t>
      </w:r>
      <w:r>
        <w:t xml:space="preserve"> </w:t>
      </w:r>
      <m:oMath>
        <m:r>
          <m:t>b</m:t>
        </m:r>
      </m:oMath>
      <w:r>
        <w:t xml:space="preserve"> </w:t>
      </w:r>
      <w:r>
        <w:t xml:space="preserve">proves (15)–(16). The action and observation sets are finite, so every minimum is attained. Marginal costs telescope to</w:t>
      </w:r>
      <w:r>
        <w:t xml:space="preserve"> </w:t>
      </w:r>
      <m:oMath>
        <m:r>
          <m:t>F</m:t>
        </m:r>
        <m:d>
          <m:dPr>
            <m:begChr m:val="("/>
            <m:endChr m:val=")"/>
            <m:sepChr m:val=""/>
            <m:grow/>
          </m:dPr>
          <m:e>
            <m:sSub>
              <m:e>
                <m:r>
                  <m:t>S</m:t>
                </m:r>
              </m:e>
              <m:sub>
                <m:r>
                  <m:t>τ</m:t>
                </m:r>
              </m:sub>
            </m:sSub>
          </m:e>
        </m:d>
      </m:oMath>
      <w:r>
        <w:t xml:space="preserve">, giving (13) at the initial state.</w:t>
      </w:r>
      <w:r>
        <w:t xml:space="preserve"> </w:t>
      </w:r>
      <m:oMath>
        <m:r>
          <m:rPr>
            <m:sty m:val="p"/>
          </m:rPr>
          <m:t>▫</m:t>
        </m:r>
      </m:oMath>
    </w:p>
    <w:p>
      <w:pPr>
        <w:pStyle w:val="BodyText"/>
        <w:keepNext/>
      </w:pPr>
      <w:r>
        <w:t xml:space="preserve">This specializes finite-horizon belief-state dynamic programming [11,20]. With at most</w:t>
      </w:r>
      <w:r>
        <w:t xml:space="preserve"> </w:t>
      </w:r>
      <m:oMath>
        <m:r>
          <m:t>q</m:t>
        </m:r>
      </m:oMath>
      <w:r>
        <w:t xml:space="preserve"> </w:t>
      </w:r>
      <w:r>
        <w:t xml:space="preserve">outcomes per source, there are at most</w:t>
      </w:r>
    </w:p>
    <w:p>
      <w:pPr>
        <w:pStyle w:val="Equation"/>
        <w:jc w:val="center"/>
      </w:pPr>
      <m:oMathPara>
        <m:oMathParaPr>
          <m:jc m:val="center"/>
        </m:oMathParaPr>
        <m:oMath>
          <m:nary>
            <m:naryPr>
              <m:chr m:val="∑"/>
              <m:limLoc m:val="undOvr"/>
              <m:subHide m:val="off"/>
              <m:supHide m:val="off"/>
            </m:naryPr>
            <m:sub>
              <m:r>
                <m:t>m</m:t>
              </m:r>
              <m:r>
                <m:rPr>
                  <m:sty m:val="p"/>
                </m:rPr>
                <m:t>=</m:t>
              </m:r>
              <m:r>
                <m:t>0</m:t>
              </m:r>
            </m:sub>
            <m:sup>
              <m:r>
                <m:t>B</m:t>
              </m:r>
            </m:sup>
            <m:e>
              <m:d>
                <m:dPr>
                  <m:begChr m:val="("/>
                  <m:endChr m:val=")"/>
                  <m:sepChr m:val=""/>
                  <m:grow/>
                </m:dPr>
                <m:e>
                  <m:f>
                    <m:fPr>
                      <m:type m:val="noBar"/>
                    </m:fPr>
                    <m:num>
                      <m:r>
                        <m:t>n</m:t>
                      </m:r>
                    </m:num>
                    <m:den>
                      <m:r>
                        <m:t>m</m:t>
                      </m:r>
                    </m:den>
                  </m:f>
                </m:e>
              </m:d>
            </m:e>
          </m:nary>
          <m:sSup>
            <m:e>
              <m:r>
                <m:t>q</m:t>
              </m:r>
            </m:e>
            <m:sup>
              <m:r>
                <m:t>m</m:t>
              </m:r>
            </m:sup>
          </m:sSup>
        </m:oMath>
      </m:oMathPara>
    </w:p>
    <w:p>
      <w:pPr>
        <w:pStyle w:val="FirstParagraph"/>
      </w:pPr>
      <w:r>
        <w:t xml:space="preserve">partial observation assignments from a fixed prior. Compact representation of acquisition costs therefore does not make exact adaptive optimization polynomial.</w:t>
      </w:r>
    </w:p>
    <w:p>
      <w:pPr>
        <w:pStyle w:val="BodyText"/>
      </w:pPr>
      <w:r>
        <w:t xml:space="preserve">The same recursion applies to</w:t>
      </w:r>
      <w:r>
        <w:t xml:space="preserve"> </w:t>
      </w:r>
      <m:oMath>
        <m:r>
          <m:t>H</m:t>
        </m:r>
      </m:oMath>
      <w:r>
        <w:t xml:space="preserve">, using differences</w:t>
      </w:r>
      <w:r>
        <w:t xml:space="preserve"> </w:t>
      </w:r>
      <m:oMath>
        <m:r>
          <m:t>H</m:t>
        </m:r>
        <m:d>
          <m:dPr>
            <m:begChr m:val="("/>
            <m:endChr m:val=")"/>
            <m:sepChr m:val=""/>
            <m:grow/>
          </m:dPr>
          <m:e>
            <m:r>
              <m:t>A</m:t>
            </m:r>
            <m:r>
              <m:rPr>
                <m:sty m:val="p"/>
              </m:rPr>
              <m:t>∪</m:t>
            </m:r>
            <m:r>
              <m:rPr>
                <m:sty m:val="p"/>
              </m:rPr>
              <m:t>{</m:t>
            </m:r>
            <m:r>
              <m:t>i</m:t>
            </m:r>
            <m:r>
              <m:rPr>
                <m:sty m:val="p"/>
              </m:rPr>
              <m:t>}</m:t>
            </m:r>
          </m:e>
        </m:d>
        <m:r>
          <m:rPr>
            <m:sty m:val="p"/>
          </m:rPr>
          <m:t>−</m:t>
        </m:r>
        <m:r>
          <m:t>H</m:t>
        </m:r>
        <m:d>
          <m:dPr>
            <m:begChr m:val="("/>
            <m:endChr m:val=")"/>
            <m:sepChr m:val=""/>
            <m:grow/>
          </m:dPr>
          <m:e>
            <m:r>
              <m:t>A</m:t>
            </m:r>
          </m:e>
        </m:d>
      </m:oMath>
      <w:r>
        <w:t xml:space="preserve">. When raw measurements are incompatible, these differences must be evaluated from the set estimate: formula (4) need not hold for noisy overlaps. Negative surrogate increments do not invalidate finite-horizon optimization, although they lack a physical activation-cost interpretation.</w:t>
      </w:r>
    </w:p>
    <w:bookmarkEnd w:id="37"/>
    <w:bookmarkStart w:id="38" w:name="stability-of-values-and-policies"/>
    <w:p>
      <w:pPr>
        <w:pStyle w:val="Heading2"/>
      </w:pPr>
      <w:r>
        <w:t xml:space="preserve">4.2. Stability of values and policies</w:t>
      </w:r>
    </w:p>
    <w:p>
      <w:pPr>
        <w:pStyle w:val="FirstParagraph"/>
        <w:keepNext/>
      </w:pPr>
      <w:r>
        <w:t xml:space="preserve">Write</w:t>
      </w:r>
      <w:r>
        <w:t xml:space="preserve"> </w:t>
      </w:r>
      <m:oMath>
        <m:sSub>
          <m:e>
            <m:r>
              <m:t>V</m:t>
            </m:r>
          </m:e>
          <m:sub>
            <m:r>
              <m:t>F</m:t>
            </m:r>
          </m:sub>
        </m:sSub>
        <m:r>
          <m:rPr>
            <m:sty m:val="p"/>
          </m:rPr>
          <m:t>=</m:t>
        </m:r>
        <m:sSub>
          <m:e>
            <m:r>
              <m:rPr>
                <m:sty m:val="p"/>
                <m:nor/>
              </m:rPr>
              <m:t>min</m:t>
            </m:r>
          </m:e>
          <m:sub>
            <m:r>
              <m:t>π</m:t>
            </m:r>
          </m:sub>
        </m:sSub>
        <m:sSub>
          <m:e>
            <m:r>
              <m:t>J</m:t>
            </m:r>
          </m:e>
          <m:sub>
            <m:r>
              <m:t>F</m:t>
            </m:r>
          </m:sub>
        </m:sSub>
        <m:d>
          <m:dPr>
            <m:begChr m:val="("/>
            <m:endChr m:val=")"/>
            <m:sepChr m:val=""/>
            <m:grow/>
          </m:dPr>
          <m:e>
            <m:r>
              <m:t>π</m:t>
            </m:r>
          </m:e>
        </m:d>
      </m:oMath>
      <w:r>
        <w:t xml:space="preserve">,</w:t>
      </w:r>
      <w:r>
        <w:t xml:space="preserve"> </w:t>
      </w:r>
      <m:oMath>
        <m:sSub>
          <m:e>
            <m:r>
              <m:t>V</m:t>
            </m:r>
          </m:e>
          <m:sub>
            <m:r>
              <m:t>H</m:t>
            </m:r>
          </m:sub>
        </m:sSub>
        <m:r>
          <m:rPr>
            <m:sty m:val="p"/>
          </m:rPr>
          <m:t>=</m:t>
        </m:r>
        <m:sSub>
          <m:e>
            <m:r>
              <m:rPr>
                <m:sty m:val="p"/>
                <m:nor/>
              </m:rPr>
              <m:t>min</m:t>
            </m:r>
          </m:e>
          <m:sub>
            <m:r>
              <m:t>π</m:t>
            </m:r>
          </m:sub>
        </m:sSub>
        <m:sSub>
          <m:e>
            <m:r>
              <m:t>J</m:t>
            </m:r>
          </m:e>
          <m:sub>
            <m:r>
              <m:t>H</m:t>
            </m:r>
          </m:sub>
        </m:sSub>
        <m:d>
          <m:dPr>
            <m:begChr m:val="("/>
            <m:endChr m:val=")"/>
            <m:sepChr m:val=""/>
            <m:grow/>
          </m:dPr>
          <m:e>
            <m:r>
              <m:t>π</m:t>
            </m:r>
          </m:e>
        </m:d>
      </m:oMath>
      <w:r>
        <w:t xml:space="preserve">, and</w:t>
      </w:r>
    </w:p>
    <w:p>
      <w:pPr>
        <w:pStyle w:val="Equation"/>
        <w:tabs>
          <w:tab w:pos="4680" w:val="center"/>
          <w:tab w:pos="9792" w:val="right"/>
        </w:tabs>
        <w:jc w:val="left"/>
      </w:pPr>
      <w:r>
        <w:tab/>
      </w:r>
      <m:oMath>
        <m:sSub>
          <m:e>
            <m:r>
              <m:t>β</m:t>
            </m:r>
          </m:e>
          <m:sub>
            <m:r>
              <m:t>B</m:t>
            </m:r>
          </m:sub>
        </m:sSub>
        <m:r>
          <m:rPr>
            <m:sty m:val="p"/>
          </m:rPr>
          <m:t>=</m:t>
        </m:r>
        <m:limLow>
          <m:e>
            <m:r>
              <m:rPr>
                <m:sty m:val="p"/>
                <m:nor/>
              </m:rPr>
              <m:t>max</m:t>
            </m:r>
          </m:e>
          <m:lim>
            <m:r>
              <m:t>0</m:t>
            </m:r>
            <m:r>
              <m:rPr>
                <m:sty m:val="p"/>
              </m:rPr>
              <m:t>≤</m:t>
            </m:r>
            <m:r>
              <m:t>m</m:t>
            </m:r>
            <m:r>
              <m:rPr>
                <m:sty m:val="p"/>
              </m:rPr>
              <m:t>≤</m:t>
            </m:r>
            <m:r>
              <m:t>B</m:t>
            </m:r>
          </m:lim>
        </m:limLow>
        <m:sSub>
          <m:e>
            <m:r>
              <m:t>α</m:t>
            </m:r>
          </m:e>
          <m:sub>
            <m:r>
              <m:t>m</m:t>
            </m:r>
          </m:sub>
        </m:sSub>
        <m:r>
          <m:rPr>
            <m:sty m:val="p"/>
          </m:rPr>
          <m:t>=</m:t>
        </m:r>
        <m:box>
          <m:e>
            <m:r>
              <m:rPr>
                <m:sty m:val="p"/>
              </m:rPr>
              <w:rPr>
                <w:sz w:val="66"/>
              </w:rPr>
              <m:t>{</m:t>
            </m:r>
            <m:m>
              <m:mPr>
                <m:baseJc m:val="center"/>
                <m:plcHide m:val="on"/>
                <m:mcs>
                  <m:mc>
                    <m:mcPr>
                      <m:mcJc m:val="left"/>
                      <m:count m:val="1"/>
                    </m:mcPr>
                  </m:mc>
                  <m:mc>
                    <m:mcPr>
                      <m:mcJc m:val="left"/>
                      <m:count m:val="1"/>
                    </m:mcPr>
                  </m:mc>
                </m:mcs>
              </m:mPr>
              <m:mr>
                <m:e>
                  <m:r>
                    <m:t>0</m:t>
                  </m:r>
                  <m:r>
                    <m:rPr>
                      <m:sty m:val="p"/>
                    </m:rPr>
                    <m:t>,</m:t>
                  </m:r>
                </m:e>
                <m:e>
                  <m:r>
                    <m:t>B</m:t>
                  </m:r>
                  <m:r>
                    <m:rPr>
                      <m:sty m:val="p"/>
                    </m:rPr>
                    <m:t>=</m:t>
                  </m:r>
                  <m:r>
                    <m:t>0</m:t>
                  </m:r>
                  <m:r>
                    <m:rPr>
                      <m:sty m:val="p"/>
                    </m:rPr>
                    <m:t>,</m:t>
                  </m:r>
                </m:e>
              </m:mr>
              <m:mr>
                <m:e>
                  <m:r>
                    <m:t>1</m:t>
                  </m:r>
                  <m:r>
                    <m:rPr>
                      <m:sty m:val="p"/>
                    </m:rPr>
                    <m:t>,</m:t>
                  </m:r>
                </m:e>
                <m:e>
                  <m:r>
                    <m:t>B</m:t>
                  </m:r>
                  <m:r>
                    <m:rPr>
                      <m:sty m:val="p"/>
                    </m:rPr>
                    <m:t>=</m:t>
                  </m:r>
                  <m:r>
                    <m:t>1</m:t>
                  </m:r>
                  <m:r>
                    <m:rPr>
                      <m:sty m:val="p"/>
                    </m:rPr>
                    <m:t>,</m:t>
                  </m:r>
                </m:e>
              </m:mr>
              <m:mr>
                <m:e>
                  <m:r>
                    <m:t>2</m:t>
                  </m:r>
                  <m:r>
                    <m:t>B</m:t>
                  </m:r>
                  <m:r>
                    <m:rPr>
                      <m:sty m:val="p"/>
                    </m:rPr>
                    <m:t>−</m:t>
                  </m:r>
                  <m:r>
                    <m:t>3</m:t>
                  </m:r>
                  <m:r>
                    <m:rPr>
                      <m:sty m:val="p"/>
                    </m:rPr>
                    <m:t>,</m:t>
                  </m:r>
                </m:e>
                <m:e>
                  <m:r>
                    <m:t>B</m:t>
                  </m:r>
                  <m:r>
                    <m:rPr>
                      <m:sty m:val="p"/>
                    </m:rPr>
                    <m:t>≥</m:t>
                  </m:r>
                  <m:r>
                    <m:t>2</m:t>
                  </m:r>
                  <m:r>
                    <m:rPr>
                      <m:sty m:val="p"/>
                    </m:rPr>
                    <m:t>.</m:t>
                  </m:r>
                </m:e>
              </m:mr>
            </m:m>
          </m:e>
        </m:box>
      </m:oMath>
      <w:r>
        <w:tab/>
        <w:t>(17)</w:t>
      </w:r>
    </w:p>
    <w:p>
      <w:pPr>
        <w:pStyle w:val="BodyText"/>
        <w:keepNext/>
        <w:spacing w:before="140" w:after="100"/>
      </w:pPr>
      <w:r>
        <w:rPr>
          <w:bCs/>
          <w:b/>
        </w:rPr>
        <w:t xml:space="preserve">Theorem 4.2 — Decision stability.</w:t>
      </w:r>
      <w:r>
        <w:t xml:space="preserve"> </w:t>
      </w:r>
      <w:r>
        <w:t xml:space="preserve">Under (7), for the same likelihoods, loss, prior, call budget, and penalty weight,</w:t>
      </w:r>
    </w:p>
    <w:p>
      <w:pPr>
        <w:pStyle w:val="Equation"/>
        <w:tabs>
          <w:tab w:pos="4680" w:val="center"/>
          <w:tab w:pos="9792" w:val="right"/>
        </w:tabs>
        <w:jc w:val="left"/>
      </w:pPr>
      <w:r>
        <w:tab/>
      </w:r>
      <m:oMath>
        <m:box>
          <m:e>
            <m:r>
              <m:rPr>
                <m:sty m:val="p"/>
              </m:rPr>
              <m:t>|</m:t>
            </m:r>
            <m:sSub>
              <m:e>
                <m:r>
                  <m:t>V</m:t>
                </m:r>
              </m:e>
              <m:sub>
                <m:r>
                  <m:t>F</m:t>
                </m:r>
              </m:sub>
            </m:sSub>
            <m:r>
              <m:rPr>
                <m:sty m:val="p"/>
              </m:rPr>
              <m:t>−</m:t>
            </m:r>
            <m:sSub>
              <m:e>
                <m:r>
                  <m:t>V</m:t>
                </m:r>
              </m:e>
              <m:sub>
                <m:r>
                  <m:t>H</m:t>
                </m:r>
              </m:sub>
            </m:sSub>
            <m:r>
              <m:rPr>
                <m:sty m:val="p"/>
              </m:rPr>
              <m:t>|</m:t>
            </m:r>
          </m:e>
        </m:box>
        <m:r>
          <m:rPr>
            <m:sty m:val="p"/>
          </m:rPr>
          <m:t>≤</m:t>
        </m:r>
        <m:r>
          <m:t>λ</m:t>
        </m:r>
        <m:sSub>
          <m:e>
            <m:r>
              <m:t>β</m:t>
            </m:r>
          </m:e>
          <m:sub>
            <m:r>
              <m:t>B</m:t>
            </m:r>
          </m:sub>
        </m:sSub>
        <m:r>
          <m:t>ε</m:t>
        </m:r>
        <m:r>
          <m:rPr>
            <m:sty m:val="p"/>
          </m:rPr>
          <m:t>.</m:t>
        </m:r>
      </m:oMath>
      <w:r>
        <w:tab/>
        <w:t>(18)</w:t>
      </w:r>
    </w:p>
    <w:p>
      <w:pPr>
        <w:pStyle w:val="BodyText"/>
        <w:keepNext/>
      </w:pPr>
      <w:r>
        <w:t xml:space="preserve">If</w:t>
      </w:r>
      <w:r>
        <w:t xml:space="preserve"> </w:t>
      </w:r>
      <m:oMath>
        <m:sSub>
          <m:e>
            <m:r>
              <m:t>π</m:t>
            </m:r>
          </m:e>
          <m:sub>
            <m:r>
              <m:t>H</m:t>
            </m:r>
          </m:sub>
        </m:sSub>
      </m:oMath>
      <w:r>
        <w:t xml:space="preserve"> </w:t>
      </w:r>
      <w:r>
        <w:t xml:space="preserve">minimizes the measured-cost objective, then</w:t>
      </w:r>
    </w:p>
    <w:p>
      <w:pPr>
        <w:pStyle w:val="Equation"/>
        <w:tabs>
          <w:tab w:pos="4680" w:val="center"/>
          <w:tab w:pos="9792" w:val="right"/>
        </w:tabs>
        <w:jc w:val="left"/>
      </w:pPr>
      <w:r>
        <w:tab/>
      </w:r>
      <m:oMath>
        <m:r>
          <m:t>0</m:t>
        </m:r>
        <m:r>
          <m:rPr>
            <m:sty m:val="p"/>
          </m:rPr>
          <m:t>≤</m:t>
        </m:r>
        <m:sSub>
          <m:e>
            <m:r>
              <m:t>J</m:t>
            </m:r>
          </m:e>
          <m:sub>
            <m:r>
              <m:t>F</m:t>
            </m:r>
          </m:sub>
        </m:sSub>
        <m:d>
          <m:dPr>
            <m:begChr m:val="("/>
            <m:endChr m:val=")"/>
            <m:sepChr m:val=""/>
            <m:grow/>
          </m:dPr>
          <m:e>
            <m:sSub>
              <m:e>
                <m:r>
                  <m:t>π</m:t>
                </m:r>
              </m:e>
              <m:sub>
                <m:r>
                  <m:t>H</m:t>
                </m:r>
              </m:sub>
            </m:sSub>
          </m:e>
        </m:d>
        <m:r>
          <m:rPr>
            <m:sty m:val="p"/>
          </m:rPr>
          <m:t>−</m:t>
        </m:r>
        <m:sSub>
          <m:e>
            <m:r>
              <m:t>V</m:t>
            </m:r>
          </m:e>
          <m:sub>
            <m:r>
              <m:t>F</m:t>
            </m:r>
          </m:sub>
        </m:sSub>
        <m:r>
          <m:rPr>
            <m:sty m:val="p"/>
          </m:rPr>
          <m:t>≤</m:t>
        </m:r>
        <m:r>
          <m:t>2</m:t>
        </m:r>
        <m:r>
          <m:t>λ</m:t>
        </m:r>
        <m:sSub>
          <m:e>
            <m:r>
              <m:t>β</m:t>
            </m:r>
          </m:e>
          <m:sub>
            <m:r>
              <m:t>B</m:t>
            </m:r>
          </m:sub>
        </m:sSub>
        <m:r>
          <m:t>ε</m:t>
        </m:r>
        <m:r>
          <m:rPr>
            <m:sty m:val="p"/>
          </m:rPr>
          <m:t>.</m:t>
        </m:r>
      </m:oMath>
      <w:r>
        <w:tab/>
        <w:t>(19)</w:t>
      </w:r>
    </w:p>
    <w:p>
      <w:pPr>
        <w:pStyle w:val="BodyText"/>
      </w:pPr>
      <w:r>
        <w:t xml:space="preserve">For</w:t>
      </w:r>
      <w:r>
        <w:t xml:space="preserve"> </w:t>
      </w:r>
      <m:oMath>
        <m:r>
          <m:t>B</m:t>
        </m:r>
        <m:r>
          <m:rPr>
            <m:sty m:val="p"/>
          </m:rPr>
          <m:t>≥</m:t>
        </m:r>
        <m:r>
          <m:t>2</m:t>
        </m:r>
      </m:oMath>
      <w:r>
        <w:t xml:space="preserve">, the coefficient in (18) is sharp over this decision-model class.</w:t>
      </w:r>
    </w:p>
    <w:p>
      <w:pPr>
        <w:pStyle w:val="BodyText"/>
        <w:keepNext/>
      </w:pPr>
      <w:r>
        <w:rPr>
          <w:iCs/>
          <w:i/>
        </w:rPr>
        <w:t xml:space="preserve">Proof.</w:t>
      </w:r>
      <w:r>
        <w:t xml:space="preserve"> </w:t>
      </w:r>
      <w:r>
        <w:t xml:space="preserve">Fix any history-dependent policy</w:t>
      </w:r>
      <w:r>
        <w:t xml:space="preserve"> </w:t>
      </w:r>
      <m:oMath>
        <m:r>
          <m:t>π</m:t>
        </m:r>
      </m:oMath>
      <w:r>
        <w:t xml:space="preserve">. Holding this policy fixed, replacing the cost table does not change the observation law or its stopping decisions. Since</w:t>
      </w:r>
      <w:r>
        <w:t xml:space="preserve"> </w:t>
      </w:r>
      <m:oMath>
        <m:box>
          <m:e>
            <m:r>
              <m:rPr>
                <m:sty m:val="p"/>
              </m:rPr>
              <m:t>|</m:t>
            </m:r>
            <m:sSub>
              <m:e>
                <m:r>
                  <m:t>S</m:t>
                </m:r>
              </m:e>
              <m:sub>
                <m:r>
                  <m:t>τ</m:t>
                </m:r>
              </m:sub>
            </m:sSub>
            <m:r>
              <m:rPr>
                <m:sty m:val="p"/>
              </m:rPr>
              <m:t>|</m:t>
            </m:r>
          </m:e>
        </m:box>
        <m:r>
          <m:rPr>
            <m:sty m:val="p"/>
          </m:rPr>
          <m:t>≤</m:t>
        </m:r>
        <m:r>
          <m:t>B</m:t>
        </m:r>
      </m:oMath>
      <w:r>
        <w:t xml:space="preserve">, Theorem 3.1 gives</w:t>
      </w:r>
    </w:p>
    <w:p>
      <w:pPr>
        <w:pStyle w:val="Equation"/>
        <w:jc w:val="center"/>
      </w:pPr>
      <m:oMathPara>
        <m:oMathParaPr>
          <m:jc m:val="center"/>
        </m:oMathParaPr>
        <m:oMath>
          <m:eqArr>
            <m:eqArrPr>
              <m:baseJc m:val="center"/>
            </m:eqArrPr>
            <m:e>
              <m:box>
                <m:e>
                  <m:r>
                    <m:rPr>
                      <m:sty m:val="p"/>
                    </m:rPr>
                    <m:t>|</m:t>
                  </m:r>
                  <m:sSub>
                    <m:e>
                      <m:r>
                        <m:t>J</m:t>
                      </m:r>
                    </m:e>
                    <m:sub>
                      <m:r>
                        <m:t>F</m:t>
                      </m:r>
                    </m:sub>
                  </m:sSub>
                  <m:d>
                    <m:dPr>
                      <m:begChr m:val="("/>
                      <m:endChr m:val=")"/>
                      <m:sepChr m:val=""/>
                      <m:grow/>
                    </m:dPr>
                    <m:e>
                      <m:r>
                        <m:t>π</m:t>
                      </m:r>
                    </m:e>
                  </m:d>
                  <m:r>
                    <m:rPr>
                      <m:sty m:val="p"/>
                    </m:rPr>
                    <m:t>−</m:t>
                  </m:r>
                  <m:sSub>
                    <m:e>
                      <m:r>
                        <m:t>J</m:t>
                      </m:r>
                    </m:e>
                    <m:sub>
                      <m:r>
                        <m:t>H</m:t>
                      </m:r>
                    </m:sub>
                  </m:sSub>
                  <m:d>
                    <m:dPr>
                      <m:begChr m:val="("/>
                      <m:endChr m:val=")"/>
                      <m:sepChr m:val=""/>
                      <m:grow/>
                    </m:dPr>
                    <m:e>
                      <m:r>
                        <m:t>π</m:t>
                      </m:r>
                    </m:e>
                  </m:d>
                  <m:r>
                    <m:rPr>
                      <m:sty m:val="p"/>
                    </m:rPr>
                    <m:t>|</m:t>
                  </m:r>
                </m:e>
              </m:box>
              <m:r>
                <m:rPr>
                  <m:sty m:val="p"/>
                </m:rPr>
                <m:t>≤</m:t>
              </m:r>
              <m:r>
                <m:t>λ</m:t>
              </m:r>
              <m:sSup>
                <m:e>
                  <m:r>
                    <m:rPr>
                      <m:sty m:val="p"/>
                    </m:rPr>
                    <m:t>𝔼</m:t>
                  </m:r>
                </m:e>
                <m:sup>
                  <m:r>
                    <m:t>π</m:t>
                  </m:r>
                </m:sup>
              </m:sSup>
              <m:box>
                <m:e>
                  <m:r>
                    <m:rPr>
                      <m:sty m:val="p"/>
                    </m:rPr>
                    <m:t>|</m:t>
                  </m:r>
                  <m:r>
                    <m:t>F</m:t>
                  </m:r>
                  <m:d>
                    <m:dPr>
                      <m:begChr m:val="("/>
                      <m:endChr m:val=")"/>
                      <m:sepChr m:val=""/>
                      <m:grow/>
                    </m:dPr>
                    <m:e>
                      <m:sSub>
                        <m:e>
                          <m:r>
                            <m:t>S</m:t>
                          </m:r>
                        </m:e>
                        <m:sub>
                          <m:r>
                            <m:t>τ</m:t>
                          </m:r>
                        </m:sub>
                      </m:sSub>
                    </m:e>
                  </m:d>
                  <m:r>
                    <m:rPr>
                      <m:sty m:val="p"/>
                    </m:rPr>
                    <m:t>−</m:t>
                  </m:r>
                  <m:r>
                    <m:t>H</m:t>
                  </m:r>
                  <m:d>
                    <m:dPr>
                      <m:begChr m:val="("/>
                      <m:endChr m:val=")"/>
                      <m:sepChr m:val=""/>
                      <m:grow/>
                    </m:dPr>
                    <m:e>
                      <m:sSub>
                        <m:e>
                          <m:r>
                            <m:t>S</m:t>
                          </m:r>
                        </m:e>
                        <m:sub>
                          <m:r>
                            <m:t>τ</m:t>
                          </m:r>
                        </m:sub>
                      </m:sSub>
                    </m:e>
                  </m:d>
                  <m:r>
                    <m:rPr>
                      <m:sty m:val="p"/>
                    </m:rPr>
                    <m:t>|</m:t>
                  </m:r>
                </m:e>
              </m:box>
            </m:e>
            <m:e>
              <m:r>
                <m:rPr>
                  <m:sty m:val="p"/>
                </m:rPr>
                <m:t>≤</m:t>
              </m:r>
              <m:r>
                <m:t>λ</m:t>
              </m:r>
              <m:sSub>
                <m:e>
                  <m:r>
                    <m:t>β</m:t>
                  </m:r>
                </m:e>
                <m:sub>
                  <m:r>
                    <m:t>B</m:t>
                  </m:r>
                </m:sub>
              </m:sSub>
              <m:r>
                <m:t>ε</m:t>
              </m:r>
              <m:r>
                <m:rPr>
                  <m:sty m:val="p"/>
                </m:rPr>
                <m:t>.</m:t>
              </m:r>
            </m:e>
          </m:eqArr>
        </m:oMath>
      </m:oMathPara>
    </w:p>
    <w:p>
      <w:pPr>
        <w:pStyle w:val="FirstParagraph"/>
        <w:keepNext/>
      </w:pPr>
      <w:r>
        <w:t xml:space="preserve">Taking minima proves (18). If</w:t>
      </w:r>
      <w:r>
        <w:t xml:space="preserve"> </w:t>
      </w:r>
      <m:oMath>
        <m:sSub>
          <m:e>
            <m:r>
              <m:t>π</m:t>
            </m:r>
          </m:e>
          <m:sub>
            <m:r>
              <m:t>F</m:t>
            </m:r>
          </m:sub>
        </m:sSub>
      </m:oMath>
      <w:r>
        <w:t xml:space="preserve"> </w:t>
      </w:r>
      <w:r>
        <w:t xml:space="preserve">is optimal for</w:t>
      </w:r>
      <w:r>
        <w:t xml:space="preserve"> </w:t>
      </w:r>
      <m:oMath>
        <m:r>
          <m:t>F</m:t>
        </m:r>
      </m:oMath>
      <w:r>
        <w:t xml:space="preserve">, then</w:t>
      </w:r>
    </w:p>
    <w:p>
      <w:pPr>
        <w:pStyle w:val="Equation"/>
        <w:jc w:val="center"/>
      </w:pPr>
      <m:oMathPara>
        <m:oMathParaPr>
          <m:jc m:val="center"/>
        </m:oMathParaPr>
        <m:oMath>
          <m:eqArr>
            <m:eqArrPr>
              <m:baseJc m:val="center"/>
            </m:eqArrPr>
            <m:e>
              <m:sSub>
                <m:e>
                  <m:r>
                    <m:t>J</m:t>
                  </m:r>
                </m:e>
                <m:sub>
                  <m:r>
                    <m:t>F</m:t>
                  </m:r>
                </m:sub>
              </m:sSub>
              <m:d>
                <m:dPr>
                  <m:begChr m:val="("/>
                  <m:endChr m:val=")"/>
                  <m:sepChr m:val=""/>
                  <m:grow/>
                </m:dPr>
                <m:e>
                  <m:sSub>
                    <m:e>
                      <m:r>
                        <m:t>π</m:t>
                      </m:r>
                    </m:e>
                    <m:sub>
                      <m:r>
                        <m:t>H</m:t>
                      </m:r>
                    </m:sub>
                  </m:sSub>
                </m:e>
              </m:d>
              <m:r>
                <m:rPr>
                  <m:sty m:val="p"/>
                </m:rPr>
                <m:t>≤</m:t>
              </m:r>
              <m:sSub>
                <m:e>
                  <m:r>
                    <m:t>J</m:t>
                  </m:r>
                </m:e>
                <m:sub>
                  <m:r>
                    <m:t>H</m:t>
                  </m:r>
                </m:sub>
              </m:sSub>
              <m:d>
                <m:dPr>
                  <m:begChr m:val="("/>
                  <m:endChr m:val=")"/>
                  <m:sepChr m:val=""/>
                  <m:grow/>
                </m:dPr>
                <m:e>
                  <m:sSub>
                    <m:e>
                      <m:r>
                        <m:t>π</m:t>
                      </m:r>
                    </m:e>
                    <m:sub>
                      <m:r>
                        <m:t>H</m:t>
                      </m:r>
                    </m:sub>
                  </m:sSub>
                </m:e>
              </m:d>
              <m:r>
                <m:rPr>
                  <m:sty m:val="p"/>
                </m:rPr>
                <m:t>+</m:t>
              </m:r>
              <m:r>
                <m:t>λ</m:t>
              </m:r>
              <m:sSub>
                <m:e>
                  <m:r>
                    <m:t>β</m:t>
                  </m:r>
                </m:e>
                <m:sub>
                  <m:r>
                    <m:t>B</m:t>
                  </m:r>
                </m:sub>
              </m:sSub>
              <m:r>
                <m:t>ε</m:t>
              </m:r>
            </m:e>
            <m:e>
              <m:r>
                <m:rPr>
                  <m:sty m:val="p"/>
                </m:rPr>
                <m:t>≤</m:t>
              </m:r>
              <m:sSub>
                <m:e>
                  <m:r>
                    <m:t>J</m:t>
                  </m:r>
                </m:e>
                <m:sub>
                  <m:r>
                    <m:t>H</m:t>
                  </m:r>
                </m:sub>
              </m:sSub>
              <m:d>
                <m:dPr>
                  <m:begChr m:val="("/>
                  <m:endChr m:val=")"/>
                  <m:sepChr m:val=""/>
                  <m:grow/>
                </m:dPr>
                <m:e>
                  <m:sSub>
                    <m:e>
                      <m:r>
                        <m:t>π</m:t>
                      </m:r>
                    </m:e>
                    <m:sub>
                      <m:r>
                        <m:t>F</m:t>
                      </m:r>
                    </m:sub>
                  </m:sSub>
                </m:e>
              </m:d>
              <m:r>
                <m:rPr>
                  <m:sty m:val="p"/>
                </m:rPr>
                <m:t>+</m:t>
              </m:r>
              <m:r>
                <m:t>λ</m:t>
              </m:r>
              <m:sSub>
                <m:e>
                  <m:r>
                    <m:t>β</m:t>
                  </m:r>
                </m:e>
                <m:sub>
                  <m:r>
                    <m:t>B</m:t>
                  </m:r>
                </m:sub>
              </m:sSub>
              <m:r>
                <m:t>ε</m:t>
              </m:r>
            </m:e>
            <m:e>
              <m:r>
                <m:rPr>
                  <m:sty m:val="p"/>
                </m:rPr>
                <m:t>≤</m:t>
              </m:r>
              <m:sSub>
                <m:e>
                  <m:r>
                    <m:t>V</m:t>
                  </m:r>
                </m:e>
                <m:sub>
                  <m:r>
                    <m:t>F</m:t>
                  </m:r>
                </m:sub>
              </m:sSub>
              <m:r>
                <m:rPr>
                  <m:sty m:val="p"/>
                </m:rPr>
                <m:t>+</m:t>
              </m:r>
              <m:r>
                <m:t>2</m:t>
              </m:r>
              <m:r>
                <m:t>λ</m:t>
              </m:r>
              <m:sSub>
                <m:e>
                  <m:r>
                    <m:t>β</m:t>
                  </m:r>
                </m:e>
                <m:sub>
                  <m:r>
                    <m:t>B</m:t>
                  </m:r>
                </m:sub>
              </m:sSub>
              <m:r>
                <m:t>ε</m:t>
              </m:r>
              <m:r>
                <m:rPr>
                  <m:sty m:val="p"/>
                </m:rPr>
                <m:t>,</m:t>
              </m:r>
            </m:e>
          </m:eqArr>
        </m:oMath>
      </m:oMathPara>
    </w:p>
    <w:p>
      <w:pPr>
        <w:pStyle w:val="FirstParagraph"/>
      </w:pPr>
      <w:r>
        <w:t xml:space="preserve">which proves (19).</w:t>
      </w:r>
    </w:p>
    <w:p>
      <w:pPr>
        <w:pStyle w:val="BodyText"/>
      </w:pPr>
      <w:r>
        <w:t xml:space="preserve">For sharpness of (18), take</w:t>
      </w:r>
      <w:r>
        <w:t xml:space="preserve"> </w:t>
      </w:r>
      <m:oMath>
        <m:r>
          <m:t>B</m:t>
        </m:r>
      </m:oMath>
      <w:r>
        <w:t xml:space="preserve"> </w:t>
      </w:r>
      <w:r>
        <w:t xml:space="preserve">independent fair bits</w:t>
      </w:r>
      <w:r>
        <w:t xml:space="preserve"> </w:t>
      </w:r>
      <m:oMath>
        <m:sSub>
          <m:e>
            <m:r>
              <m:t>X</m:t>
            </m:r>
          </m:e>
          <m:sub>
            <m:r>
              <m:t>1</m:t>
            </m:r>
          </m:sub>
        </m:sSub>
        <m:r>
          <m:rPr>
            <m:sty m:val="p"/>
          </m:rPr>
          <m:t>,</m:t>
        </m:r>
        <m:r>
          <m:rPr>
            <m:sty m:val="p"/>
          </m:rPr>
          <m:t>…</m:t>
        </m:r>
        <m:r>
          <m:rPr>
            <m:sty m:val="p"/>
          </m:rPr>
          <m:t>,</m:t>
        </m:r>
        <m:sSub>
          <m:e>
            <m:r>
              <m:t>X</m:t>
            </m:r>
          </m:e>
          <m:sub>
            <m:r>
              <m:t>B</m:t>
            </m:r>
          </m:sub>
        </m:sSub>
      </m:oMath>
      <w:r>
        <w:t xml:space="preserve"> </w:t>
      </w:r>
      <w:r>
        <w:t xml:space="preserve">as the latent state. Source</w:t>
      </w:r>
      <w:r>
        <w:t xml:space="preserve"> </w:t>
      </w:r>
      <m:oMath>
        <m:r>
          <m:t>i</m:t>
        </m:r>
      </m:oMath>
      <w:r>
        <w:t xml:space="preserve"> </w:t>
      </w:r>
      <w:r>
        <w:t xml:space="preserve">reveals</w:t>
      </w:r>
      <w:r>
        <w:t xml:space="preserve"> </w:t>
      </w:r>
      <m:oMath>
        <m:sSub>
          <m:e>
            <m:r>
              <m:t>X</m:t>
            </m:r>
          </m:e>
          <m:sub>
            <m:r>
              <m:t>i</m:t>
            </m:r>
          </m:sub>
        </m:sSub>
      </m:oMath>
      <w:r>
        <w:t xml:space="preserve"> </w:t>
      </w:r>
      <w:r>
        <w:t xml:space="preserve">deterministically, and the final decision predicts their parity under zero-one loss. Conditional independence holds given the complete latent state. Every proper subset leaves parity uniformly distributed, while the full set determines it.</w:t>
      </w:r>
    </w:p>
    <w:p>
      <w:pPr>
        <w:pStyle w:val="BodyText"/>
        <w:keepNext/>
      </w:pPr>
      <w:r>
        <w:t xml:space="preserve">For a nonnegative monotone cost function</w:t>
      </w:r>
      <w:r>
        <w:t xml:space="preserve"> </w:t>
      </w:r>
      <m:oMath>
        <m:r>
          <m:t>K</m:t>
        </m:r>
      </m:oMath>
      <w:r>
        <w:t xml:space="preserve">, a policy completing all queries with probability</w:t>
      </w:r>
      <w:r>
        <w:t xml:space="preserve"> </w:t>
      </w:r>
      <m:oMath>
        <m:r>
          <m:t>u</m:t>
        </m:r>
      </m:oMath>
      <w:r>
        <w:t xml:space="preserve"> </w:t>
      </w:r>
      <w:r>
        <w:t xml:space="preserve">has objective at least</w:t>
      </w:r>
    </w:p>
    <w:p>
      <w:pPr>
        <w:pStyle w:val="Equation"/>
        <w:jc w:val="center"/>
      </w:pPr>
      <m:oMathPara>
        <m:oMathParaPr>
          <m:jc m:val="center"/>
        </m:oMathParaPr>
        <m:oMath>
          <m:r>
            <m:t>u</m:t>
          </m:r>
          <m:r>
            <m:t>λ</m:t>
          </m:r>
          <m:r>
            <m:t>K</m:t>
          </m:r>
          <m:d>
            <m:dPr>
              <m:begChr m:val="("/>
              <m:endChr m:val=")"/>
              <m:sepChr m:val=""/>
              <m:grow/>
            </m:dPr>
            <m:e>
              <m:r>
                <m:t>N</m:t>
              </m:r>
            </m:e>
          </m:d>
          <m:r>
            <m:rPr>
              <m:sty m:val="p"/>
            </m:rPr>
            <m:t>+</m:t>
          </m:r>
          <m:d>
            <m:dPr>
              <m:begChr m:val="("/>
              <m:endChr m:val=")"/>
              <m:sepChr m:val=""/>
              <m:grow/>
            </m:dPr>
            <m:e>
              <m:r>
                <m:t>1</m:t>
              </m:r>
              <m:r>
                <m:rPr>
                  <m:sty m:val="p"/>
                </m:rPr>
                <m:t>−</m:t>
              </m:r>
              <m:r>
                <m:t>u</m:t>
              </m:r>
            </m:e>
          </m:d>
          <m:r>
            <m:rPr>
              <m:sty m:val="p"/>
            </m:rPr>
            <m:t>/</m:t>
          </m:r>
          <m:r>
            <m:t>2</m:t>
          </m:r>
          <m:r>
            <m:rPr>
              <m:sty m:val="p"/>
            </m:rPr>
            <m:t>.</m:t>
          </m:r>
        </m:oMath>
      </m:oMathPara>
    </w:p>
    <w:p>
      <w:pPr>
        <w:pStyle w:val="FirstParagraph"/>
        <w:keepNext/>
      </w:pPr>
      <w:r>
        <w:t xml:space="preserve">Always stopping or always completing attains the two endpoints. The optimal value is consequently</w:t>
      </w:r>
    </w:p>
    <w:p>
      <w:pPr>
        <w:pStyle w:val="Equation"/>
        <w:jc w:val="center"/>
      </w:pPr>
      <m:oMathPara>
        <m:oMathParaPr>
          <m:jc m:val="center"/>
        </m:oMathParaPr>
        <m:oMath>
          <m:r>
            <m:rPr>
              <m:sty m:val="p"/>
              <m:nor/>
            </m:rPr>
            <m:t>min</m:t>
          </m:r>
          <m:r>
            <m:rPr>
              <m:sty m:val="p"/>
            </m:rPr>
            <m:t>{</m:t>
          </m:r>
          <m:r>
            <m:t>1</m:t>
          </m:r>
          <m:r>
            <m:rPr>
              <m:sty m:val="p"/>
            </m:rPr>
            <m:t>/</m:t>
          </m:r>
          <m:r>
            <m:t>2</m:t>
          </m:r>
          <m:r>
            <m:rPr>
              <m:sty m:val="p"/>
            </m:rPr>
            <m:t>,</m:t>
          </m:r>
          <m:r>
            <m:t>λ</m:t>
          </m:r>
          <m:r>
            <m:t>K</m:t>
          </m:r>
          <m:d>
            <m:dPr>
              <m:begChr m:val="("/>
              <m:endChr m:val=")"/>
              <m:sepChr m:val=""/>
              <m:grow/>
            </m:dPr>
            <m:e>
              <m:r>
                <m:t>N</m:t>
              </m:r>
            </m:e>
          </m:d>
          <m:r>
            <m:rPr>
              <m:sty m:val="p"/>
            </m:rPr>
            <m:t>}</m:t>
          </m:r>
          <m:r>
            <m:rPr>
              <m:sty m:val="p"/>
            </m:rPr>
            <m:t>.</m:t>
          </m:r>
        </m:oMath>
      </m:oMathPara>
    </w:p>
    <w:p>
      <w:pPr>
        <w:pStyle w:val="FirstParagraph"/>
        <w:keepNext/>
      </w:pPr>
      <w:r>
        <w:t xml:space="preserve">Use the central tree and the plus perturbation from Theorem 3.1, choosing</w:t>
      </w:r>
      <w:r>
        <w:t xml:space="preserve"> </w:t>
      </w:r>
      <m:oMath>
        <m:r>
          <m:t>λ</m:t>
        </m:r>
      </m:oMath>
      <w:r>
        <w:t xml:space="preserve"> </w:t>
      </w:r>
      <w:r>
        <w:t xml:space="preserve">small enough that full acquisition is optimal for both. Their values differ by exactly</w:t>
      </w:r>
    </w:p>
    <w:p>
      <w:pPr>
        <w:pStyle w:val="Equation"/>
        <w:jc w:val="center"/>
      </w:pPr>
      <m:oMathPara>
        <m:oMathParaPr>
          <m:jc m:val="center"/>
        </m:oMathParaPr>
        <m:oMath>
          <m:r>
            <m:t>λ</m:t>
          </m:r>
          <m:d>
            <m:dPr>
              <m:begChr m:val="("/>
              <m:endChr m:val=")"/>
              <m:sepChr m:val=""/>
              <m:grow/>
            </m:dPr>
            <m:e>
              <m:r>
                <m:t>2</m:t>
              </m:r>
              <m:r>
                <m:t>B</m:t>
              </m:r>
              <m:r>
                <m:rPr>
                  <m:sty m:val="p"/>
                </m:rPr>
                <m:t>−</m:t>
              </m:r>
              <m:r>
                <m:t>3</m:t>
              </m:r>
            </m:e>
          </m:d>
          <m:r>
            <m:t>ε</m:t>
          </m:r>
          <m:r>
            <m:rPr>
              <m:sty m:val="p"/>
            </m:rPr>
            <m:t>.</m:t>
          </m:r>
        </m:oMath>
      </m:oMathPara>
    </w:p>
    <w:p>
      <w:pPr>
        <w:pStyle w:val="FirstParagraph"/>
      </w:pPr>
      <w:r>
        <w:t xml:space="preserve">This proves sharpness.</w:t>
      </w:r>
      <w:r>
        <w:t xml:space="preserve"> </w:t>
      </w:r>
      <m:oMath>
        <m:r>
          <m:rPr>
            <m:sty m:val="p"/>
          </m:rPr>
          <m:t>▫</m:t>
        </m:r>
      </m:oMath>
    </w:p>
    <w:p>
      <w:pPr>
        <w:pStyle w:val="BodyText"/>
      </w:pPr>
      <w:r>
        <w:t xml:space="preserve">The factor two in (19) is an upper bound; its sharpness is not asserted. Replacing</w:t>
      </w:r>
      <w:r>
        <w:t xml:space="preserve"> </w:t>
      </w:r>
      <m:oMath>
        <m:r>
          <m:t>H</m:t>
        </m:r>
      </m:oMath>
      <w:r>
        <w:t xml:space="preserve"> </w:t>
      </w:r>
      <w:r>
        <w:t xml:space="preserve">by the repaired estimate gives corresponding value and excess-loss bounds with</w:t>
      </w:r>
      <w:r>
        <w:t xml:space="preserve"> </w:t>
      </w:r>
      <m:oMath>
        <m:r>
          <m:t>4</m:t>
        </m:r>
        <m:r>
          <m:t>B</m:t>
        </m:r>
        <m:r>
          <m:rPr>
            <m:sty m:val="p"/>
          </m:rPr>
          <m:t>−</m:t>
        </m:r>
        <m:r>
          <m:t>3</m:t>
        </m:r>
      </m:oMath>
      <w:r>
        <w:t xml:space="preserve">, for</w:t>
      </w:r>
      <w:r>
        <w:t xml:space="preserve"> </w:t>
      </w:r>
      <m:oMath>
        <m:r>
          <m:t>B</m:t>
        </m:r>
        <m:r>
          <m:rPr>
            <m:sty m:val="p"/>
          </m:rPr>
          <m:t>≥</m:t>
        </m:r>
        <m:r>
          <m:t>1</m:t>
        </m:r>
      </m:oMath>
      <w:r>
        <w:t xml:space="preserve">.</w:t>
      </w:r>
    </w:p>
    <w:p>
      <w:pPr>
        <w:pStyle w:val="BodyText"/>
      </w:pPr>
      <w:r>
        <w:t xml:space="preserve">The parity example also shows a limitation of one-step policies. If every initial acquisition has positive cost, a policy comparing only immediate Bayes-risk reduction with acquisition cost stops without querying. Its value remains</w:t>
      </w:r>
      <w:r>
        <w:t xml:space="preserve"> </w:t>
      </w:r>
      <m:oMath>
        <m:r>
          <m:t>1</m:t>
        </m:r>
        <m:r>
          <m:rPr>
            <m:sty m:val="p"/>
          </m:rPr>
          <m:t>/</m:t>
        </m:r>
        <m:r>
          <m:t>2</m:t>
        </m:r>
      </m:oMath>
      <w:r>
        <w:t xml:space="preserve">, while the optimum is</w:t>
      </w:r>
      <w:r>
        <w:t xml:space="preserve"> </w:t>
      </w:r>
      <m:oMath>
        <m:r>
          <m:t>λ</m:t>
        </m:r>
        <m:r>
          <m:t>F</m:t>
        </m:r>
        <m:d>
          <m:dPr>
            <m:begChr m:val="("/>
            <m:endChr m:val=")"/>
            <m:sepChr m:val=""/>
            <m:grow/>
          </m:dPr>
          <m:e>
            <m:r>
              <m:t>N</m:t>
            </m:r>
          </m:e>
        </m:d>
      </m:oMath>
      <w:r>
        <w:t xml:space="preserve"> </w:t>
      </w:r>
      <w:r>
        <w:t xml:space="preserve">for sufficiently small</w:t>
      </w:r>
      <w:r>
        <w:t xml:space="preserve"> </w:t>
      </w:r>
      <m:oMath>
        <m:r>
          <m:t>λ</m:t>
        </m:r>
      </m:oMath>
      <w:r>
        <w:t xml:space="preserve">. Their ratio is unbounded as</w:t>
      </w:r>
      <w:r>
        <w:t xml:space="preserve"> </w:t>
      </w:r>
      <m:oMath>
        <m:r>
          <m:t>λ</m:t>
        </m:r>
      </m:oMath>
      <w:r>
        <w:t xml:space="preserve"> </w:t>
      </w:r>
      <w:r>
        <w:t xml:space="preserve">approaches zero. Thus tree structure alone does not provide a general one-step approximation guarantee; assumptions on information value are also required [7].</w:t>
      </w:r>
    </w:p>
    <w:p>
      <w:pPr>
        <w:pStyle w:val="BodyText"/>
      </w:pPr>
      <w:r>
        <w:t xml:space="preserve">The stability question here differs from optimization over uncertain transition laws. Iyengar [10] and Nilim and El Ghaoui [17] develop robust dynamic programming for transition uncertainty. In Theorem 4.2 the likelihoods and admissible policies are common to the true-cost and measured-cost problems; only the acquisition objective changes. Extending the result to uncertain likelihoods would therefore require an additional argument.</w:t>
      </w:r>
    </w:p>
    <w:bookmarkEnd w:id="38"/>
    <w:bookmarkEnd w:id="39"/>
    <w:bookmarkStart w:id="42" w:name="X6536023aadc7ab51e6f91a0e0076485fb9ee5bc"/>
    <w:p>
      <w:pPr>
        <w:pStyle w:val="Heading1"/>
      </w:pPr>
      <w:r>
        <w:t xml:space="preserve">5. Decision equivalence and the boundary of the model</w:t>
      </w:r>
    </w:p>
    <w:bookmarkStart w:id="40" w:name="Xf566fc8f9405a7e51b06c066331be51b71fc5e7"/>
    <w:p>
      <w:pPr>
        <w:pStyle w:val="Heading2"/>
      </w:pPr>
      <w:r>
        <w:t xml:space="preserve">5.1. Which network information is decision-relevant?</w:t>
      </w:r>
    </w:p>
    <w:p>
      <w:pPr>
        <w:pStyle w:val="FirstParagraph"/>
        <w:keepNext/>
        <w:spacing w:before="140" w:after="100"/>
      </w:pPr>
      <w:r>
        <w:rPr>
          <w:bCs/>
          <w:b/>
        </w:rPr>
        <w:t xml:space="preserve">Theorem 5.1 — Universal decision equivalence.</w:t>
      </w:r>
      <w:r>
        <w:t xml:space="preserve"> </w:t>
      </w:r>
      <w:r>
        <w:t xml:space="preserve">Let</w:t>
      </w:r>
      <w:r>
        <w:t xml:space="preserve"> </w:t>
      </w:r>
      <m:oMath>
        <m:r>
          <m:t>F</m:t>
        </m:r>
      </m:oMath>
      <w:r>
        <w:t xml:space="preserve"> </w:t>
      </w:r>
      <w:r>
        <w:t xml:space="preserve">and</w:t>
      </w:r>
      <w:r>
        <w:t xml:space="preserve"> </w:t>
      </w:r>
      <m:oMath>
        <m:r>
          <m:t>G</m:t>
        </m:r>
      </m:oMath>
      <w:r>
        <w:t xml:space="preserve"> </w:t>
      </w:r>
      <w:r>
        <w:t xml:space="preserve">be rooted-tree cost functions on the same</w:t>
      </w:r>
      <w:r>
        <w:t xml:space="preserve"> </w:t>
      </w:r>
      <m:oMath>
        <m:r>
          <m:t>n</m:t>
        </m:r>
        <m:r>
          <m:rPr>
            <m:sty m:val="p"/>
          </m:rPr>
          <m:t>≥</m:t>
        </m:r>
        <m:r>
          <m:t>2</m:t>
        </m:r>
      </m:oMath>
      <w:r>
        <w:t xml:space="preserve"> </w:t>
      </w:r>
      <w:r>
        <w:t xml:space="preserve">labels. Fix</w:t>
      </w:r>
      <w:r>
        <w:t xml:space="preserve"> </w:t>
      </w:r>
      <m:oMath>
        <m:r>
          <m:t>2</m:t>
        </m:r>
        <m:r>
          <m:rPr>
            <m:sty m:val="p"/>
          </m:rPr>
          <m:t>≤</m:t>
        </m:r>
        <m:r>
          <m:t>B</m:t>
        </m:r>
        <m:r>
          <m:rPr>
            <m:sty m:val="p"/>
          </m:rPr>
          <m:t>≤</m:t>
        </m:r>
        <m:r>
          <m:t>n</m:t>
        </m:r>
      </m:oMath>
      <w:r>
        <w:t xml:space="preserve">. The following statements are equivalent:</w:t>
      </w:r>
    </w:p>
    <w:p>
      <w:pPr>
        <w:numPr>
          <w:ilvl w:val="0"/>
          <w:numId w:val="1001"/>
        </w:numPr>
        <w:pStyle w:val="Compact"/>
      </w:pPr>
      <m:oMath>
        <m:r>
          <m:t>F</m:t>
        </m:r>
      </m:oMath>
      <w:r>
        <w:t xml:space="preserve"> </w:t>
      </w:r>
      <w:r>
        <w:t xml:space="preserve">and</w:t>
      </w:r>
      <w:r>
        <w:t xml:space="preserve"> </w:t>
      </w:r>
      <m:oMath>
        <m:r>
          <m:t>G</m:t>
        </m:r>
      </m:oMath>
      <w:r>
        <w:t xml:space="preserve"> </w:t>
      </w:r>
      <w:r>
        <w:t xml:space="preserve">agree on every singleton and pair.</w:t>
      </w:r>
    </w:p>
    <w:p>
      <w:pPr>
        <w:numPr>
          <w:ilvl w:val="0"/>
          <w:numId w:val="1001"/>
        </w:numPr>
        <w:pStyle w:val="Compact"/>
      </w:pPr>
      <w:r>
        <w:t xml:space="preserve">They agree on every subset of sources.</w:t>
      </w:r>
    </w:p>
    <w:p>
      <w:pPr>
        <w:numPr>
          <w:ilvl w:val="0"/>
          <w:numId w:val="1001"/>
        </w:numPr>
        <w:pStyle w:val="Compact"/>
      </w:pPr>
      <w:r>
        <w:t xml:space="preserve">They have equal optimal values for every finite decision experiment described in Section 4 and every</w:t>
      </w:r>
      <w:r>
        <w:t xml:space="preserve"> </w:t>
      </w:r>
      <m:oMath>
        <m:r>
          <m:t>λ</m:t>
        </m:r>
        <m:r>
          <m:rPr>
            <m:sty m:val="p"/>
          </m:rPr>
          <m:t>&gt;</m:t>
        </m:r>
        <m:r>
          <m:t>0</m:t>
        </m:r>
      </m:oMath>
      <w:r>
        <w:t xml:space="preserve">, under the same call limit</w:t>
      </w:r>
      <w:r>
        <w:t xml:space="preserve"> </w:t>
      </w:r>
      <m:oMath>
        <m:r>
          <m:t>B</m:t>
        </m:r>
      </m:oMath>
      <w:r>
        <w:t xml:space="preserve">.</w:t>
      </w:r>
    </w:p>
    <w:p>
      <w:pPr>
        <w:pStyle w:val="FirstParagraph"/>
      </w:pPr>
      <w:r>
        <w:rPr>
          <w:iCs/>
          <w:i/>
        </w:rPr>
        <w:t xml:space="preserve">Proof.</w:t>
      </w:r>
      <w:r>
        <w:t xml:space="preserve"> </w:t>
      </w:r>
      <w:r>
        <w:t xml:space="preserve">Proposition 2.2 gives statement 1 implies statement 2. Identical set costs give identical objectives for every policy, proving statement 2 implies statement 3.</w:t>
      </w:r>
    </w:p>
    <w:p>
      <w:pPr>
        <w:pStyle w:val="BodyText"/>
      </w:pPr>
      <w:r>
        <w:t xml:space="preserve">Suppose statement 1 fails on a set</w:t>
      </w:r>
      <w:r>
        <w:t xml:space="preserve"> </w:t>
      </w:r>
      <m:oMath>
        <m:r>
          <m:t>S</m:t>
        </m:r>
      </m:oMath>
      <w:r>
        <w:t xml:space="preserve"> </w:t>
      </w:r>
      <w:r>
        <w:t xml:space="preserve">of size one or two. Let each source in</w:t>
      </w:r>
      <w:r>
        <w:t xml:space="preserve"> </w:t>
      </w:r>
      <m:oMath>
        <m:r>
          <m:t>S</m:t>
        </m:r>
      </m:oMath>
      <w:r>
        <w:t xml:space="preserve"> </w:t>
      </w:r>
      <w:r>
        <w:t xml:space="preserve">reveal one independent fair bit, let every other source return a constant, and let the final decision predict the parity of the bits in</w:t>
      </w:r>
      <w:r>
        <w:t xml:space="preserve"> </w:t>
      </w:r>
      <m:oMath>
        <m:r>
          <m:t>S</m:t>
        </m:r>
      </m:oMath>
      <w:r>
        <w:t xml:space="preserve">.</w:t>
      </w:r>
    </w:p>
    <w:p>
      <w:pPr>
        <w:pStyle w:val="BodyText"/>
        <w:keepNext/>
      </w:pPr>
      <w:r>
        <w:t xml:space="preserve">By the argument in Theorem 4.2 and monotonicity of acquisition costs, the optimal value under a cost function</w:t>
      </w:r>
      <w:r>
        <w:t xml:space="preserve"> </w:t>
      </w:r>
      <m:oMath>
        <m:r>
          <m:t>K</m:t>
        </m:r>
      </m:oMath>
      <w:r>
        <w:t xml:space="preserve"> </w:t>
      </w:r>
      <w:r>
        <w:t xml:space="preserve">is</w:t>
      </w:r>
    </w:p>
    <w:p>
      <w:pPr>
        <w:pStyle w:val="Equation"/>
        <w:jc w:val="center"/>
      </w:pPr>
      <m:oMathPara>
        <m:oMathParaPr>
          <m:jc m:val="center"/>
        </m:oMathParaPr>
        <m:oMath>
          <m:r>
            <m:rPr>
              <m:sty m:val="p"/>
              <m:nor/>
            </m:rPr>
            <m:t>min</m:t>
          </m:r>
          <m:r>
            <m:rPr>
              <m:sty m:val="p"/>
            </m:rPr>
            <m:t>{</m:t>
          </m:r>
          <m:r>
            <m:t>1</m:t>
          </m:r>
          <m:r>
            <m:rPr>
              <m:sty m:val="p"/>
            </m:rPr>
            <m:t>/</m:t>
          </m:r>
          <m:r>
            <m:t>2</m:t>
          </m:r>
          <m:r>
            <m:rPr>
              <m:sty m:val="p"/>
            </m:rPr>
            <m:t>,</m:t>
          </m:r>
          <m:r>
            <m:t>λ</m:t>
          </m:r>
          <m:r>
            <m:t>K</m:t>
          </m:r>
          <m:d>
            <m:dPr>
              <m:begChr m:val="("/>
              <m:endChr m:val=")"/>
              <m:sepChr m:val=""/>
              <m:grow/>
            </m:dPr>
            <m:e>
              <m:r>
                <m:t>S</m:t>
              </m:r>
            </m:e>
          </m:d>
          <m:r>
            <m:rPr>
              <m:sty m:val="p"/>
            </m:rPr>
            <m:t>}</m:t>
          </m:r>
          <m:r>
            <m:rPr>
              <m:sty m:val="p"/>
            </m:rPr>
            <m:t>.</m:t>
          </m:r>
        </m:oMath>
      </m:oMathPara>
    </w:p>
    <w:p>
      <w:pPr>
        <w:pStyle w:val="FirstParagraph"/>
      </w:pPr>
      <w:r>
        <w:t xml:space="preserve">Choose</w:t>
      </w:r>
      <w:r>
        <w:t xml:space="preserve"> </w:t>
      </w:r>
      <m:oMath>
        <m:r>
          <m:t>λ</m:t>
        </m:r>
        <m:r>
          <m:rPr>
            <m:sty m:val="p"/>
          </m:rPr>
          <m:t>&gt;</m:t>
        </m:r>
        <m:r>
          <m:t>0</m:t>
        </m:r>
      </m:oMath>
      <w:r>
        <w:t xml:space="preserve"> </w:t>
      </w:r>
      <w:r>
        <w:t xml:space="preserve">small enough that acquiring</w:t>
      </w:r>
      <w:r>
        <w:t xml:space="preserve"> </w:t>
      </w:r>
      <m:oMath>
        <m:r>
          <m:t>S</m:t>
        </m:r>
      </m:oMath>
      <w:r>
        <w:t xml:space="preserve"> </w:t>
      </w:r>
      <w:r>
        <w:t xml:space="preserve">is optimal under both</w:t>
      </w:r>
      <w:r>
        <w:t xml:space="preserve"> </w:t>
      </w:r>
      <m:oMath>
        <m:r>
          <m:t>F</m:t>
        </m:r>
      </m:oMath>
      <w:r>
        <w:t xml:space="preserve"> </w:t>
      </w:r>
      <w:r>
        <w:t xml:space="preserve">and</w:t>
      </w:r>
      <w:r>
        <w:t xml:space="preserve"> </w:t>
      </w:r>
      <m:oMath>
        <m:r>
          <m:t>G</m:t>
        </m:r>
      </m:oMath>
      <w:r>
        <w:t xml:space="preserve">. Since</w:t>
      </w:r>
      <w:r>
        <w:t xml:space="preserve"> </w:t>
      </w:r>
      <m:oMath>
        <m:r>
          <m:t>F</m:t>
        </m:r>
        <m:d>
          <m:dPr>
            <m:begChr m:val="("/>
            <m:endChr m:val=")"/>
            <m:sepChr m:val=""/>
            <m:grow/>
          </m:dPr>
          <m:e>
            <m:r>
              <m:t>S</m:t>
            </m:r>
          </m:e>
        </m:d>
        <m:r>
          <m:rPr>
            <m:sty m:val="p"/>
          </m:rPr>
          <m:t>≠</m:t>
        </m:r>
        <m:r>
          <m:t>G</m:t>
        </m:r>
        <m:d>
          <m:dPr>
            <m:begChr m:val="("/>
            <m:endChr m:val=")"/>
            <m:sepChr m:val=""/>
            <m:grow/>
          </m:dPr>
          <m:e>
            <m:r>
              <m:t>S</m:t>
            </m:r>
          </m:e>
        </m:d>
      </m:oMath>
      <w:r>
        <w:t xml:space="preserve">, their optimal values differ, contradicting statement 3.</w:t>
      </w:r>
      <w:r>
        <w:t xml:space="preserve"> </w:t>
      </w:r>
      <m:oMath>
        <m:r>
          <m:rPr>
            <m:sty m:val="p"/>
          </m:rPr>
          <m:t>▫</m:t>
        </m:r>
      </m:oMath>
    </w:p>
    <w:p>
      <w:pPr>
        <w:pStyle w:val="BodyText"/>
      </w:pPr>
      <w:r>
        <w:t xml:space="preserve">For</w:t>
      </w:r>
      <w:r>
        <w:t xml:space="preserve"> </w:t>
      </w:r>
      <m:oMath>
        <m:r>
          <m:t>B</m:t>
        </m:r>
        <m:r>
          <m:rPr>
            <m:sty m:val="p"/>
          </m:rPr>
          <m:t>=</m:t>
        </m:r>
        <m:r>
          <m:t>1</m:t>
        </m:r>
      </m:oMath>
      <w:r>
        <w:t xml:space="preserve">, only singleton costs matter. The quantifier over all positive</w:t>
      </w:r>
      <w:r>
        <w:t xml:space="preserve"> </w:t>
      </w:r>
      <m:oMath>
        <m:r>
          <m:t>λ</m:t>
        </m:r>
      </m:oMath>
      <w:r>
        <w:t xml:space="preserve"> </w:t>
      </w:r>
      <w:r>
        <w:t xml:space="preserve">is essential: a sufficiently high fixed penalty can make immediate stopping optimal in both networks and conceal cost differences.</w:t>
      </w:r>
    </w:p>
    <w:p>
      <w:pPr>
        <w:pStyle w:val="BodyText"/>
      </w:pPr>
      <w:r>
        <w:t xml:space="preserve">Blackwell’s comparison of experiments [2] provides a classical decision-theoretic use of universal quantification over decision problems. The objects compared here are acquisition-cost functions: the observation experiment is the same on both sides of each comparison. Theorem 5.1 characterizes when cost differences can be detected by some such experiment; it is not a characterization of the informational equivalence of observation channels.</w:t>
      </w:r>
    </w:p>
    <w:bookmarkEnd w:id="40"/>
    <w:bookmarkStart w:id="41" w:name="failure-for-general-shared-resources"/>
    <w:p>
      <w:pPr>
        <w:pStyle w:val="Heading2"/>
      </w:pPr>
      <w:r>
        <w:t xml:space="preserve">5.2. Failure for general shared resources</w:t>
      </w:r>
    </w:p>
    <w:p>
      <w:pPr>
        <w:pStyle w:val="FirstParagraph"/>
      </w:pPr>
      <w:r>
        <w:t xml:space="preserve">Rooted-path structure cannot be inferred solely from a compatible pair table. Consider three sources.</w:t>
      </w:r>
    </w:p>
    <w:p>
      <w:pPr>
        <w:pStyle w:val="BodyText"/>
      </w:pPr>
      <w:r>
        <w:t xml:space="preserve">In system A, there are three resources</w:t>
      </w:r>
      <w:r>
        <w:t xml:space="preserve"> </w:t>
      </w:r>
      <m:oMath>
        <m:sSub>
          <m:e>
            <m:r>
              <m:t>e</m:t>
            </m:r>
          </m:e>
          <m:sub>
            <m:r>
              <m:t>12</m:t>
            </m:r>
          </m:sub>
        </m:sSub>
        <m:r>
          <m:rPr>
            <m:sty m:val="p"/>
          </m:rPr>
          <m:t>,</m:t>
        </m:r>
        <m:sSub>
          <m:e>
            <m:r>
              <m:t>e</m:t>
            </m:r>
          </m:e>
          <m:sub>
            <m:r>
              <m:t>13</m:t>
            </m:r>
          </m:sub>
        </m:sSub>
        <m:r>
          <m:rPr>
            <m:sty m:val="p"/>
          </m:rPr>
          <m:t>,</m:t>
        </m:r>
        <m:sSub>
          <m:e>
            <m:r>
              <m:t>e</m:t>
            </m:r>
          </m:e>
          <m:sub>
            <m:r>
              <m:t>23</m:t>
            </m:r>
          </m:sub>
        </m:sSub>
      </m:oMath>
      <w:r>
        <w:t xml:space="preserve">, each of cost one. Source 1 uses</w:t>
      </w:r>
      <w:r>
        <w:t xml:space="preserve"> </w:t>
      </w:r>
      <m:oMath>
        <m:sSub>
          <m:e>
            <m:r>
              <m:t>e</m:t>
            </m:r>
          </m:e>
          <m:sub>
            <m:r>
              <m:t>12</m:t>
            </m:r>
          </m:sub>
        </m:sSub>
        <m:r>
          <m:rPr>
            <m:sty m:val="p"/>
          </m:rPr>
          <m:t>,</m:t>
        </m:r>
        <m:sSub>
          <m:e>
            <m:r>
              <m:t>e</m:t>
            </m:r>
          </m:e>
          <m:sub>
            <m:r>
              <m:t>13</m:t>
            </m:r>
          </m:sub>
        </m:sSub>
      </m:oMath>
      <w:r>
        <w:t xml:space="preserve">; source 2 uses</w:t>
      </w:r>
      <w:r>
        <w:t xml:space="preserve"> </w:t>
      </w:r>
      <m:oMath>
        <m:sSub>
          <m:e>
            <m:r>
              <m:t>e</m:t>
            </m:r>
          </m:e>
          <m:sub>
            <m:r>
              <m:t>12</m:t>
            </m:r>
          </m:sub>
        </m:sSub>
        <m:r>
          <m:rPr>
            <m:sty m:val="p"/>
          </m:rPr>
          <m:t>,</m:t>
        </m:r>
        <m:sSub>
          <m:e>
            <m:r>
              <m:t>e</m:t>
            </m:r>
          </m:e>
          <m:sub>
            <m:r>
              <m:t>23</m:t>
            </m:r>
          </m:sub>
        </m:sSub>
      </m:oMath>
      <w:r>
        <w:t xml:space="preserve">; source 3 uses</w:t>
      </w:r>
      <w:r>
        <w:t xml:space="preserve"> </w:t>
      </w:r>
      <m:oMath>
        <m:sSub>
          <m:e>
            <m:r>
              <m:t>e</m:t>
            </m:r>
          </m:e>
          <m:sub>
            <m:r>
              <m:t>13</m:t>
            </m:r>
          </m:sub>
        </m:sSub>
        <m:r>
          <m:rPr>
            <m:sty m:val="p"/>
          </m:rPr>
          <m:t>,</m:t>
        </m:r>
        <m:sSub>
          <m:e>
            <m:r>
              <m:t>e</m:t>
            </m:r>
          </m:e>
          <m:sub>
            <m:r>
              <m:t>23</m:t>
            </m:r>
          </m:sub>
        </m:sSub>
      </m:oMath>
      <w:r>
        <w:t xml:space="preserve">.</w:t>
      </w:r>
    </w:p>
    <w:p>
      <w:pPr>
        <w:pStyle w:val="BodyText"/>
      </w:pPr>
      <w:r>
        <w:t xml:space="preserve">In system B, every source uses a common resource of cost one and its own private resource of cost one.</w:t>
      </w:r>
    </w:p>
    <w:p>
      <w:pPr>
        <w:pStyle w:val="BodyText"/>
        <w:keepNext/>
      </w:pPr>
      <w:r>
        <w:t xml:space="preserve">Both systems have singleton cost two and pair cost three. Their triple costs differ:</w:t>
      </w:r>
    </w:p>
    <w:p>
      <w:pPr>
        <w:pStyle w:val="Equation"/>
        <w:tabs>
          <w:tab w:pos="4680" w:val="center"/>
          <w:tab w:pos="9792" w:val="right"/>
        </w:tabs>
        <w:jc w:val="left"/>
      </w:pPr>
      <w:r>
        <w:tab/>
      </w:r>
      <m:oMath>
        <m:sSub>
          <m:e>
            <m:r>
              <m:t>F</m:t>
            </m:r>
          </m:e>
          <m:sub>
            <m:r>
              <m:t>A</m:t>
            </m:r>
          </m:sub>
        </m:sSub>
        <m:d>
          <m:dPr>
            <m:begChr m:val="("/>
            <m:endChr m:val=")"/>
            <m:sepChr m:val=""/>
            <m:grow/>
          </m:dPr>
          <m:e>
            <m:r>
              <m:rPr>
                <m:sty m:val="p"/>
              </m:rPr>
              <m:t>{</m:t>
            </m:r>
            <m:r>
              <m:t>1</m:t>
            </m:r>
            <m:r>
              <m:rPr>
                <m:sty m:val="p"/>
              </m:rPr>
              <m:t>,</m:t>
            </m:r>
            <m:r>
              <m:t>2</m:t>
            </m:r>
            <m:r>
              <m:rPr>
                <m:sty m:val="p"/>
              </m:rPr>
              <m:t>,</m:t>
            </m:r>
            <m:r>
              <m:t>3</m:t>
            </m:r>
            <m:r>
              <m:rPr>
                <m:sty m:val="p"/>
              </m:rPr>
              <m:t>}</m:t>
            </m:r>
          </m:e>
        </m:d>
        <m:r>
          <m:rPr>
            <m:sty m:val="p"/>
          </m:rPr>
          <m:t>=</m:t>
        </m:r>
        <m:r>
          <m:t>3</m:t>
        </m:r>
        <m:r>
          <m:rPr>
            <m:sty m:val="p"/>
          </m:rPr>
          <m:t>,</m:t>
        </m:r>
        <m:r>
          <m:t>  </m:t>
        </m:r>
        <m:sSub>
          <m:e>
            <m:r>
              <m:t>F</m:t>
            </m:r>
          </m:e>
          <m:sub>
            <m:r>
              <m:t>B</m:t>
            </m:r>
          </m:sub>
        </m:sSub>
        <m:d>
          <m:dPr>
            <m:begChr m:val="("/>
            <m:endChr m:val=")"/>
            <m:sepChr m:val=""/>
            <m:grow/>
          </m:dPr>
          <m:e>
            <m:r>
              <m:rPr>
                <m:sty m:val="p"/>
              </m:rPr>
              <m:t>{</m:t>
            </m:r>
            <m:r>
              <m:t>1</m:t>
            </m:r>
            <m:r>
              <m:rPr>
                <m:sty m:val="p"/>
              </m:rPr>
              <m:t>,</m:t>
            </m:r>
            <m:r>
              <m:t>2</m:t>
            </m:r>
            <m:r>
              <m:rPr>
                <m:sty m:val="p"/>
              </m:rPr>
              <m:t>,</m:t>
            </m:r>
            <m:r>
              <m:t>3</m:t>
            </m:r>
            <m:r>
              <m:rPr>
                <m:sty m:val="p"/>
              </m:rPr>
              <m:t>}</m:t>
            </m:r>
          </m:e>
        </m:d>
        <m:r>
          <m:rPr>
            <m:sty m:val="p"/>
          </m:rPr>
          <m:t>=</m:t>
        </m:r>
        <m:r>
          <m:t>4</m:t>
        </m:r>
        <m:r>
          <m:rPr>
            <m:sty m:val="p"/>
          </m:rPr>
          <m:t>.</m:t>
        </m:r>
      </m:oMath>
      <w:r>
        <w:tab/>
        <w:t>(20)</w:t>
      </w:r>
    </w:p>
    <w:p>
      <w:pPr>
        <w:pStyle w:val="BodyText"/>
      </w:pPr>
      <w:r>
        <w:t xml:space="preserve">System B is a rooted-tree model; system A is a general coverage system. Individual and pairwise measurements therefore cannot identify all group costs over the broader class. Even a table satisfying Proposition 2.1 does not certify that the physical system has rooted-path structure.</w:t>
      </w:r>
    </w:p>
    <w:bookmarkEnd w:id="41"/>
    <w:bookmarkEnd w:id="42"/>
    <w:bookmarkStart w:id="46" w:name="synthetic-manufacturing-illustration"/>
    <w:p>
      <w:pPr>
        <w:pStyle w:val="Heading1"/>
      </w:pPr>
      <w:r>
        <w:t xml:space="preserve">6. Synthetic manufacturing illustration</w:t>
      </w:r>
    </w:p>
    <w:bookmarkStart w:id="43" w:name="fully-specified-instance"/>
    <w:p>
      <w:pPr>
        <w:pStyle w:val="Heading2"/>
      </w:pPr>
      <w:r>
        <w:t xml:space="preserve">6.1. Fully specified instance</w:t>
      </w:r>
    </w:p>
    <w:p>
      <w:pPr>
        <w:pStyle w:val="FirstParagraph"/>
      </w:pPr>
      <w:r>
        <w:t xml:space="preserve">Consider six evidence sources: telemetry, quality, maintenance, materials, scheduling, and assembly. Their labels describe diagnostic roles. No physical factory data or language-model outputs are used.</w:t>
      </w:r>
    </w:p>
    <w:p>
      <w:pPr>
        <w:pStyle w:val="BodyText"/>
        <w:keepNext/>
      </w:pPr>
      <w:r>
        <w:t xml:space="preserve">The rooted routing tree has the following activation edges.</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7272"/>
        <w:gridCol w:w="2520"/>
      </w:tblGrid>
      <w:tr>
        <w:trPr>
          <w:tblHeader w:val="true"/>
          <w:cantSplit/>
          <w:tblHeader/>
        </w:trPr>
        <w:tc>
          <w:tcPr>
            <w:tcW w:type="dxa" w:w="7272"/>
            <w:vAlign w:val="center"/>
            <w:shd w:fill="E9ECEF"/>
          </w:tcPr>
          <w:p>
            <w:pPr>
              <w:pStyle w:val="TableBody"/>
              <w:keepNext/>
              <w:jc w:val="left"/>
            </w:pPr>
            <w:r>
              <w:rPr>
                <w:b/>
                <w:sz w:val="20"/>
              </w:rPr>
              <w:t xml:space="preserve">Edge</w:t>
            </w:r>
          </w:p>
        </w:tc>
        <w:tc>
          <w:tcPr>
            <w:tcW w:type="dxa" w:w="2520"/>
            <w:vAlign w:val="center"/>
            <w:shd w:fill="E9ECEF"/>
          </w:tcPr>
          <w:p>
            <w:pPr>
              <w:pStyle w:val="TableBody"/>
              <w:keepNext/>
              <w:jc w:val="center"/>
            </w:pPr>
            <w:r>
              <w:rPr>
                <w:b/>
                <w:sz w:val="20"/>
              </w:rPr>
              <w:t xml:space="preserve">Activation cost</w:t>
            </w:r>
          </w:p>
        </w:tc>
      </w:tr>
      <w:tr>
        <w:trPr>
          <w:cantSplit/>
        </w:trPr>
        <w:tc>
          <w:tcPr>
            <w:tcW w:type="dxa" w:w="7272"/>
            <w:vAlign w:val="center"/>
          </w:tcPr>
          <w:p>
            <w:pPr>
              <w:pStyle w:val="TableBody"/>
              <w:keepNext/>
              <w:jc w:val="left"/>
            </w:pPr>
            <w:r>
              <w:rPr>
                <w:b w:val="0"/>
                <w:sz w:val="20"/>
              </w:rPr>
              <w:t xml:space="preserve">Coordinator → Telemetry</w:t>
            </w:r>
          </w:p>
        </w:tc>
        <w:tc>
          <w:tcPr>
            <w:tcW w:type="dxa" w:w="2520"/>
            <w:vAlign w:val="center"/>
          </w:tcPr>
          <w:p>
            <w:pPr>
              <w:pStyle w:val="TableBody"/>
              <w:keepNext/>
              <w:jc w:val="center"/>
            </w:pPr>
            <w:r>
              <w:rPr>
                <w:b w:val="0"/>
                <w:sz w:val="20"/>
              </w:rPr>
              <w:t xml:space="preserve">2.0</w:t>
            </w:r>
          </w:p>
        </w:tc>
      </w:tr>
      <w:tr>
        <w:trPr>
          <w:cantSplit/>
        </w:trPr>
        <w:tc>
          <w:tcPr>
            <w:tcW w:type="dxa" w:w="7272"/>
            <w:vAlign w:val="center"/>
          </w:tcPr>
          <w:p>
            <w:pPr>
              <w:pStyle w:val="TableBody"/>
              <w:keepNext/>
              <w:jc w:val="left"/>
            </w:pPr>
            <w:r>
              <w:rPr>
                <w:b w:val="0"/>
                <w:sz w:val="20"/>
              </w:rPr>
              <w:t xml:space="preserve">Telemetry → Quality</w:t>
            </w:r>
          </w:p>
        </w:tc>
        <w:tc>
          <w:tcPr>
            <w:tcW w:type="dxa" w:w="2520"/>
            <w:vAlign w:val="center"/>
          </w:tcPr>
          <w:p>
            <w:pPr>
              <w:pStyle w:val="TableBody"/>
              <w:keepNext/>
              <w:jc w:val="center"/>
            </w:pPr>
            <w:r>
              <w:rPr>
                <w:b w:val="0"/>
                <w:sz w:val="20"/>
              </w:rPr>
              <w:t xml:space="preserve">1.6</w:t>
            </w:r>
          </w:p>
        </w:tc>
      </w:tr>
      <w:tr>
        <w:trPr>
          <w:cantSplit/>
        </w:trPr>
        <w:tc>
          <w:tcPr>
            <w:tcW w:type="dxa" w:w="7272"/>
            <w:vAlign w:val="center"/>
          </w:tcPr>
          <w:p>
            <w:pPr>
              <w:pStyle w:val="TableBody"/>
              <w:keepNext/>
              <w:jc w:val="left"/>
            </w:pPr>
            <w:r>
              <w:rPr>
                <w:b w:val="0"/>
                <w:sz w:val="20"/>
              </w:rPr>
              <w:t xml:space="preserve">Telemetry → Maintenance</w:t>
            </w:r>
          </w:p>
        </w:tc>
        <w:tc>
          <w:tcPr>
            <w:tcW w:type="dxa" w:w="2520"/>
            <w:vAlign w:val="center"/>
          </w:tcPr>
          <w:p>
            <w:pPr>
              <w:pStyle w:val="TableBody"/>
              <w:keepNext/>
              <w:jc w:val="center"/>
            </w:pPr>
            <w:r>
              <w:rPr>
                <w:b w:val="0"/>
                <w:sz w:val="20"/>
              </w:rPr>
              <w:t xml:space="preserve">1.4</w:t>
            </w:r>
          </w:p>
        </w:tc>
      </w:tr>
      <w:tr>
        <w:trPr>
          <w:cantSplit/>
        </w:trPr>
        <w:tc>
          <w:tcPr>
            <w:tcW w:type="dxa" w:w="7272"/>
            <w:vAlign w:val="center"/>
          </w:tcPr>
          <w:p>
            <w:pPr>
              <w:pStyle w:val="TableBody"/>
              <w:keepNext/>
              <w:jc w:val="left"/>
            </w:pPr>
            <w:r>
              <w:rPr>
                <w:b w:val="0"/>
                <w:sz w:val="20"/>
              </w:rPr>
              <w:t xml:space="preserve">Coordinator → Materials</w:t>
            </w:r>
          </w:p>
        </w:tc>
        <w:tc>
          <w:tcPr>
            <w:tcW w:type="dxa" w:w="2520"/>
            <w:vAlign w:val="center"/>
          </w:tcPr>
          <w:p>
            <w:pPr>
              <w:pStyle w:val="TableBody"/>
              <w:keepNext/>
              <w:jc w:val="center"/>
            </w:pPr>
            <w:r>
              <w:rPr>
                <w:b w:val="0"/>
                <w:sz w:val="20"/>
              </w:rPr>
              <w:t xml:space="preserve">2.6</w:t>
            </w:r>
          </w:p>
        </w:tc>
      </w:tr>
      <w:tr>
        <w:trPr>
          <w:cantSplit/>
        </w:trPr>
        <w:tc>
          <w:tcPr>
            <w:tcW w:type="dxa" w:w="7272"/>
            <w:vAlign w:val="center"/>
          </w:tcPr>
          <w:p>
            <w:pPr>
              <w:pStyle w:val="TableBody"/>
              <w:keepNext/>
              <w:jc w:val="left"/>
            </w:pPr>
            <w:r>
              <w:rPr>
                <w:b w:val="0"/>
                <w:sz w:val="20"/>
              </w:rPr>
              <w:t xml:space="preserve">Coordinator → Scheduling</w:t>
            </w:r>
          </w:p>
        </w:tc>
        <w:tc>
          <w:tcPr>
            <w:tcW w:type="dxa" w:w="2520"/>
            <w:vAlign w:val="center"/>
          </w:tcPr>
          <w:p>
            <w:pPr>
              <w:pStyle w:val="TableBody"/>
              <w:keepNext/>
              <w:jc w:val="center"/>
            </w:pPr>
            <w:r>
              <w:rPr>
                <w:b w:val="0"/>
                <w:sz w:val="20"/>
              </w:rPr>
              <w:t xml:space="preserve">2.0</w:t>
            </w:r>
          </w:p>
        </w:tc>
      </w:tr>
      <w:tr>
        <w:trPr>
          <w:cantSplit/>
        </w:trPr>
        <w:tc>
          <w:tcPr>
            <w:tcW w:type="dxa" w:w="7272"/>
            <w:vAlign w:val="center"/>
          </w:tcPr>
          <w:p>
            <w:pPr>
              <w:pStyle w:val="TableBody"/>
              <w:keepNext w:val="0"/>
              <w:jc w:val="left"/>
            </w:pPr>
            <w:r>
              <w:rPr>
                <w:b w:val="0"/>
                <w:sz w:val="20"/>
              </w:rPr>
              <w:t xml:space="preserve">Scheduling → Assembly</w:t>
            </w:r>
          </w:p>
        </w:tc>
        <w:tc>
          <w:tcPr>
            <w:tcW w:type="dxa" w:w="2520"/>
            <w:vAlign w:val="center"/>
          </w:tcPr>
          <w:p>
            <w:pPr>
              <w:pStyle w:val="TableBody"/>
              <w:keepNext w:val="0"/>
              <w:jc w:val="center"/>
            </w:pPr>
            <w:r>
              <w:rPr>
                <w:b w:val="0"/>
                <w:sz w:val="20"/>
              </w:rPr>
              <w:t xml:space="preserve">1.8</w:t>
            </w:r>
          </w:p>
        </w:tc>
      </w:tr>
    </w:tbl>
    <w:p>
      <w:pPr>
        <w:pStyle w:val="BodyText"/>
        <w:spacing w:before="120"/>
      </w:pPr>
      <w:r>
        <w:t xml:space="preserve">An activation expense is paid once per investigation.</w:t>
      </w:r>
    </w:p>
    <w:p>
      <w:pPr>
        <w:pStyle w:val="BodyText"/>
        <w:keepNext/>
        <w:spacing w:before="140" w:after="100"/>
      </w:pPr>
      <w:r>
        <w:rPr>
          <w:bCs/>
          <w:b/>
        </w:rPr>
        <w:t xml:space="preserve">Table 1. Synthetic source parameters.</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3096"/>
        <w:gridCol w:w="2016"/>
        <w:gridCol w:w="2088"/>
        <w:gridCol w:w="2592"/>
      </w:tblGrid>
      <w:tr>
        <w:trPr>
          <w:tblHeader w:val="true"/>
          <w:cantSplit/>
          <w:tblHeader/>
        </w:trPr>
        <w:tc>
          <w:tcPr>
            <w:tcW w:type="dxa" w:w="3096"/>
            <w:vAlign w:val="center"/>
            <w:shd w:fill="E9ECEF"/>
          </w:tcPr>
          <w:p>
            <w:pPr>
              <w:pStyle w:val="TableBody"/>
              <w:keepNext/>
              <w:jc w:val="left"/>
            </w:pPr>
            <w:r>
              <w:rPr>
                <w:b/>
                <w:sz w:val="20"/>
              </w:rPr>
              <w:t xml:space="preserve">Source</w:t>
            </w:r>
          </w:p>
        </w:tc>
        <w:tc>
          <w:tcPr>
            <w:tcW w:type="dxa" w:w="2016"/>
            <w:vAlign w:val="center"/>
            <w:shd w:fill="E9ECEF"/>
          </w:tcPr>
          <w:p>
            <w:pPr>
              <w:pStyle w:val="TableBody"/>
              <w:keepNext/>
              <w:jc w:val="center"/>
            </w:pPr>
            <w:r>
              <w:rPr>
                <w:b/>
                <w:sz w:val="20"/>
              </w:rPr>
              <w:t xml:space="preserve">Service cost</w:t>
            </w:r>
          </w:p>
        </w:tc>
        <w:tc>
          <w:tcPr>
            <w:tcW w:type="dxa" w:w="2088"/>
            <w:vAlign w:val="center"/>
            <w:shd w:fill="E9ECEF"/>
          </w:tcPr>
          <w:p>
            <w:pPr>
              <w:pStyle w:val="TableBody"/>
              <w:keepNext/>
              <w:jc w:val="center"/>
            </w:pPr>
            <w:r>
              <w:rPr>
                <w:b/>
                <w:sz w:val="20"/>
              </w:rPr>
              <w:t xml:space="preserve">Singleton cost</w:t>
            </w:r>
          </w:p>
        </w:tc>
        <w:tc>
          <w:tcPr>
            <w:tcW w:type="dxa" w:w="2592"/>
            <w:vAlign w:val="center"/>
            <w:shd w:fill="E9ECEF"/>
          </w:tcPr>
          <w:p>
            <w:pPr>
              <w:pStyle w:val="TableBody"/>
              <w:keepNext/>
              <w:jc w:val="center"/>
            </w:pPr>
            <w:r>
              <w:rPr>
                <w:b/>
                <w:sz w:val="20"/>
              </w:rPr>
              <w:t xml:space="preserve">Assumed accuracy</w:t>
            </w:r>
          </w:p>
        </w:tc>
      </w:tr>
      <w:tr>
        <w:trPr>
          <w:cantSplit/>
        </w:trPr>
        <w:tc>
          <w:tcPr>
            <w:tcW w:type="dxa" w:w="3096"/>
            <w:vAlign w:val="center"/>
          </w:tcPr>
          <w:p>
            <w:pPr>
              <w:pStyle w:val="TableBody"/>
              <w:keepNext/>
              <w:jc w:val="left"/>
            </w:pPr>
            <w:r>
              <w:rPr>
                <w:b w:val="0"/>
                <w:sz w:val="20"/>
              </w:rPr>
              <w:t xml:space="preserve">Telemetry</w:t>
            </w:r>
          </w:p>
        </w:tc>
        <w:tc>
          <w:tcPr>
            <w:tcW w:type="dxa" w:w="2016"/>
            <w:vAlign w:val="center"/>
          </w:tcPr>
          <w:p>
            <w:pPr>
              <w:pStyle w:val="TableBody"/>
              <w:keepNext/>
              <w:jc w:val="center"/>
            </w:pPr>
            <w:r>
              <w:rPr>
                <w:b w:val="0"/>
                <w:sz w:val="20"/>
              </w:rPr>
              <w:t xml:space="preserve">1.0</w:t>
            </w:r>
          </w:p>
        </w:tc>
        <w:tc>
          <w:tcPr>
            <w:tcW w:type="dxa" w:w="2088"/>
            <w:vAlign w:val="center"/>
          </w:tcPr>
          <w:p>
            <w:pPr>
              <w:pStyle w:val="TableBody"/>
              <w:keepNext/>
              <w:jc w:val="center"/>
            </w:pPr>
            <w:r>
              <w:rPr>
                <w:b w:val="0"/>
                <w:sz w:val="20"/>
              </w:rPr>
              <w:t xml:space="preserve">3.0</w:t>
            </w:r>
          </w:p>
        </w:tc>
        <w:tc>
          <w:tcPr>
            <w:tcW w:type="dxa" w:w="2592"/>
            <w:vAlign w:val="center"/>
          </w:tcPr>
          <w:p>
            <w:pPr>
              <w:pStyle w:val="TableBody"/>
              <w:keepNext/>
              <w:jc w:val="center"/>
            </w:pPr>
            <w:r>
              <w:rPr>
                <w:b w:val="0"/>
                <w:sz w:val="20"/>
              </w:rPr>
              <w:t xml:space="preserve">0.75</w:t>
            </w:r>
          </w:p>
        </w:tc>
      </w:tr>
      <w:tr>
        <w:trPr>
          <w:cantSplit/>
        </w:trPr>
        <w:tc>
          <w:tcPr>
            <w:tcW w:type="dxa" w:w="3096"/>
            <w:vAlign w:val="center"/>
          </w:tcPr>
          <w:p>
            <w:pPr>
              <w:pStyle w:val="TableBody"/>
              <w:keepNext/>
              <w:jc w:val="left"/>
            </w:pPr>
            <w:r>
              <w:rPr>
                <w:b w:val="0"/>
                <w:sz w:val="20"/>
              </w:rPr>
              <w:t xml:space="preserve">Quality</w:t>
            </w:r>
          </w:p>
        </w:tc>
        <w:tc>
          <w:tcPr>
            <w:tcW w:type="dxa" w:w="2016"/>
            <w:vAlign w:val="center"/>
          </w:tcPr>
          <w:p>
            <w:pPr>
              <w:pStyle w:val="TableBody"/>
              <w:keepNext/>
              <w:jc w:val="center"/>
            </w:pPr>
            <w:r>
              <w:rPr>
                <w:b w:val="0"/>
                <w:sz w:val="20"/>
              </w:rPr>
              <w:t xml:space="preserve">1.1</w:t>
            </w:r>
          </w:p>
        </w:tc>
        <w:tc>
          <w:tcPr>
            <w:tcW w:type="dxa" w:w="2088"/>
            <w:vAlign w:val="center"/>
          </w:tcPr>
          <w:p>
            <w:pPr>
              <w:pStyle w:val="TableBody"/>
              <w:keepNext/>
              <w:jc w:val="center"/>
            </w:pPr>
            <w:r>
              <w:rPr>
                <w:b w:val="0"/>
                <w:sz w:val="20"/>
              </w:rPr>
              <w:t xml:space="preserve">4.7</w:t>
            </w:r>
          </w:p>
        </w:tc>
        <w:tc>
          <w:tcPr>
            <w:tcW w:type="dxa" w:w="2592"/>
            <w:vAlign w:val="center"/>
          </w:tcPr>
          <w:p>
            <w:pPr>
              <w:pStyle w:val="TableBody"/>
              <w:keepNext/>
              <w:jc w:val="center"/>
            </w:pPr>
            <w:r>
              <w:rPr>
                <w:b w:val="0"/>
                <w:sz w:val="20"/>
              </w:rPr>
              <w:t xml:space="preserve">0.80</w:t>
            </w:r>
          </w:p>
        </w:tc>
      </w:tr>
      <w:tr>
        <w:trPr>
          <w:cantSplit/>
        </w:trPr>
        <w:tc>
          <w:tcPr>
            <w:tcW w:type="dxa" w:w="3096"/>
            <w:vAlign w:val="center"/>
          </w:tcPr>
          <w:p>
            <w:pPr>
              <w:pStyle w:val="TableBody"/>
              <w:keepNext/>
              <w:jc w:val="left"/>
            </w:pPr>
            <w:r>
              <w:rPr>
                <w:b w:val="0"/>
                <w:sz w:val="20"/>
              </w:rPr>
              <w:t xml:space="preserve">Maintenance</w:t>
            </w:r>
          </w:p>
        </w:tc>
        <w:tc>
          <w:tcPr>
            <w:tcW w:type="dxa" w:w="2016"/>
            <w:vAlign w:val="center"/>
          </w:tcPr>
          <w:p>
            <w:pPr>
              <w:pStyle w:val="TableBody"/>
              <w:keepNext/>
              <w:jc w:val="center"/>
            </w:pPr>
            <w:r>
              <w:rPr>
                <w:b w:val="0"/>
                <w:sz w:val="20"/>
              </w:rPr>
              <w:t xml:space="preserve">0.9</w:t>
            </w:r>
          </w:p>
        </w:tc>
        <w:tc>
          <w:tcPr>
            <w:tcW w:type="dxa" w:w="2088"/>
            <w:vAlign w:val="center"/>
          </w:tcPr>
          <w:p>
            <w:pPr>
              <w:pStyle w:val="TableBody"/>
              <w:keepNext/>
              <w:jc w:val="center"/>
            </w:pPr>
            <w:r>
              <w:rPr>
                <w:b w:val="0"/>
                <w:sz w:val="20"/>
              </w:rPr>
              <w:t xml:space="preserve">4.3</w:t>
            </w:r>
          </w:p>
        </w:tc>
        <w:tc>
          <w:tcPr>
            <w:tcW w:type="dxa" w:w="2592"/>
            <w:vAlign w:val="center"/>
          </w:tcPr>
          <w:p>
            <w:pPr>
              <w:pStyle w:val="TableBody"/>
              <w:keepNext/>
              <w:jc w:val="center"/>
            </w:pPr>
            <w:r>
              <w:rPr>
                <w:b w:val="0"/>
                <w:sz w:val="20"/>
              </w:rPr>
              <w:t xml:space="preserve">0.78</w:t>
            </w:r>
          </w:p>
        </w:tc>
      </w:tr>
      <w:tr>
        <w:trPr>
          <w:cantSplit/>
        </w:trPr>
        <w:tc>
          <w:tcPr>
            <w:tcW w:type="dxa" w:w="3096"/>
            <w:vAlign w:val="center"/>
          </w:tcPr>
          <w:p>
            <w:pPr>
              <w:pStyle w:val="TableBody"/>
              <w:keepNext/>
              <w:jc w:val="left"/>
            </w:pPr>
            <w:r>
              <w:rPr>
                <w:b w:val="0"/>
                <w:sz w:val="20"/>
              </w:rPr>
              <w:t xml:space="preserve">Materials</w:t>
            </w:r>
          </w:p>
        </w:tc>
        <w:tc>
          <w:tcPr>
            <w:tcW w:type="dxa" w:w="2016"/>
            <w:vAlign w:val="center"/>
          </w:tcPr>
          <w:p>
            <w:pPr>
              <w:pStyle w:val="TableBody"/>
              <w:keepNext/>
              <w:jc w:val="center"/>
            </w:pPr>
            <w:r>
              <w:rPr>
                <w:b w:val="0"/>
                <w:sz w:val="20"/>
              </w:rPr>
              <w:t xml:space="preserve">0.8</w:t>
            </w:r>
          </w:p>
        </w:tc>
        <w:tc>
          <w:tcPr>
            <w:tcW w:type="dxa" w:w="2088"/>
            <w:vAlign w:val="center"/>
          </w:tcPr>
          <w:p>
            <w:pPr>
              <w:pStyle w:val="TableBody"/>
              <w:keepNext/>
              <w:jc w:val="center"/>
            </w:pPr>
            <w:r>
              <w:rPr>
                <w:b w:val="0"/>
                <w:sz w:val="20"/>
              </w:rPr>
              <w:t xml:space="preserve">3.4</w:t>
            </w:r>
          </w:p>
        </w:tc>
        <w:tc>
          <w:tcPr>
            <w:tcW w:type="dxa" w:w="2592"/>
            <w:vAlign w:val="center"/>
          </w:tcPr>
          <w:p>
            <w:pPr>
              <w:pStyle w:val="TableBody"/>
              <w:keepNext/>
              <w:jc w:val="center"/>
            </w:pPr>
            <w:r>
              <w:rPr>
                <w:b w:val="0"/>
                <w:sz w:val="20"/>
              </w:rPr>
              <w:t xml:space="preserve">0.65</w:t>
            </w:r>
          </w:p>
        </w:tc>
      </w:tr>
      <w:tr>
        <w:trPr>
          <w:cantSplit/>
        </w:trPr>
        <w:tc>
          <w:tcPr>
            <w:tcW w:type="dxa" w:w="3096"/>
            <w:vAlign w:val="center"/>
          </w:tcPr>
          <w:p>
            <w:pPr>
              <w:pStyle w:val="TableBody"/>
              <w:keepNext/>
              <w:jc w:val="left"/>
            </w:pPr>
            <w:r>
              <w:rPr>
                <w:b w:val="0"/>
                <w:sz w:val="20"/>
              </w:rPr>
              <w:t xml:space="preserve">Scheduling</w:t>
            </w:r>
          </w:p>
        </w:tc>
        <w:tc>
          <w:tcPr>
            <w:tcW w:type="dxa" w:w="2016"/>
            <w:vAlign w:val="center"/>
          </w:tcPr>
          <w:p>
            <w:pPr>
              <w:pStyle w:val="TableBody"/>
              <w:keepNext/>
              <w:jc w:val="center"/>
            </w:pPr>
            <w:r>
              <w:rPr>
                <w:b w:val="0"/>
                <w:sz w:val="20"/>
              </w:rPr>
              <w:t xml:space="preserve">0.9</w:t>
            </w:r>
          </w:p>
        </w:tc>
        <w:tc>
          <w:tcPr>
            <w:tcW w:type="dxa" w:w="2088"/>
            <w:vAlign w:val="center"/>
          </w:tcPr>
          <w:p>
            <w:pPr>
              <w:pStyle w:val="TableBody"/>
              <w:keepNext/>
              <w:jc w:val="center"/>
            </w:pPr>
            <w:r>
              <w:rPr>
                <w:b w:val="0"/>
                <w:sz w:val="20"/>
              </w:rPr>
              <w:t xml:space="preserve">2.9</w:t>
            </w:r>
          </w:p>
        </w:tc>
        <w:tc>
          <w:tcPr>
            <w:tcW w:type="dxa" w:w="2592"/>
            <w:vAlign w:val="center"/>
          </w:tcPr>
          <w:p>
            <w:pPr>
              <w:pStyle w:val="TableBody"/>
              <w:keepNext/>
              <w:jc w:val="center"/>
            </w:pPr>
            <w:r>
              <w:rPr>
                <w:b w:val="0"/>
                <w:sz w:val="20"/>
              </w:rPr>
              <w:t xml:space="preserve">0.70</w:t>
            </w:r>
          </w:p>
        </w:tc>
      </w:tr>
      <w:tr>
        <w:trPr>
          <w:cantSplit/>
        </w:trPr>
        <w:tc>
          <w:tcPr>
            <w:tcW w:type="dxa" w:w="3096"/>
            <w:vAlign w:val="center"/>
          </w:tcPr>
          <w:p>
            <w:pPr>
              <w:pStyle w:val="TableBody"/>
              <w:keepNext w:val="0"/>
              <w:jc w:val="left"/>
            </w:pPr>
            <w:r>
              <w:rPr>
                <w:b w:val="0"/>
                <w:sz w:val="20"/>
              </w:rPr>
              <w:t xml:space="preserve">Assembly</w:t>
            </w:r>
          </w:p>
        </w:tc>
        <w:tc>
          <w:tcPr>
            <w:tcW w:type="dxa" w:w="2016"/>
            <w:vAlign w:val="center"/>
          </w:tcPr>
          <w:p>
            <w:pPr>
              <w:pStyle w:val="TableBody"/>
              <w:keepNext w:val="0"/>
              <w:jc w:val="center"/>
            </w:pPr>
            <w:r>
              <w:rPr>
                <w:b w:val="0"/>
                <w:sz w:val="20"/>
              </w:rPr>
              <w:t xml:space="preserve">1.3</w:t>
            </w:r>
          </w:p>
        </w:tc>
        <w:tc>
          <w:tcPr>
            <w:tcW w:type="dxa" w:w="2088"/>
            <w:vAlign w:val="center"/>
          </w:tcPr>
          <w:p>
            <w:pPr>
              <w:pStyle w:val="TableBody"/>
              <w:keepNext w:val="0"/>
              <w:jc w:val="center"/>
            </w:pPr>
            <w:r>
              <w:rPr>
                <w:b w:val="0"/>
                <w:sz w:val="20"/>
              </w:rPr>
              <w:t xml:space="preserve">5.1</w:t>
            </w:r>
          </w:p>
        </w:tc>
        <w:tc>
          <w:tcPr>
            <w:tcW w:type="dxa" w:w="2592"/>
            <w:vAlign w:val="center"/>
          </w:tcPr>
          <w:p>
            <w:pPr>
              <w:pStyle w:val="TableBody"/>
              <w:keepNext w:val="0"/>
              <w:jc w:val="center"/>
            </w:pPr>
            <w:r>
              <w:rPr>
                <w:b w:val="0"/>
                <w:sz w:val="20"/>
              </w:rPr>
              <w:t xml:space="preserve">0.88</w:t>
            </w:r>
          </w:p>
        </w:tc>
      </w:tr>
    </w:tbl>
    <w:p>
      <w:pPr>
        <w:pStyle w:val="BodyText"/>
        <w:spacing w:before="120"/>
      </w:pPr>
      <w:r>
        <w:t xml:space="preserve">The three pairs within</w:t>
      </w:r>
      <w:r>
        <w:t xml:space="preserve"> </w:t>
      </w:r>
      <m:oMath>
        <m:r>
          <m:rPr>
            <m:sty m:val="p"/>
          </m:rPr>
          <m:t>{</m:t>
        </m:r>
        <m:r>
          <m:rPr>
            <m:nor/>
            <m:sty m:val="p"/>
          </m:rPr>
          <m:t>telemetry</m:t>
        </m:r>
        <m:r>
          <m:rPr>
            <m:sty m:val="p"/>
          </m:rPr>
          <m:t>,</m:t>
        </m:r>
        <m:r>
          <m:rPr>
            <m:nor/>
            <m:sty m:val="p"/>
          </m:rPr>
          <m:t>quality</m:t>
        </m:r>
        <m:r>
          <m:rPr>
            <m:sty m:val="p"/>
          </m:rPr>
          <m:t>,</m:t>
        </m:r>
        <m:r>
          <m:rPr>
            <m:nor/>
            <m:sty m:val="p"/>
          </m:rPr>
          <m:t>maintenance</m:t>
        </m:r>
        <m:r>
          <m:rPr>
            <m:sty m:val="p"/>
          </m:rPr>
          <m:t>}</m:t>
        </m:r>
      </m:oMath>
      <w:r>
        <w:t xml:space="preserve">, and the scheduling–assembly pair, have overlap 2.0. Every other overlap is zero. These values and Table 1 specify every pair cost through (2).</w:t>
      </w:r>
    </w:p>
    <w:p>
      <w:pPr>
        <w:pStyle w:val="BodyText"/>
        <w:keepNext/>
      </w:pPr>
      <w:r>
        <w:t xml:space="preserve">For example, quality and maintenance together cost</w:t>
      </w:r>
    </w:p>
    <w:p>
      <w:pPr>
        <w:pStyle w:val="Equation"/>
        <w:jc w:val="center"/>
      </w:pPr>
      <m:oMathPara>
        <m:oMathParaPr>
          <m:jc m:val="center"/>
        </m:oMathParaPr>
        <m:oMath>
          <m:r>
            <m:t>4.7</m:t>
          </m:r>
          <m:r>
            <m:rPr>
              <m:sty m:val="p"/>
            </m:rPr>
            <m:t>+</m:t>
          </m:r>
          <m:r>
            <m:t>4.3</m:t>
          </m:r>
          <m:r>
            <m:rPr>
              <m:sty m:val="p"/>
            </m:rPr>
            <m:t>−</m:t>
          </m:r>
          <m:r>
            <m:t>2.0</m:t>
          </m:r>
          <m:r>
            <m:rPr>
              <m:sty m:val="p"/>
            </m:rPr>
            <m:t>=</m:t>
          </m:r>
          <m:r>
            <m:t>7.0</m:t>
          </m:r>
          <m:r>
            <m:rPr>
              <m:sty m:val="p"/>
            </m:rPr>
            <m:t>.</m:t>
          </m:r>
        </m:oMath>
      </m:oMathPara>
    </w:p>
    <w:p>
      <w:pPr>
        <w:pStyle w:val="FirstParagraph"/>
      </w:pPr>
      <w:r>
        <w:t xml:space="preserve">Adding telemetry costs</w:t>
      </w:r>
      <w:r>
        <w:t xml:space="preserve"> </w:t>
      </w:r>
      <m:oMath>
        <m:r>
          <m:t>3.0</m:t>
        </m:r>
        <m:r>
          <m:rPr>
            <m:sty m:val="p"/>
          </m:rPr>
          <m:t>−</m:t>
        </m:r>
        <m:r>
          <m:t>2.0</m:t>
        </m:r>
        <m:r>
          <m:rPr>
            <m:sty m:val="p"/>
          </m:rPr>
          <m:t>=</m:t>
        </m:r>
        <m:r>
          <m:t>1.0</m:t>
        </m:r>
      </m:oMath>
      <w:r>
        <w:t xml:space="preserve">, giving a three-source total of 8.0. Acquiring all six sources costs 17.4; the sum of standalone costs is 23.4. This difference follows from the assumed accounting rule and is not an empirical manufacturing saving.</w:t>
      </w:r>
    </w:p>
    <w:p>
      <w:pPr>
        <w:pStyle w:val="BodyText"/>
      </w:pPr>
      <w:r>
        <w:t xml:space="preserve">Let</w:t>
      </w:r>
      <w:r>
        <w:t xml:space="preserve"> </w:t>
      </w:r>
      <m:oMath>
        <m:r>
          <m:t>X</m:t>
        </m:r>
        <m:r>
          <m:rPr>
            <m:sty m:val="p"/>
          </m:rPr>
          <m:t>∈</m:t>
        </m:r>
        <m:r>
          <m:rPr>
            <m:sty m:val="p"/>
          </m:rPr>
          <m:t>{</m:t>
        </m:r>
        <m:r>
          <m:t>0</m:t>
        </m:r>
        <m:r>
          <m:rPr>
            <m:sty m:val="p"/>
          </m:rPr>
          <m:t>,</m:t>
        </m:r>
        <m:r>
          <m:t>1</m:t>
        </m:r>
        <m:r>
          <m:rPr>
            <m:sty m:val="p"/>
          </m:rPr>
          <m:t>}</m:t>
        </m:r>
      </m:oMath>
      <w:r>
        <w:t xml:space="preserve"> </w:t>
      </w:r>
      <w:r>
        <w:t xml:space="preserve">have prior probability</w:t>
      </w:r>
      <w:r>
        <w:t xml:space="preserve"> </w:t>
      </w:r>
      <m:oMath>
        <m:r>
          <m:t>1</m:t>
        </m:r>
        <m:r>
          <m:rPr>
            <m:sty m:val="p"/>
          </m:rPr>
          <m:t>/</m:t>
        </m:r>
        <m:r>
          <m:t>2</m:t>
        </m:r>
      </m:oMath>
      <w:r>
        <w:t xml:space="preserve">. Each source is a binary symmetric channel with the accuracy in Table 1, independently conditional on</w:t>
      </w:r>
      <w:r>
        <w:t xml:space="preserve"> </w:t>
      </w:r>
      <m:oMath>
        <m:r>
          <m:t>X</m:t>
        </m:r>
      </m:oMath>
      <w:r>
        <w:t xml:space="preserve">. The final loss is diagnostic misclassification, and at most four sources may be queried.</w:t>
      </w:r>
    </w:p>
    <w:p>
      <w:pPr>
        <w:pStyle w:val="BodyText"/>
        <w:keepNext/>
      </w:pPr>
      <w:r>
        <w:t xml:space="preserve">We compare the Bellman-optimal policy with a myopic policy minimizing, at each history,</w:t>
      </w:r>
    </w:p>
    <w:p>
      <w:pPr>
        <w:pStyle w:val="Equation"/>
        <w:tabs>
          <w:tab w:pos="4680" w:val="center"/>
          <w:tab w:pos="9792" w:val="right"/>
        </w:tabs>
        <w:jc w:val="left"/>
      </w:pPr>
      <w:r>
        <w:tab/>
      </w:r>
      <m:oMath>
        <m:eqArr>
          <m:eqArrPr>
            <m:baseJc m:val="center"/>
          </m:eqArrPr>
          <m:e>
            <m:r>
              <m:rPr>
                <m:sty m:val="p"/>
                <m:nor/>
              </m:rPr>
              <m:t>min</m:t>
            </m:r>
            <m:r>
              <m:rPr>
                <m:sty m:val="p"/>
              </m:rPr>
              <m:t>{</m:t>
            </m:r>
            <m:r>
              <m:t>r</m:t>
            </m:r>
            <m:d>
              <m:dPr>
                <m:begChr m:val="("/>
                <m:endChr m:val=")"/>
                <m:sepChr m:val=""/>
                <m:grow/>
              </m:dPr>
              <m:e>
                <m:r>
                  <m:t>p</m:t>
                </m:r>
              </m:e>
            </m:d>
            <m:r>
              <m:rPr>
                <m:sty m:val="p"/>
              </m:rPr>
              <m:t>,</m:t>
            </m:r>
            <m:r>
              <m:t> </m:t>
            </m:r>
            <m:limLow>
              <m:e>
                <m:r>
                  <m:rPr>
                    <m:sty m:val="p"/>
                    <m:nor/>
                  </m:rPr>
                  <m:t>min</m:t>
                </m:r>
              </m:e>
              <m:lim>
                <m:r>
                  <m:t>i</m:t>
                </m:r>
                <m:r>
                  <m:rPr>
                    <m:sty m:val="p"/>
                  </m:rPr>
                  <m:t>∉</m:t>
                </m:r>
                <m:r>
                  <m:t>A</m:t>
                </m:r>
              </m:lim>
            </m:limLow>
            <m:r>
              <m:rPr>
                <m:sty m:val="p"/>
              </m:rPr>
              <m:t>[</m:t>
            </m:r>
            <m:r>
              <m:t>λ</m:t>
            </m:r>
            <m:d>
              <m:dPr>
                <m:begChr m:val="("/>
                <m:endChr m:val=")"/>
                <m:sepChr m:val=""/>
                <m:grow/>
              </m:dPr>
              <m:e>
                <m:r>
                  <m:t>F</m:t>
                </m:r>
                <m:d>
                  <m:dPr>
                    <m:begChr m:val="("/>
                    <m:endChr m:val=")"/>
                    <m:sepChr m:val=""/>
                    <m:grow/>
                  </m:dPr>
                  <m:e>
                    <m:r>
                      <m:t>A</m:t>
                    </m:r>
                    <m:r>
                      <m:rPr>
                        <m:sty m:val="p"/>
                      </m:rPr>
                      <m:t>∪</m:t>
                    </m:r>
                    <m:r>
                      <m:rPr>
                        <m:sty m:val="p"/>
                      </m:rPr>
                      <m:t>{</m:t>
                    </m:r>
                    <m:r>
                      <m:t>i</m:t>
                    </m:r>
                    <m:r>
                      <m:rPr>
                        <m:sty m:val="p"/>
                      </m:rPr>
                      <m:t>}</m:t>
                    </m:r>
                  </m:e>
                </m:d>
                <m:r>
                  <m:rPr>
                    <m:sty m:val="p"/>
                  </m:rPr>
                  <m:t>−</m:t>
                </m:r>
                <m:r>
                  <m:t>F</m:t>
                </m:r>
                <m:d>
                  <m:dPr>
                    <m:begChr m:val="("/>
                    <m:endChr m:val=")"/>
                    <m:sepChr m:val=""/>
                    <m:grow/>
                  </m:dPr>
                  <m:e>
                    <m:r>
                      <m:t>A</m:t>
                    </m:r>
                  </m:e>
                </m:d>
              </m:e>
            </m:d>
          </m:e>
          <m:e>
            <m:r>
              <m:rPr>
                <m:sty m:val="p"/>
              </m:rPr>
              <m:t>+</m:t>
            </m:r>
            <m:nary>
              <m:naryPr>
                <m:chr m:val="∑"/>
                <m:limLoc m:val="undOvr"/>
                <m:subHide m:val="off"/>
                <m:supHide m:val="on"/>
              </m:naryPr>
              <m:sub>
                <m:r>
                  <m:t>y</m:t>
                </m:r>
              </m:sub>
              <m:sup>
                <m:r>
                  <m:t>​</m:t>
                </m:r>
              </m:sup>
              <m:e>
                <m:sSub>
                  <m:e>
                    <m:r>
                      <m:t>q</m:t>
                    </m:r>
                  </m:e>
                  <m:sub>
                    <m:r>
                      <m:t>i</m:t>
                    </m:r>
                  </m:sub>
                </m:sSub>
              </m:e>
            </m:nary>
            <m:d>
              <m:dPr>
                <m:begChr m:val="("/>
                <m:endChr m:val=")"/>
                <m:sepChr m:val=""/>
                <m:grow/>
              </m:dPr>
              <m:e>
                <m:r>
                  <m:t>y</m:t>
                </m:r>
                <m:r>
                  <m:rPr>
                    <m:sty m:val="p"/>
                  </m:rPr>
                  <m:t>∣</m:t>
                </m:r>
                <m:r>
                  <m:t>p</m:t>
                </m:r>
              </m:e>
            </m:d>
            <m:r>
              <m:t>r</m:t>
            </m:r>
            <m:d>
              <m:dPr>
                <m:begChr m:val="("/>
                <m:endChr m:val=")"/>
                <m:sepChr m:val=""/>
                <m:grow/>
              </m:dPr>
              <m:e>
                <m:sSub>
                  <m:e>
                    <m:r>
                      <m:t>T</m:t>
                    </m:r>
                  </m:e>
                  <m:sub>
                    <m:r>
                      <m:t>i</m:t>
                    </m:r>
                  </m:sub>
                </m:sSub>
                <m:d>
                  <m:dPr>
                    <m:begChr m:val="("/>
                    <m:endChr m:val=")"/>
                    <m:sepChr m:val=""/>
                    <m:grow/>
                  </m:dPr>
                  <m:e>
                    <m:r>
                      <m:t>p</m:t>
                    </m:r>
                    <m:r>
                      <m:rPr>
                        <m:sty m:val="p"/>
                      </m:rPr>
                      <m:t>,</m:t>
                    </m:r>
                    <m:r>
                      <m:t>y</m:t>
                    </m:r>
                  </m:e>
                </m:d>
              </m:e>
            </m:d>
            <m:r>
              <m:rPr>
                <m:sty m:val="p"/>
              </m:rPr>
              <m:t>]</m:t>
            </m:r>
            <m:r>
              <m:rPr>
                <m:sty m:val="p"/>
              </m:rPr>
              <m:t>}</m:t>
            </m:r>
            <m:r>
              <m:rPr>
                <m:sty m:val="p"/>
              </m:rPr>
              <m:t>.</m:t>
            </m:r>
          </m:e>
        </m:eqArr>
      </m:oMath>
      <w:r>
        <w:tab/>
        <w:t>(21)</w:t>
      </w:r>
    </w:p>
    <w:p>
      <w:pPr>
        <w:pStyle w:val="BodyText"/>
      </w:pPr>
      <w:r>
        <w:t xml:space="preserve">The myopic policy repeats this rule after each observation. Ties favor stopping, then the earliest source in Table 1.</w:t>
      </w:r>
    </w:p>
    <w:bookmarkEnd w:id="43"/>
    <w:bookmarkStart w:id="44" w:name="exact-results"/>
    <w:p>
      <w:pPr>
        <w:pStyle w:val="Heading2"/>
      </w:pPr>
      <w:r>
        <w:t xml:space="preserve">6.2. Exact results</w:t>
      </w:r>
    </w:p>
    <w:p>
      <w:pPr>
        <w:pStyle w:val="FirstParagraph"/>
        <w:keepNext/>
        <w:spacing w:before="140" w:after="100"/>
      </w:pPr>
      <w:r>
        <w:rPr>
          <w:bCs/>
          <w:b/>
        </w:rPr>
        <w:t xml:space="preserve">Table 2. Exact policy expectations for the synthetic instance.</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864"/>
        <w:gridCol w:w="1224"/>
        <w:gridCol w:w="1872"/>
        <w:gridCol w:w="1872"/>
        <w:gridCol w:w="1872"/>
        <w:gridCol w:w="2088"/>
      </w:tblGrid>
      <w:tr>
        <w:trPr>
          <w:tblHeader w:val="true"/>
          <w:cantSplit/>
          <w:tblHeader/>
        </w:trPr>
        <w:tc>
          <w:tcPr>
            <w:tcW w:type="dxa" w:w="864"/>
            <w:vAlign w:val="center"/>
            <w:shd w:fill="E9ECEF"/>
          </w:tcPr>
          <w:p>
            <w:pPr>
              <w:pStyle w:val="TableBody"/>
              <w:keepNext/>
              <w:jc w:val="center"/>
            </w:pPr>
            <m:oMath>
              <m:r>
                <m:t>λ</m:t>
              </m:r>
            </m:oMath>
          </w:p>
        </w:tc>
        <w:tc>
          <w:tcPr>
            <w:tcW w:type="dxa" w:w="1224"/>
            <w:vAlign w:val="center"/>
            <w:shd w:fill="E9ECEF"/>
          </w:tcPr>
          <w:p>
            <w:pPr>
              <w:pStyle w:val="TableBody"/>
              <w:keepNext/>
              <w:jc w:val="left"/>
            </w:pPr>
            <w:r>
              <w:rPr>
                <w:b/>
                <w:sz w:val="20"/>
              </w:rPr>
              <w:t xml:space="preserve">Policy</w:t>
            </w:r>
          </w:p>
        </w:tc>
        <w:tc>
          <w:tcPr>
            <w:tcW w:type="dxa" w:w="1872"/>
            <w:vAlign w:val="center"/>
            <w:shd w:fill="E9ECEF"/>
          </w:tcPr>
          <w:p>
            <w:pPr>
              <w:pStyle w:val="TableBody"/>
              <w:keepNext/>
              <w:jc w:val="center"/>
            </w:pPr>
            <w:r>
              <w:rPr>
                <w:b/>
                <w:sz w:val="20"/>
              </w:rPr>
              <w:t xml:space="preserve">Error probability</w:t>
            </w:r>
          </w:p>
        </w:tc>
        <w:tc>
          <w:tcPr>
            <w:tcW w:type="dxa" w:w="1872"/>
            <w:vAlign w:val="center"/>
            <w:shd w:fill="E9ECEF"/>
          </w:tcPr>
          <w:p>
            <w:pPr>
              <w:pStyle w:val="TableBody"/>
              <w:keepNext/>
              <w:jc w:val="center"/>
            </w:pPr>
            <w:r>
              <w:rPr>
                <w:b/>
                <w:sz w:val="20"/>
              </w:rPr>
              <w:t xml:space="preserve">Expected cost</w:t>
            </w:r>
          </w:p>
        </w:tc>
        <w:tc>
          <w:tcPr>
            <w:tcW w:type="dxa" w:w="1872"/>
            <w:vAlign w:val="center"/>
            <w:shd w:fill="E9ECEF"/>
          </w:tcPr>
          <w:p>
            <w:pPr>
              <w:pStyle w:val="TableBody"/>
              <w:keepNext/>
              <w:jc w:val="center"/>
            </w:pPr>
            <w:r>
              <w:rPr>
                <w:b/>
                <w:sz w:val="20"/>
              </w:rPr>
              <w:t xml:space="preserve">Expected calls</w:t>
            </w:r>
          </w:p>
        </w:tc>
        <w:tc>
          <w:tcPr>
            <w:tcW w:type="dxa" w:w="2088"/>
            <w:vAlign w:val="center"/>
            <w:shd w:fill="E9ECEF"/>
          </w:tcPr>
          <w:p>
            <w:pPr>
              <w:pStyle w:val="TableBody"/>
              <w:keepNext/>
              <w:jc w:val="center"/>
            </w:pPr>
            <w:r>
              <w:rPr>
                <w:b/>
                <w:sz w:val="20"/>
              </w:rPr>
              <w:t xml:space="preserve">Objective</w:t>
            </w:r>
          </w:p>
        </w:tc>
      </w:tr>
      <w:tr>
        <w:trPr>
          <w:cantSplit/>
        </w:trPr>
        <w:tc>
          <w:tcPr>
            <w:tcW w:type="dxa" w:w="864"/>
            <w:vAlign w:val="center"/>
          </w:tcPr>
          <w:p>
            <w:pPr>
              <w:pStyle w:val="TableBody"/>
              <w:keepNext/>
              <w:jc w:val="center"/>
            </w:pPr>
            <w:r>
              <w:rPr>
                <w:b w:val="0"/>
                <w:sz w:val="20"/>
              </w:rPr>
              <w:t xml:space="preserve">0.005</w:t>
            </w:r>
          </w:p>
        </w:tc>
        <w:tc>
          <w:tcPr>
            <w:tcW w:type="dxa" w:w="1224"/>
            <w:vAlign w:val="center"/>
          </w:tcPr>
          <w:p>
            <w:pPr>
              <w:pStyle w:val="TableBody"/>
              <w:keepNext/>
              <w:jc w:val="left"/>
            </w:pPr>
            <w:r>
              <w:rPr>
                <w:b w:val="0"/>
                <w:sz w:val="20"/>
              </w:rPr>
              <w:t xml:space="preserve">Optimal</w:t>
            </w:r>
          </w:p>
        </w:tc>
        <w:tc>
          <w:tcPr>
            <w:tcW w:type="dxa" w:w="1872"/>
            <w:vAlign w:val="center"/>
          </w:tcPr>
          <w:p>
            <w:pPr>
              <w:pStyle w:val="TableBody"/>
              <w:keepNext/>
              <w:jc w:val="center"/>
            </w:pPr>
            <w:r>
              <w:rPr>
                <w:b w:val="0"/>
                <w:sz w:val="20"/>
              </w:rPr>
              <w:t xml:space="preserve">0.0792</w:t>
            </w:r>
          </w:p>
        </w:tc>
        <w:tc>
          <w:tcPr>
            <w:tcW w:type="dxa" w:w="1872"/>
            <w:vAlign w:val="center"/>
          </w:tcPr>
          <w:p>
            <w:pPr>
              <w:pStyle w:val="TableBody"/>
              <w:keepNext/>
              <w:jc w:val="center"/>
            </w:pPr>
            <w:r>
              <w:rPr>
                <w:b w:val="0"/>
                <w:sz w:val="20"/>
              </w:rPr>
              <w:t xml:space="preserve">7.83012</w:t>
            </w:r>
          </w:p>
        </w:tc>
        <w:tc>
          <w:tcPr>
            <w:tcW w:type="dxa" w:w="1872"/>
            <w:vAlign w:val="center"/>
          </w:tcPr>
          <w:p>
            <w:pPr>
              <w:pStyle w:val="TableBody"/>
              <w:keepNext/>
              <w:jc w:val="center"/>
            </w:pPr>
            <w:r>
              <w:rPr>
                <w:b w:val="0"/>
                <w:sz w:val="20"/>
              </w:rPr>
              <w:t xml:space="preserve">2.4716</w:t>
            </w:r>
          </w:p>
        </w:tc>
        <w:tc>
          <w:tcPr>
            <w:tcW w:type="dxa" w:w="2088"/>
            <w:vAlign w:val="center"/>
          </w:tcPr>
          <w:p>
            <w:pPr>
              <w:pStyle w:val="TableBody"/>
              <w:keepNext/>
              <w:jc w:val="center"/>
            </w:pPr>
            <w:r>
              <w:rPr>
                <w:b w:val="0"/>
                <w:sz w:val="20"/>
              </w:rPr>
              <w:t xml:space="preserve">0.1183506</w:t>
            </w:r>
          </w:p>
        </w:tc>
      </w:tr>
      <w:tr>
        <w:trPr>
          <w:cantSplit/>
        </w:trPr>
        <w:tc>
          <w:tcPr>
            <w:tcW w:type="dxa" w:w="864"/>
            <w:vAlign w:val="center"/>
          </w:tcPr>
          <w:p>
            <w:pPr>
              <w:pStyle w:val="TableBody"/>
              <w:keepNext/>
              <w:jc w:val="center"/>
            </w:pPr>
            <w:r>
              <w:rPr>
                <w:b w:val="0"/>
                <w:sz w:val="20"/>
              </w:rPr>
              <w:t xml:space="preserve">0.005</w:t>
            </w:r>
          </w:p>
        </w:tc>
        <w:tc>
          <w:tcPr>
            <w:tcW w:type="dxa" w:w="1224"/>
            <w:vAlign w:val="center"/>
          </w:tcPr>
          <w:p>
            <w:pPr>
              <w:pStyle w:val="TableBody"/>
              <w:keepNext/>
              <w:jc w:val="left"/>
            </w:pPr>
            <w:r>
              <w:rPr>
                <w:b w:val="0"/>
                <w:sz w:val="20"/>
              </w:rPr>
              <w:t xml:space="preserve">Myopic</w:t>
            </w:r>
          </w:p>
        </w:tc>
        <w:tc>
          <w:tcPr>
            <w:tcW w:type="dxa" w:w="1872"/>
            <w:vAlign w:val="center"/>
          </w:tcPr>
          <w:p>
            <w:pPr>
              <w:pStyle w:val="TableBody"/>
              <w:keepNext/>
              <w:jc w:val="center"/>
            </w:pPr>
            <w:r>
              <w:rPr>
                <w:b w:val="0"/>
                <w:sz w:val="20"/>
              </w:rPr>
              <w:t xml:space="preserve">0.1200</w:t>
            </w:r>
          </w:p>
        </w:tc>
        <w:tc>
          <w:tcPr>
            <w:tcW w:type="dxa" w:w="1872"/>
            <w:vAlign w:val="center"/>
          </w:tcPr>
          <w:p>
            <w:pPr>
              <w:pStyle w:val="TableBody"/>
              <w:keepNext/>
              <w:jc w:val="center"/>
            </w:pPr>
            <w:r>
              <w:rPr>
                <w:b w:val="0"/>
                <w:sz w:val="20"/>
              </w:rPr>
              <w:t xml:space="preserve">5.10000</w:t>
            </w:r>
          </w:p>
        </w:tc>
        <w:tc>
          <w:tcPr>
            <w:tcW w:type="dxa" w:w="1872"/>
            <w:vAlign w:val="center"/>
          </w:tcPr>
          <w:p>
            <w:pPr>
              <w:pStyle w:val="TableBody"/>
              <w:keepNext/>
              <w:jc w:val="center"/>
            </w:pPr>
            <w:r>
              <w:rPr>
                <w:b w:val="0"/>
                <w:sz w:val="20"/>
              </w:rPr>
              <w:t xml:space="preserve">1.0000</w:t>
            </w:r>
          </w:p>
        </w:tc>
        <w:tc>
          <w:tcPr>
            <w:tcW w:type="dxa" w:w="2088"/>
            <w:vAlign w:val="center"/>
          </w:tcPr>
          <w:p>
            <w:pPr>
              <w:pStyle w:val="TableBody"/>
              <w:keepNext/>
              <w:jc w:val="center"/>
            </w:pPr>
            <w:r>
              <w:rPr>
                <w:b w:val="0"/>
                <w:sz w:val="20"/>
              </w:rPr>
              <w:t xml:space="preserve">0.1455000</w:t>
            </w:r>
          </w:p>
        </w:tc>
      </w:tr>
      <w:tr>
        <w:trPr>
          <w:cantSplit/>
        </w:trPr>
        <w:tc>
          <w:tcPr>
            <w:tcW w:type="dxa" w:w="864"/>
            <w:vAlign w:val="center"/>
          </w:tcPr>
          <w:p>
            <w:pPr>
              <w:pStyle w:val="TableBody"/>
              <w:keepNext/>
              <w:jc w:val="center"/>
            </w:pPr>
            <w:r>
              <w:rPr>
                <w:b w:val="0"/>
                <w:sz w:val="20"/>
              </w:rPr>
              <w:t xml:space="preserve">0.010</w:t>
            </w:r>
          </w:p>
        </w:tc>
        <w:tc>
          <w:tcPr>
            <w:tcW w:type="dxa" w:w="1224"/>
            <w:vAlign w:val="center"/>
          </w:tcPr>
          <w:p>
            <w:pPr>
              <w:pStyle w:val="TableBody"/>
              <w:keepNext/>
              <w:jc w:val="left"/>
            </w:pPr>
            <w:r>
              <w:rPr>
                <w:b w:val="0"/>
                <w:sz w:val="20"/>
              </w:rPr>
              <w:t xml:space="preserve">Optimal</w:t>
            </w:r>
          </w:p>
        </w:tc>
        <w:tc>
          <w:tcPr>
            <w:tcW w:type="dxa" w:w="1872"/>
            <w:vAlign w:val="center"/>
          </w:tcPr>
          <w:p>
            <w:pPr>
              <w:pStyle w:val="TableBody"/>
              <w:keepNext/>
              <w:jc w:val="center"/>
            </w:pPr>
            <w:r>
              <w:rPr>
                <w:b w:val="0"/>
                <w:sz w:val="20"/>
              </w:rPr>
              <w:t xml:space="preserve">0.0828</w:t>
            </w:r>
          </w:p>
        </w:tc>
        <w:tc>
          <w:tcPr>
            <w:tcW w:type="dxa" w:w="1872"/>
            <w:vAlign w:val="center"/>
          </w:tcPr>
          <w:p>
            <w:pPr>
              <w:pStyle w:val="TableBody"/>
              <w:keepNext/>
              <w:jc w:val="center"/>
            </w:pPr>
            <w:r>
              <w:rPr>
                <w:b w:val="0"/>
                <w:sz w:val="20"/>
              </w:rPr>
              <w:t xml:space="preserve">7.39230</w:t>
            </w:r>
          </w:p>
        </w:tc>
        <w:tc>
          <w:tcPr>
            <w:tcW w:type="dxa" w:w="1872"/>
            <w:vAlign w:val="center"/>
          </w:tcPr>
          <w:p>
            <w:pPr>
              <w:pStyle w:val="TableBody"/>
              <w:keepNext/>
              <w:jc w:val="center"/>
            </w:pPr>
            <w:r>
              <w:rPr>
                <w:b w:val="0"/>
                <w:sz w:val="20"/>
              </w:rPr>
              <w:t xml:space="preserve">2.4770</w:t>
            </w:r>
          </w:p>
        </w:tc>
        <w:tc>
          <w:tcPr>
            <w:tcW w:type="dxa" w:w="2088"/>
            <w:vAlign w:val="center"/>
          </w:tcPr>
          <w:p>
            <w:pPr>
              <w:pStyle w:val="TableBody"/>
              <w:keepNext/>
              <w:jc w:val="center"/>
            </w:pPr>
            <w:r>
              <w:rPr>
                <w:b w:val="0"/>
                <w:sz w:val="20"/>
              </w:rPr>
              <w:t xml:space="preserve">0.1567230</w:t>
            </w:r>
          </w:p>
        </w:tc>
      </w:tr>
      <w:tr>
        <w:trPr>
          <w:cantSplit/>
        </w:trPr>
        <w:tc>
          <w:tcPr>
            <w:tcW w:type="dxa" w:w="864"/>
            <w:vAlign w:val="center"/>
          </w:tcPr>
          <w:p>
            <w:pPr>
              <w:pStyle w:val="TableBody"/>
              <w:keepNext/>
              <w:jc w:val="center"/>
            </w:pPr>
            <w:r>
              <w:rPr>
                <w:b w:val="0"/>
                <w:sz w:val="20"/>
              </w:rPr>
              <w:t xml:space="preserve">0.010</w:t>
            </w:r>
          </w:p>
        </w:tc>
        <w:tc>
          <w:tcPr>
            <w:tcW w:type="dxa" w:w="1224"/>
            <w:vAlign w:val="center"/>
          </w:tcPr>
          <w:p>
            <w:pPr>
              <w:pStyle w:val="TableBody"/>
              <w:keepNext/>
              <w:jc w:val="left"/>
            </w:pPr>
            <w:r>
              <w:rPr>
                <w:b w:val="0"/>
                <w:sz w:val="20"/>
              </w:rPr>
              <w:t xml:space="preserve">Myopic</w:t>
            </w:r>
          </w:p>
        </w:tc>
        <w:tc>
          <w:tcPr>
            <w:tcW w:type="dxa" w:w="1872"/>
            <w:vAlign w:val="center"/>
          </w:tcPr>
          <w:p>
            <w:pPr>
              <w:pStyle w:val="TableBody"/>
              <w:keepNext/>
              <w:jc w:val="center"/>
            </w:pPr>
            <w:r>
              <w:rPr>
                <w:b w:val="0"/>
                <w:sz w:val="20"/>
              </w:rPr>
              <w:t xml:space="preserve">0.1200</w:t>
            </w:r>
          </w:p>
        </w:tc>
        <w:tc>
          <w:tcPr>
            <w:tcW w:type="dxa" w:w="1872"/>
            <w:vAlign w:val="center"/>
          </w:tcPr>
          <w:p>
            <w:pPr>
              <w:pStyle w:val="TableBody"/>
              <w:keepNext/>
              <w:jc w:val="center"/>
            </w:pPr>
            <w:r>
              <w:rPr>
                <w:b w:val="0"/>
                <w:sz w:val="20"/>
              </w:rPr>
              <w:t xml:space="preserve">5.10000</w:t>
            </w:r>
          </w:p>
        </w:tc>
        <w:tc>
          <w:tcPr>
            <w:tcW w:type="dxa" w:w="1872"/>
            <w:vAlign w:val="center"/>
          </w:tcPr>
          <w:p>
            <w:pPr>
              <w:pStyle w:val="TableBody"/>
              <w:keepNext/>
              <w:jc w:val="center"/>
            </w:pPr>
            <w:r>
              <w:rPr>
                <w:b w:val="0"/>
                <w:sz w:val="20"/>
              </w:rPr>
              <w:t xml:space="preserve">1.0000</w:t>
            </w:r>
          </w:p>
        </w:tc>
        <w:tc>
          <w:tcPr>
            <w:tcW w:type="dxa" w:w="2088"/>
            <w:vAlign w:val="center"/>
          </w:tcPr>
          <w:p>
            <w:pPr>
              <w:pStyle w:val="TableBody"/>
              <w:keepNext/>
              <w:jc w:val="center"/>
            </w:pPr>
            <w:r>
              <w:rPr>
                <w:b w:val="0"/>
                <w:sz w:val="20"/>
              </w:rPr>
              <w:t xml:space="preserve">0.1710000</w:t>
            </w:r>
          </w:p>
        </w:tc>
      </w:tr>
      <w:tr>
        <w:trPr>
          <w:cantSplit/>
        </w:trPr>
        <w:tc>
          <w:tcPr>
            <w:tcW w:type="dxa" w:w="864"/>
            <w:vAlign w:val="center"/>
          </w:tcPr>
          <w:p>
            <w:pPr>
              <w:pStyle w:val="TableBody"/>
              <w:keepNext/>
              <w:jc w:val="center"/>
            </w:pPr>
            <w:r>
              <w:rPr>
                <w:b w:val="0"/>
                <w:sz w:val="20"/>
              </w:rPr>
              <w:t xml:space="preserve">0.020</w:t>
            </w:r>
          </w:p>
        </w:tc>
        <w:tc>
          <w:tcPr>
            <w:tcW w:type="dxa" w:w="1224"/>
            <w:vAlign w:val="center"/>
          </w:tcPr>
          <w:p>
            <w:pPr>
              <w:pStyle w:val="TableBody"/>
              <w:keepNext/>
              <w:jc w:val="left"/>
            </w:pPr>
            <w:r>
              <w:rPr>
                <w:b w:val="0"/>
                <w:sz w:val="20"/>
              </w:rPr>
              <w:t xml:space="preserve">Optimal</w:t>
            </w:r>
          </w:p>
        </w:tc>
        <w:tc>
          <w:tcPr>
            <w:tcW w:type="dxa" w:w="1872"/>
            <w:vAlign w:val="center"/>
          </w:tcPr>
          <w:p>
            <w:pPr>
              <w:pStyle w:val="TableBody"/>
              <w:keepNext/>
              <w:jc w:val="center"/>
            </w:pPr>
            <w:r>
              <w:rPr>
                <w:b w:val="0"/>
                <w:sz w:val="20"/>
              </w:rPr>
              <w:t xml:space="preserve">0.1200</w:t>
            </w:r>
          </w:p>
        </w:tc>
        <w:tc>
          <w:tcPr>
            <w:tcW w:type="dxa" w:w="1872"/>
            <w:vAlign w:val="center"/>
          </w:tcPr>
          <w:p>
            <w:pPr>
              <w:pStyle w:val="TableBody"/>
              <w:keepNext/>
              <w:jc w:val="center"/>
            </w:pPr>
            <w:r>
              <w:rPr>
                <w:b w:val="0"/>
                <w:sz w:val="20"/>
              </w:rPr>
              <w:t xml:space="preserve">5.10000</w:t>
            </w:r>
          </w:p>
        </w:tc>
        <w:tc>
          <w:tcPr>
            <w:tcW w:type="dxa" w:w="1872"/>
            <w:vAlign w:val="center"/>
          </w:tcPr>
          <w:p>
            <w:pPr>
              <w:pStyle w:val="TableBody"/>
              <w:keepNext/>
              <w:jc w:val="center"/>
            </w:pPr>
            <w:r>
              <w:rPr>
                <w:b w:val="0"/>
                <w:sz w:val="20"/>
              </w:rPr>
              <w:t xml:space="preserve">1.0000</w:t>
            </w:r>
          </w:p>
        </w:tc>
        <w:tc>
          <w:tcPr>
            <w:tcW w:type="dxa" w:w="2088"/>
            <w:vAlign w:val="center"/>
          </w:tcPr>
          <w:p>
            <w:pPr>
              <w:pStyle w:val="TableBody"/>
              <w:keepNext/>
              <w:jc w:val="center"/>
            </w:pPr>
            <w:r>
              <w:rPr>
                <w:b w:val="0"/>
                <w:sz w:val="20"/>
              </w:rPr>
              <w:t xml:space="preserve">0.2220000</w:t>
            </w:r>
          </w:p>
        </w:tc>
      </w:tr>
      <w:tr>
        <w:trPr>
          <w:cantSplit/>
        </w:trPr>
        <w:tc>
          <w:tcPr>
            <w:tcW w:type="dxa" w:w="864"/>
            <w:vAlign w:val="center"/>
          </w:tcPr>
          <w:p>
            <w:pPr>
              <w:pStyle w:val="TableBody"/>
              <w:keepNext/>
              <w:jc w:val="center"/>
            </w:pPr>
            <w:r>
              <w:rPr>
                <w:b w:val="0"/>
                <w:sz w:val="20"/>
              </w:rPr>
              <w:t xml:space="preserve">0.020</w:t>
            </w:r>
          </w:p>
        </w:tc>
        <w:tc>
          <w:tcPr>
            <w:tcW w:type="dxa" w:w="1224"/>
            <w:vAlign w:val="center"/>
          </w:tcPr>
          <w:p>
            <w:pPr>
              <w:pStyle w:val="TableBody"/>
              <w:keepNext/>
              <w:jc w:val="left"/>
            </w:pPr>
            <w:r>
              <w:rPr>
                <w:b w:val="0"/>
                <w:sz w:val="20"/>
              </w:rPr>
              <w:t xml:space="preserve">Myopic</w:t>
            </w:r>
          </w:p>
        </w:tc>
        <w:tc>
          <w:tcPr>
            <w:tcW w:type="dxa" w:w="1872"/>
            <w:vAlign w:val="center"/>
          </w:tcPr>
          <w:p>
            <w:pPr>
              <w:pStyle w:val="TableBody"/>
              <w:keepNext/>
              <w:jc w:val="center"/>
            </w:pPr>
            <w:r>
              <w:rPr>
                <w:b w:val="0"/>
                <w:sz w:val="20"/>
              </w:rPr>
              <w:t xml:space="preserve">0.1200</w:t>
            </w:r>
          </w:p>
        </w:tc>
        <w:tc>
          <w:tcPr>
            <w:tcW w:type="dxa" w:w="1872"/>
            <w:vAlign w:val="center"/>
          </w:tcPr>
          <w:p>
            <w:pPr>
              <w:pStyle w:val="TableBody"/>
              <w:keepNext/>
              <w:jc w:val="center"/>
            </w:pPr>
            <w:r>
              <w:rPr>
                <w:b w:val="0"/>
                <w:sz w:val="20"/>
              </w:rPr>
              <w:t xml:space="preserve">5.10000</w:t>
            </w:r>
          </w:p>
        </w:tc>
        <w:tc>
          <w:tcPr>
            <w:tcW w:type="dxa" w:w="1872"/>
            <w:vAlign w:val="center"/>
          </w:tcPr>
          <w:p>
            <w:pPr>
              <w:pStyle w:val="TableBody"/>
              <w:keepNext/>
              <w:jc w:val="center"/>
            </w:pPr>
            <w:r>
              <w:rPr>
                <w:b w:val="0"/>
                <w:sz w:val="20"/>
              </w:rPr>
              <w:t xml:space="preserve">1.0000</w:t>
            </w:r>
          </w:p>
        </w:tc>
        <w:tc>
          <w:tcPr>
            <w:tcW w:type="dxa" w:w="2088"/>
            <w:vAlign w:val="center"/>
          </w:tcPr>
          <w:p>
            <w:pPr>
              <w:pStyle w:val="TableBody"/>
              <w:keepNext/>
              <w:jc w:val="center"/>
            </w:pPr>
            <w:r>
              <w:rPr>
                <w:b w:val="0"/>
                <w:sz w:val="20"/>
              </w:rPr>
              <w:t xml:space="preserve">0.2220000</w:t>
            </w:r>
          </w:p>
        </w:tc>
      </w:tr>
      <w:tr>
        <w:trPr>
          <w:cantSplit/>
        </w:trPr>
        <w:tc>
          <w:tcPr>
            <w:tcW w:type="dxa" w:w="864"/>
            <w:vAlign w:val="center"/>
          </w:tcPr>
          <w:p>
            <w:pPr>
              <w:pStyle w:val="TableBody"/>
              <w:keepNext/>
              <w:jc w:val="center"/>
            </w:pPr>
            <w:r>
              <w:rPr>
                <w:b w:val="0"/>
                <w:sz w:val="20"/>
              </w:rPr>
              <w:t xml:space="preserve">0.040</w:t>
            </w:r>
          </w:p>
        </w:tc>
        <w:tc>
          <w:tcPr>
            <w:tcW w:type="dxa" w:w="1224"/>
            <w:vAlign w:val="center"/>
          </w:tcPr>
          <w:p>
            <w:pPr>
              <w:pStyle w:val="TableBody"/>
              <w:keepNext/>
              <w:jc w:val="left"/>
            </w:pPr>
            <w:r>
              <w:rPr>
                <w:b w:val="0"/>
                <w:sz w:val="20"/>
              </w:rPr>
              <w:t xml:space="preserve">Optimal</w:t>
            </w:r>
          </w:p>
        </w:tc>
        <w:tc>
          <w:tcPr>
            <w:tcW w:type="dxa" w:w="1872"/>
            <w:vAlign w:val="center"/>
          </w:tcPr>
          <w:p>
            <w:pPr>
              <w:pStyle w:val="TableBody"/>
              <w:keepNext/>
              <w:jc w:val="center"/>
            </w:pPr>
            <w:r>
              <w:rPr>
                <w:b w:val="0"/>
                <w:sz w:val="20"/>
              </w:rPr>
              <w:t xml:space="preserve">0.1200</w:t>
            </w:r>
          </w:p>
        </w:tc>
        <w:tc>
          <w:tcPr>
            <w:tcW w:type="dxa" w:w="1872"/>
            <w:vAlign w:val="center"/>
          </w:tcPr>
          <w:p>
            <w:pPr>
              <w:pStyle w:val="TableBody"/>
              <w:keepNext/>
              <w:jc w:val="center"/>
            </w:pPr>
            <w:r>
              <w:rPr>
                <w:b w:val="0"/>
                <w:sz w:val="20"/>
              </w:rPr>
              <w:t xml:space="preserve">5.10000</w:t>
            </w:r>
          </w:p>
        </w:tc>
        <w:tc>
          <w:tcPr>
            <w:tcW w:type="dxa" w:w="1872"/>
            <w:vAlign w:val="center"/>
          </w:tcPr>
          <w:p>
            <w:pPr>
              <w:pStyle w:val="TableBody"/>
              <w:keepNext/>
              <w:jc w:val="center"/>
            </w:pPr>
            <w:r>
              <w:rPr>
                <w:b w:val="0"/>
                <w:sz w:val="20"/>
              </w:rPr>
              <w:t xml:space="preserve">1.0000</w:t>
            </w:r>
          </w:p>
        </w:tc>
        <w:tc>
          <w:tcPr>
            <w:tcW w:type="dxa" w:w="2088"/>
            <w:vAlign w:val="center"/>
          </w:tcPr>
          <w:p>
            <w:pPr>
              <w:pStyle w:val="TableBody"/>
              <w:keepNext/>
              <w:jc w:val="center"/>
            </w:pPr>
            <w:r>
              <w:rPr>
                <w:b w:val="0"/>
                <w:sz w:val="20"/>
              </w:rPr>
              <w:t xml:space="preserve">0.3240000</w:t>
            </w:r>
          </w:p>
        </w:tc>
      </w:tr>
      <w:tr>
        <w:trPr>
          <w:cantSplit/>
        </w:trPr>
        <w:tc>
          <w:tcPr>
            <w:tcW w:type="dxa" w:w="864"/>
            <w:vAlign w:val="center"/>
          </w:tcPr>
          <w:p>
            <w:pPr>
              <w:pStyle w:val="TableBody"/>
              <w:keepNext w:val="0"/>
              <w:jc w:val="center"/>
            </w:pPr>
            <w:r>
              <w:rPr>
                <w:b w:val="0"/>
                <w:sz w:val="20"/>
              </w:rPr>
              <w:t xml:space="preserve">0.040</w:t>
            </w:r>
          </w:p>
        </w:tc>
        <w:tc>
          <w:tcPr>
            <w:tcW w:type="dxa" w:w="1224"/>
            <w:vAlign w:val="center"/>
          </w:tcPr>
          <w:p>
            <w:pPr>
              <w:pStyle w:val="TableBody"/>
              <w:keepNext w:val="0"/>
              <w:jc w:val="left"/>
            </w:pPr>
            <w:r>
              <w:rPr>
                <w:b w:val="0"/>
                <w:sz w:val="20"/>
              </w:rPr>
              <w:t xml:space="preserve">Myopic</w:t>
            </w:r>
          </w:p>
        </w:tc>
        <w:tc>
          <w:tcPr>
            <w:tcW w:type="dxa" w:w="1872"/>
            <w:vAlign w:val="center"/>
          </w:tcPr>
          <w:p>
            <w:pPr>
              <w:pStyle w:val="TableBody"/>
              <w:keepNext w:val="0"/>
              <w:jc w:val="center"/>
            </w:pPr>
            <w:r>
              <w:rPr>
                <w:b w:val="0"/>
                <w:sz w:val="20"/>
              </w:rPr>
              <w:t xml:space="preserve">0.1200</w:t>
            </w:r>
          </w:p>
        </w:tc>
        <w:tc>
          <w:tcPr>
            <w:tcW w:type="dxa" w:w="1872"/>
            <w:vAlign w:val="center"/>
          </w:tcPr>
          <w:p>
            <w:pPr>
              <w:pStyle w:val="TableBody"/>
              <w:keepNext w:val="0"/>
              <w:jc w:val="center"/>
            </w:pPr>
            <w:r>
              <w:rPr>
                <w:b w:val="0"/>
                <w:sz w:val="20"/>
              </w:rPr>
              <w:t xml:space="preserve">5.10000</w:t>
            </w:r>
          </w:p>
        </w:tc>
        <w:tc>
          <w:tcPr>
            <w:tcW w:type="dxa" w:w="1872"/>
            <w:vAlign w:val="center"/>
          </w:tcPr>
          <w:p>
            <w:pPr>
              <w:pStyle w:val="TableBody"/>
              <w:keepNext w:val="0"/>
              <w:jc w:val="center"/>
            </w:pPr>
            <w:r>
              <w:rPr>
                <w:b w:val="0"/>
                <w:sz w:val="20"/>
              </w:rPr>
              <w:t xml:space="preserve">1.0000</w:t>
            </w:r>
          </w:p>
        </w:tc>
        <w:tc>
          <w:tcPr>
            <w:tcW w:type="dxa" w:w="2088"/>
            <w:vAlign w:val="center"/>
          </w:tcPr>
          <w:p>
            <w:pPr>
              <w:pStyle w:val="TableBody"/>
              <w:keepNext w:val="0"/>
              <w:jc w:val="center"/>
            </w:pPr>
            <w:r>
              <w:rPr>
                <w:b w:val="0"/>
                <w:sz w:val="20"/>
              </w:rPr>
              <w:t xml:space="preserve">0.3240000</w:t>
            </w:r>
          </w:p>
        </w:tc>
      </w:tr>
    </w:tbl>
    <w:p>
      <w:pPr>
        <w:pStyle w:val="BodyText"/>
        <w:spacing w:before="120"/>
      </w:pPr>
      <w:r>
        <w:t xml:space="preserve">At the two smaller penalty weights, the optimal policy first queries scheduling, whereas the myopic policy queries assembly and stops. Although assembly has greater assumed standalone accuracy, planning ahead accounts for shared activation and subsequent evidence. At the larger penalty weights, both policies query assembly and stop. These results establish behavior only for the specified finite instance.</w:t>
      </w:r>
    </w:p>
    <w:p>
      <w:pPr>
        <w:pStyle w:val="BodyText"/>
      </w:pPr>
      <w:r>
        <w:t xml:space="preserve">For calibration tolerance</w:t>
      </w:r>
      <w:r>
        <w:t xml:space="preserve"> </w:t>
      </w:r>
      <m:oMath>
        <m:r>
          <m:t>ε</m:t>
        </m:r>
        <m:r>
          <m:rPr>
            <m:sty m:val="p"/>
          </m:rPr>
          <m:t>=</m:t>
        </m:r>
        <m:r>
          <m:t>0.05</m:t>
        </m:r>
      </m:oMath>
      <w:r>
        <w:t xml:space="preserve">, the four-call limit gives</w:t>
      </w:r>
      <w:r>
        <w:t xml:space="preserve"> </w:t>
      </w:r>
      <m:oMath>
        <m:sSub>
          <m:e>
            <m:r>
              <m:t>β</m:t>
            </m:r>
          </m:e>
          <m:sub>
            <m:r>
              <m:t>4</m:t>
            </m:r>
          </m:sub>
        </m:sSub>
        <m:r>
          <m:rPr>
            <m:sty m:val="p"/>
          </m:rPr>
          <m:t>=</m:t>
        </m:r>
        <m:r>
          <m:t>5</m:t>
        </m:r>
      </m:oMath>
      <w:r>
        <w:t xml:space="preserve">. At</w:t>
      </w:r>
      <w:r>
        <w:t xml:space="preserve"> </w:t>
      </w:r>
      <m:oMath>
        <m:r>
          <m:t>λ</m:t>
        </m:r>
        <m:r>
          <m:rPr>
            <m:sty m:val="p"/>
          </m:rPr>
          <m:t>=</m:t>
        </m:r>
        <m:r>
          <m:t>0.01</m:t>
        </m:r>
      </m:oMath>
      <w:r>
        <w:t xml:space="preserve">, Theorem 4.2 bounds the optimal-value error by 0.0025 and the excess objective of the measured-cost policy by 0.005. These are worst-case guarantees under the calibration assumption, rather than observed average errors.</w:t>
      </w:r>
    </w:p>
    <w:p>
      <w:pPr>
        <w:pStyle w:val="BodyText"/>
        <w:keepNext/>
      </w:pPr>
      <w:r>
        <w:t xml:space="preserve">All computations used normalized integer fractions implemented with JavaScript BigInt. The Bellman calculation considered 473 partial observation assignments, equal to</w:t>
      </w:r>
    </w:p>
    <w:p>
      <w:pPr>
        <w:pStyle w:val="Equation"/>
        <w:jc w:val="center"/>
      </w:pPr>
      <m:oMathPara>
        <m:oMathParaPr>
          <m:jc m:val="center"/>
        </m:oMathParaPr>
        <m:oMath>
          <m:nary>
            <m:naryPr>
              <m:chr m:val="∑"/>
              <m:limLoc m:val="undOvr"/>
              <m:subHide m:val="off"/>
              <m:supHide m:val="off"/>
            </m:naryPr>
            <m:sub>
              <m:r>
                <m:t>m</m:t>
              </m:r>
              <m:r>
                <m:rPr>
                  <m:sty m:val="p"/>
                </m:rPr>
                <m:t>=</m:t>
              </m:r>
              <m:r>
                <m:t>0</m:t>
              </m:r>
            </m:sub>
            <m:sup>
              <m:r>
                <m:t>4</m:t>
              </m:r>
            </m:sup>
            <m:e>
              <m:d>
                <m:dPr>
                  <m:begChr m:val="("/>
                  <m:endChr m:val=")"/>
                  <m:sepChr m:val=""/>
                  <m:grow/>
                </m:dPr>
                <m:e>
                  <m:f>
                    <m:fPr>
                      <m:type m:val="noBar"/>
                    </m:fPr>
                    <m:num>
                      <m:r>
                        <m:t>6</m:t>
                      </m:r>
                    </m:num>
                    <m:den>
                      <m:r>
                        <m:t>m</m:t>
                      </m:r>
                    </m:den>
                  </m:f>
                </m:e>
              </m:d>
            </m:e>
          </m:nary>
          <m:sSup>
            <m:e>
              <m:r>
                <m:t>2</m:t>
              </m:r>
            </m:e>
            <m:sup>
              <m:r>
                <m:t>m</m:t>
              </m:r>
            </m:sup>
          </m:sSup>
          <m:r>
            <m:rPr>
              <m:sty m:val="p"/>
            </m:rPr>
            <m:t>.</m:t>
          </m:r>
        </m:oMath>
      </m:oMathPara>
    </w:p>
    <w:p>
      <w:pPr>
        <w:pStyle w:val="FirstParagraph"/>
        <w:keepNext/>
      </w:pPr>
      <w:r>
        <w:t xml:space="preserve">For each policy and penalty, its terminal decision, cost, and query count were independently evaluated by replaying all</w:t>
      </w:r>
    </w:p>
    <w:p>
      <w:pPr>
        <w:pStyle w:val="Equation"/>
        <w:jc w:val="center"/>
      </w:pPr>
      <m:oMathPara>
        <m:oMathParaPr>
          <m:jc m:val="center"/>
        </m:oMathParaPr>
        <m:oMath>
          <m:r>
            <m:t>2</m:t>
          </m:r>
          <m:r>
            <m:rPr>
              <m:sty m:val="p"/>
            </m:rPr>
            <m:t>×</m:t>
          </m:r>
          <m:sSup>
            <m:e>
              <m:r>
                <m:t>2</m:t>
              </m:r>
            </m:e>
            <m:sup>
              <m:r>
                <m:t>6</m:t>
              </m:r>
            </m:sup>
          </m:sSup>
          <m:r>
            <m:rPr>
              <m:sty m:val="p"/>
            </m:rPr>
            <m:t>=</m:t>
          </m:r>
          <m:r>
            <m:t>128</m:t>
          </m:r>
        </m:oMath>
      </m:oMathPara>
    </w:p>
    <w:p>
      <w:pPr>
        <w:pStyle w:val="FirstParagraph"/>
      </w:pPr>
      <w:r>
        <w:t xml:space="preserve">latent-state/full-observation combinations with their exact probabilities. Across the eight policy cases, all 1,024 replay outcomes reproduced the dynamic-programming expectations exactly. Table 2 reports exact finite-model expectations, rather than Monte Carlo estimates.</w:t>
      </w:r>
    </w:p>
    <w:bookmarkEnd w:id="44"/>
    <w:bookmarkStart w:id="45" w:name="algebraic-implementation-checks"/>
    <w:p>
      <w:pPr>
        <w:pStyle w:val="Heading2"/>
      </w:pPr>
      <w:r>
        <w:t xml:space="preserve">6.3. Algebraic implementation checks</w:t>
      </w:r>
    </w:p>
    <w:p>
      <w:pPr>
        <w:pStyle w:val="FirstParagraph"/>
      </w:pPr>
      <w:r>
        <w:t xml:space="preserve">A separate verification generated 100 rooted trees with six labeled source vertices. Vertex</w:t>
      </w:r>
      <w:r>
        <w:t xml:space="preserve"> </w:t>
      </w:r>
      <m:oMath>
        <m:r>
          <m:t>i</m:t>
        </m:r>
      </m:oMath>
      <w:r>
        <w:t xml:space="preserve"> </w:t>
      </w:r>
      <w:r>
        <w:t xml:space="preserve">selected its parent among</w:t>
      </w:r>
      <w:r>
        <w:t xml:space="preserve"> </w:t>
      </w:r>
      <m:oMath>
        <m:r>
          <m:t>0</m:t>
        </m:r>
        <m:r>
          <m:rPr>
            <m:sty m:val="p"/>
          </m:rPr>
          <m:t>,</m:t>
        </m:r>
        <m:r>
          <m:rPr>
            <m:sty m:val="p"/>
          </m:rPr>
          <m:t>…</m:t>
        </m:r>
        <m:r>
          <m:rPr>
            <m:sty m:val="p"/>
          </m:rPr>
          <m:t>,</m:t>
        </m:r>
        <m:r>
          <m:t>i</m:t>
        </m:r>
        <m:r>
          <m:rPr>
            <m:sty m:val="p"/>
          </m:rPr>
          <m:t>−</m:t>
        </m:r>
        <m:r>
          <m:t>1</m:t>
        </m:r>
      </m:oMath>
      <w:r>
        <w:t xml:space="preserve">, with vertex 0 the root. Edge weights were selected from</w:t>
      </w:r>
      <w:r>
        <w:t xml:space="preserve"> </w:t>
      </w:r>
      <m:oMath>
        <m:r>
          <m:rPr>
            <m:sty m:val="p"/>
          </m:rPr>
          <m:t>{</m:t>
        </m:r>
        <m:r>
          <m:t>0.1</m:t>
        </m:r>
        <m:r>
          <m:rPr>
            <m:sty m:val="p"/>
          </m:rPr>
          <m:t>,</m:t>
        </m:r>
        <m:r>
          <m:t>0.2</m:t>
        </m:r>
        <m:r>
          <m:rPr>
            <m:sty m:val="p"/>
          </m:rPr>
          <m:t>,</m:t>
        </m:r>
        <m:r>
          <m:rPr>
            <m:sty m:val="p"/>
          </m:rPr>
          <m:t>…</m:t>
        </m:r>
        <m:r>
          <m:rPr>
            <m:sty m:val="p"/>
          </m:rPr>
          <m:t>,</m:t>
        </m:r>
        <m:r>
          <m:t>3.0</m:t>
        </m:r>
        <m:r>
          <m:rPr>
            <m:sty m:val="p"/>
          </m:rPr>
          <m:t>}</m:t>
        </m:r>
      </m:oMath>
      <w:r>
        <w:t xml:space="preserve">, and service costs from</w:t>
      </w:r>
      <w:r>
        <w:t xml:space="preserve"> </w:t>
      </w:r>
      <m:oMath>
        <m:r>
          <m:rPr>
            <m:sty m:val="p"/>
          </m:rPr>
          <m:t>{</m:t>
        </m:r>
        <m:r>
          <m:t>0.1</m:t>
        </m:r>
        <m:r>
          <m:rPr>
            <m:sty m:val="p"/>
          </m:rPr>
          <m:t>,</m:t>
        </m:r>
        <m:r>
          <m:t>0.2</m:t>
        </m:r>
        <m:r>
          <m:rPr>
            <m:sty m:val="p"/>
          </m:rPr>
          <m:t>,</m:t>
        </m:r>
        <m:r>
          <m:rPr>
            <m:sty m:val="p"/>
          </m:rPr>
          <m:t>…</m:t>
        </m:r>
        <m:r>
          <m:rPr>
            <m:sty m:val="p"/>
          </m:rPr>
          <m:t>,</m:t>
        </m:r>
        <m:r>
          <m:t>1.0</m:t>
        </m:r>
        <m:r>
          <m:rPr>
            <m:sty m:val="p"/>
          </m:rPr>
          <m:t>}</m:t>
        </m:r>
      </m:oMath>
      <w:r>
        <w:t xml:space="preserve">. A 32-bit linear congruential generator used seed 20260911, multiplier 1664525, and increment 1013904223.</w:t>
      </w:r>
    </w:p>
    <w:p>
      <w:pPr>
        <w:pStyle w:val="BodyText"/>
      </w:pPr>
      <w:r>
        <w:t xml:space="preserve">For each tree, all 64 subsets were checked. Direct unions of root paths agreed exactly with Proposition 2.2 in all 6,400 cases. All 19,200 available source-addition marginals agreed with (4).</w:t>
      </w:r>
    </w:p>
    <w:p>
      <w:pPr>
        <w:pStyle w:val="BodyText"/>
      </w:pPr>
      <w:r>
        <w:t xml:space="preserve">Singleton and pair measurements were perturbed by values in</w:t>
      </w:r>
      <w:r>
        <w:t xml:space="preserve"> </w:t>
      </w:r>
      <m:oMath>
        <m:r>
          <m:rPr>
            <m:sty m:val="p"/>
          </m:rPr>
          <m:t>{</m:t>
        </m:r>
        <m:r>
          <m:rPr>
            <m:sty m:val="p"/>
          </m:rPr>
          <m:t>−</m:t>
        </m:r>
        <m:r>
          <m:t>1</m:t>
        </m:r>
        <m:r>
          <m:rPr>
            <m:sty m:val="p"/>
          </m:rPr>
          <m:t>/</m:t>
        </m:r>
        <m:r>
          <m:t>20</m:t>
        </m:r>
        <m:r>
          <m:rPr>
            <m:sty m:val="p"/>
          </m:rPr>
          <m:t>,</m:t>
        </m:r>
        <m:r>
          <m:t>0</m:t>
        </m:r>
        <m:r>
          <m:rPr>
            <m:sty m:val="p"/>
          </m:rPr>
          <m:t>,</m:t>
        </m:r>
        <m:r>
          <m:t>1</m:t>
        </m:r>
        <m:r>
          <m:rPr>
            <m:sty m:val="p"/>
          </m:rPr>
          <m:t>/</m:t>
        </m:r>
        <m:r>
          <m:t>20</m:t>
        </m:r>
        <m:r>
          <m:rPr>
            <m:sty m:val="p"/>
          </m:rPr>
          <m:t>}</m:t>
        </m:r>
      </m:oMath>
      <w:r>
        <w:t xml:space="preserve">. All 6,400 direct-estimate bounds and all 6,400 repaired-estimate bounds held, and every repaired overlap table satisfied (3). The sharpness construction was additionally checked for</w:t>
      </w:r>
      <w:r>
        <w:t xml:space="preserve"> </w:t>
      </w:r>
      <m:oMath>
        <m:r>
          <m:t>m</m:t>
        </m:r>
        <m:r>
          <m:rPr>
            <m:sty m:val="p"/>
          </m:rPr>
          <m:t>=</m:t>
        </m:r>
        <m:r>
          <m:t>2</m:t>
        </m:r>
        <m:r>
          <m:rPr>
            <m:sty m:val="p"/>
          </m:rPr>
          <m:t>,</m:t>
        </m:r>
        <m:r>
          <m:rPr>
            <m:sty m:val="p"/>
          </m:rPr>
          <m:t>…</m:t>
        </m:r>
        <m:r>
          <m:rPr>
            <m:sty m:val="p"/>
          </m:rPr>
          <m:t>,</m:t>
        </m:r>
        <m:r>
          <m:t>8</m:t>
        </m:r>
      </m:oMath>
      <w:r>
        <w:t xml:space="preserve">.</w:t>
      </w:r>
    </w:p>
    <w:p>
      <w:pPr>
        <w:pStyle w:val="BodyText"/>
      </w:pPr>
      <w:r>
        <w:t xml:space="preserve">These finite checks support implementation consistency. The universal claims and minimax lower bound follow from the proofs.</w:t>
      </w:r>
    </w:p>
    <w:bookmarkEnd w:id="45"/>
    <w:bookmarkEnd w:id="46"/>
    <w:bookmarkStart w:id="47" w:name="discussion-and-concluding-remarks"/>
    <w:p>
      <w:pPr>
        <w:pStyle w:val="Heading1"/>
      </w:pPr>
      <w:r>
        <w:t xml:space="preserve">7. Discussion and concluding remarks</w:t>
      </w:r>
    </w:p>
    <w:p>
      <w:pPr>
        <w:pStyle w:val="FirstParagraph"/>
      </w:pPr>
      <w:r>
        <w:t xml:space="preserve">The mathematical problem separates into identification, estimation, and decision making. Under the rooted-tree assumption, pairwise overlap data determine every acquisition cost. Under bounded measurement error, the cost of an</w:t>
      </w:r>
      <w:r>
        <w:t xml:space="preserve"> </w:t>
      </w:r>
      <m:oMath>
        <m:r>
          <m:t>m</m:t>
        </m:r>
      </m:oMath>
      <w:r>
        <w:t xml:space="preserve">-source group has minimax recovery radius</w:t>
      </w:r>
      <w:r>
        <w:t xml:space="preserve"> </w:t>
      </w:r>
      <m:oMath>
        <m:d>
          <m:dPr>
            <m:begChr m:val="("/>
            <m:endChr m:val=")"/>
            <m:sepChr m:val=""/>
            <m:grow/>
          </m:dPr>
          <m:e>
            <m:r>
              <m:t>2</m:t>
            </m:r>
            <m:r>
              <m:t>m</m:t>
            </m:r>
            <m:r>
              <m:rPr>
                <m:sty m:val="p"/>
              </m:rPr>
              <m:t>−</m:t>
            </m:r>
            <m:r>
              <m:t>3</m:t>
            </m:r>
          </m:e>
        </m:d>
        <m:r>
          <m:t>ε</m:t>
        </m:r>
      </m:oMath>
      <w:r>
        <w:t xml:space="preserve">. This radius quantifies unavoidable amplification of measurement uncertainty, including cases in which the measured table itself is compatible with a tree.</w:t>
      </w:r>
    </w:p>
    <w:p>
      <w:pPr>
        <w:pStyle w:val="BodyText"/>
      </w:pPr>
      <w:r>
        <w:t xml:space="preserve">For sequential decisions, uniform cost recovery transfers directly to optimal-value and policy excess-loss guarantees. The transfer does not depend on a particular diagnostic classifier, but it requires an unchanged observation model and a common call-constrained policy class. Likelihood misspecification, time-varying costs, repeated queries, resource deactivation, and hard monetary budgets require separate analysis.</w:t>
      </w:r>
    </w:p>
    <w:p>
      <w:pPr>
        <w:pStyle w:val="BodyText"/>
      </w:pPr>
      <w:r>
        <w:t xml:space="preserve">The application illustrates how a coordinator can use the theory to choose sources and determine when to stop. It does not establish industrial validity or the performance of an implemented large-language-model system. Exact adaptive optimization remains exponential in the number of sources; scalable approximations need additional structure.</w:t>
      </w:r>
    </w:p>
    <w:p>
      <w:pPr>
        <w:pStyle w:val="BodyText"/>
      </w:pPr>
      <w:r>
        <w:t xml:space="preserve">The counterexample in Section 5 identifies a substantive boundary: pair measurements suffice within the rooted-path class but do not suffice for general shared resources. Extensions to partially observed routing structures, higher-order calibration measurements, and joint uncertainty in costs and likelihoods provide concrete directions for further research.</w:t>
      </w:r>
    </w:p>
    <w:bookmarkEnd w:id="47"/>
    <w:bookmarkStart w:id="48" w:name="declarations"/>
    <w:p>
      <w:pPr>
        <w:pStyle w:val="Heading1"/>
      </w:pPr>
      <w:r>
        <w:t xml:space="preserve">Declarations</w:t>
      </w:r>
    </w:p>
    <w:p>
      <w:pPr>
        <w:pStyle w:val="FirstParagraph"/>
      </w:pPr>
      <w:r>
        <w:rPr>
          <w:bCs/>
          <w:b/>
        </w:rPr>
        <w:t xml:space="preserve">Funding:</w:t>
      </w:r>
      <w:r>
        <w:t xml:space="preserve"> </w:t>
      </w:r>
      <w:r>
        <w:t xml:space="preserve">[To be completed by the human authors.]</w:t>
      </w:r>
    </w:p>
    <w:p>
      <w:pPr>
        <w:pStyle w:val="BodyText"/>
      </w:pPr>
      <w:r>
        <w:rPr>
          <w:bCs/>
          <w:b/>
        </w:rPr>
        <w:t xml:space="preserve">Competing interests:</w:t>
      </w:r>
      <w:r>
        <w:t xml:space="preserve"> </w:t>
      </w:r>
      <w:r>
        <w:t xml:space="preserve">[To be completed by the human authors.]</w:t>
      </w:r>
    </w:p>
    <w:p>
      <w:pPr>
        <w:pStyle w:val="BodyText"/>
      </w:pPr>
      <w:r>
        <w:rPr>
          <w:bCs/>
          <w:b/>
        </w:rPr>
        <w:t xml:space="preserve">Author contributions:</w:t>
      </w:r>
      <w:r>
        <w:t xml:space="preserve"> </w:t>
      </w:r>
      <w:r>
        <w:t xml:space="preserve">[To be completed by the human authors.]</w:t>
      </w:r>
    </w:p>
    <w:p>
      <w:pPr>
        <w:pStyle w:val="BodyText"/>
      </w:pPr>
      <w:r>
        <w:rPr>
          <w:bCs/>
          <w:b/>
        </w:rPr>
        <w:t xml:space="preserve">Data and code availability:</w:t>
      </w:r>
      <w:r>
        <w:t xml:space="preserve"> </w:t>
      </w:r>
      <w:r>
        <w:t xml:space="preserve">No empirical dataset was collected. All parameters defining the synthetic decision instance are provided in Section 6. The exact-arithmetic verification source and output log must be attached or archived before submission; no public repository is asserted in this draft.</w:t>
      </w:r>
    </w:p>
    <w:p>
      <w:pPr>
        <w:pStyle w:val="BodyText"/>
      </w:pPr>
      <w:r>
        <w:rPr>
          <w:bCs/>
          <w:b/>
        </w:rPr>
        <w:t xml:space="preserve">AI assistance:</w:t>
      </w:r>
      <w:r>
        <w:t xml:space="preserve"> </w:t>
      </w:r>
      <w:r>
        <w:t xml:space="preserve">ChatGPT was used to develop the mathematical formulation, proposed proofs, verification code, and manuscript text. Independent human verification of the mathematical claims, literature positioning, and final manuscript is required before submission.</w:t>
      </w:r>
    </w:p>
    <w:bookmarkEnd w:id="48"/>
    <w:bookmarkStart w:id="63" w:name="references"/>
    <w:p>
      <w:pPr>
        <w:pStyle w:val="Heading1"/>
        <w:pageBreakBefore/>
      </w:pPr>
      <w:r>
        <w:t xml:space="preserve">References</w:t>
      </w:r>
    </w:p>
    <w:p>
      <w:pPr>
        <w:pStyle w:val="Bibliography"/>
      </w:pPr>
      <w:r>
        <w:t xml:space="preserve">[1] A. V. Aho, Y. Sagiv, T. G. Szymanski, and J. D. Ullman,</w:t>
      </w:r>
      <w:r>
        <w:t xml:space="preserve"> </w:t>
      </w:r>
      <w:hyperlink r:id="rId49">
        <w:r>
          <w:rPr>
            <w:rStyle w:val="Hyperlink"/>
          </w:rPr>
          <w:t xml:space="preserve">Inferring a tree from lowest common ancestors with an application to the optimization of relational expressions</w:t>
        </w:r>
      </w:hyperlink>
      <w:r>
        <w:t xml:space="preserve">,</w:t>
      </w:r>
      <w:r>
        <w:t xml:space="preserve"> </w:t>
      </w:r>
      <w:r>
        <w:rPr>
          <w:iCs/>
          <w:i/>
        </w:rPr>
        <w:t xml:space="preserve">SIAM Journal on Computing</w:t>
      </w:r>
      <w:r>
        <w:t xml:space="preserve"> </w:t>
      </w:r>
      <w:r>
        <w:rPr>
          <w:bCs/>
          <w:b/>
        </w:rPr>
        <w:t xml:space="preserve">10</w:t>
      </w:r>
      <w:r>
        <w:t xml:space="preserve"> </w:t>
      </w:r>
      <w:r>
        <w:t xml:space="preserve">(1981), no. 3, 405–421.</w:t>
      </w:r>
    </w:p>
    <w:p>
      <w:pPr>
        <w:pStyle w:val="Bibliography"/>
      </w:pPr>
      <w:r>
        <w:t xml:space="preserve">[2] D. Blackwell,</w:t>
      </w:r>
      <w:r>
        <w:t xml:space="preserve"> </w:t>
      </w:r>
      <w:hyperlink r:id="rId50">
        <w:r>
          <w:rPr>
            <w:rStyle w:val="Hyperlink"/>
          </w:rPr>
          <w:t xml:space="preserve">Equivalent comparisons of experiments</w:t>
        </w:r>
      </w:hyperlink>
      <w:r>
        <w:t xml:space="preserve">,</w:t>
      </w:r>
      <w:r>
        <w:t xml:space="preserve"> </w:t>
      </w:r>
      <w:r>
        <w:rPr>
          <w:iCs/>
          <w:i/>
        </w:rPr>
        <w:t xml:space="preserve">The Annals of Mathematical Statistics</w:t>
      </w:r>
      <w:r>
        <w:t xml:space="preserve"> </w:t>
      </w:r>
      <w:r>
        <w:rPr>
          <w:bCs/>
          <w:b/>
        </w:rPr>
        <w:t xml:space="preserve">24</w:t>
      </w:r>
      <w:r>
        <w:t xml:space="preserve"> </w:t>
      </w:r>
      <w:r>
        <w:t xml:space="preserve">(1953), no. 2, 265–272.</w:t>
      </w:r>
    </w:p>
    <w:p>
      <w:pPr>
        <w:pStyle w:val="Bibliography"/>
      </w:pPr>
      <w:r>
        <w:t xml:space="preserve">[3] P. Buneman,</w:t>
      </w:r>
      <w:r>
        <w:t xml:space="preserve"> </w:t>
      </w:r>
      <w:hyperlink r:id="rId51">
        <w:r>
          <w:rPr>
            <w:rStyle w:val="Hyperlink"/>
          </w:rPr>
          <w:t xml:space="preserve">A note on the metric properties of trees</w:t>
        </w:r>
      </w:hyperlink>
      <w:r>
        <w:t xml:space="preserve">,</w:t>
      </w:r>
      <w:r>
        <w:t xml:space="preserve"> </w:t>
      </w:r>
      <w:r>
        <w:rPr>
          <w:iCs/>
          <w:i/>
        </w:rPr>
        <w:t xml:space="preserve">Journal of Combinatorial Theory, Series B</w:t>
      </w:r>
      <w:r>
        <w:t xml:space="preserve"> </w:t>
      </w:r>
      <w:r>
        <w:rPr>
          <w:bCs/>
          <w:b/>
        </w:rPr>
        <w:t xml:space="preserve">17</w:t>
      </w:r>
      <w:r>
        <w:t xml:space="preserve"> </w:t>
      </w:r>
      <w:r>
        <w:t xml:space="preserve">(1974), no. 1, 48–50.</w:t>
      </w:r>
    </w:p>
    <w:p>
      <w:pPr>
        <w:pStyle w:val="Bibliography"/>
      </w:pPr>
      <w:r>
        <w:t xml:space="preserve">[4] G. Carlsson and F. Mémoli,</w:t>
      </w:r>
      <w:r>
        <w:t xml:space="preserve"> </w:t>
      </w:r>
      <w:hyperlink r:id="rId24">
        <w:r>
          <w:rPr>
            <w:rStyle w:val="Hyperlink"/>
          </w:rPr>
          <w:t xml:space="preserve">Characterization, stability and convergence of hierarchical clustering methods</w:t>
        </w:r>
      </w:hyperlink>
      <w:r>
        <w:t xml:space="preserve">,</w:t>
      </w:r>
      <w:r>
        <w:t xml:space="preserve"> </w:t>
      </w:r>
      <w:r>
        <w:rPr>
          <w:iCs/>
          <w:i/>
        </w:rPr>
        <w:t xml:space="preserve">Journal of Machine Learning Research</w:t>
      </w:r>
      <w:r>
        <w:t xml:space="preserve"> </w:t>
      </w:r>
      <w:r>
        <w:rPr>
          <w:bCs/>
          <w:b/>
        </w:rPr>
        <w:t xml:space="preserve">11</w:t>
      </w:r>
      <w:r>
        <w:t xml:space="preserve"> </w:t>
      </w:r>
      <w:r>
        <w:t xml:space="preserve">(2010), 1425–1470.</w:t>
      </w:r>
    </w:p>
    <w:p>
      <w:pPr>
        <w:pStyle w:val="Bibliography"/>
      </w:pPr>
      <w:r>
        <w:t xml:space="preserve">[5] H. Chernoff,</w:t>
      </w:r>
      <w:r>
        <w:t xml:space="preserve"> </w:t>
      </w:r>
      <w:hyperlink r:id="rId52">
        <w:r>
          <w:rPr>
            <w:rStyle w:val="Hyperlink"/>
          </w:rPr>
          <w:t xml:space="preserve">Sequential design of experiments</w:t>
        </w:r>
      </w:hyperlink>
      <w:r>
        <w:t xml:space="preserve">,</w:t>
      </w:r>
      <w:r>
        <w:t xml:space="preserve"> </w:t>
      </w:r>
      <w:r>
        <w:rPr>
          <w:iCs/>
          <w:i/>
        </w:rPr>
        <w:t xml:space="preserve">The Annals of Mathematical Statistics</w:t>
      </w:r>
      <w:r>
        <w:t xml:space="preserve"> </w:t>
      </w:r>
      <w:r>
        <w:rPr>
          <w:bCs/>
          <w:b/>
        </w:rPr>
        <w:t xml:space="preserve">30</w:t>
      </w:r>
      <w:r>
        <w:t xml:space="preserve"> </w:t>
      </w:r>
      <w:r>
        <w:t xml:space="preserve">(1959), no. 3, 755–770.</w:t>
      </w:r>
    </w:p>
    <w:p>
      <w:pPr>
        <w:pStyle w:val="Bibliography"/>
      </w:pPr>
      <w:r>
        <w:t xml:space="preserve">[6] D. L. Donoho,</w:t>
      </w:r>
      <w:r>
        <w:t xml:space="preserve"> </w:t>
      </w:r>
      <w:hyperlink r:id="rId53">
        <w:r>
          <w:rPr>
            <w:rStyle w:val="Hyperlink"/>
          </w:rPr>
          <w:t xml:space="preserve">Statistical estimation and optimal recovery</w:t>
        </w:r>
      </w:hyperlink>
      <w:r>
        <w:t xml:space="preserve">,</w:t>
      </w:r>
      <w:r>
        <w:t xml:space="preserve"> </w:t>
      </w:r>
      <w:r>
        <w:rPr>
          <w:iCs/>
          <w:i/>
        </w:rPr>
        <w:t xml:space="preserve">The Annals of Statistics</w:t>
      </w:r>
      <w:r>
        <w:t xml:space="preserve"> </w:t>
      </w:r>
      <w:r>
        <w:rPr>
          <w:bCs/>
          <w:b/>
        </w:rPr>
        <w:t xml:space="preserve">22</w:t>
      </w:r>
      <w:r>
        <w:t xml:space="preserve"> </w:t>
      </w:r>
      <w:r>
        <w:t xml:space="preserve">(1994), no. 1, 238–270.</w:t>
      </w:r>
    </w:p>
    <w:p>
      <w:pPr>
        <w:pStyle w:val="Bibliography"/>
      </w:pPr>
      <w:r>
        <w:t xml:space="preserve">[7] D. Golovin and A. Krause,</w:t>
      </w:r>
      <w:r>
        <w:t xml:space="preserve"> </w:t>
      </w:r>
      <w:hyperlink r:id="rId26">
        <w:r>
          <w:rPr>
            <w:rStyle w:val="Hyperlink"/>
          </w:rPr>
          <w:t xml:space="preserve">Adaptive submodularity: Theory and applications in active learning and stochastic optimization</w:t>
        </w:r>
      </w:hyperlink>
      <w:r>
        <w:t xml:space="preserve">,</w:t>
      </w:r>
      <w:r>
        <w:t xml:space="preserve"> </w:t>
      </w:r>
      <w:r>
        <w:rPr>
          <w:iCs/>
          <w:i/>
        </w:rPr>
        <w:t xml:space="preserve">Journal of Artificial Intelligence Research</w:t>
      </w:r>
      <w:r>
        <w:t xml:space="preserve"> </w:t>
      </w:r>
      <w:r>
        <w:rPr>
          <w:bCs/>
          <w:b/>
        </w:rPr>
        <w:t xml:space="preserve">42</w:t>
      </w:r>
      <w:r>
        <w:t xml:space="preserve"> </w:t>
      </w:r>
      <w:r>
        <w:t xml:space="preserve">(2011), 427–486.</w:t>
      </w:r>
    </w:p>
    <w:p>
      <w:pPr>
        <w:pStyle w:val="Bibliography"/>
      </w:pPr>
      <w:r>
        <w:t xml:space="preserve">[8] J. C. Gower and G. J. S. Ross,</w:t>
      </w:r>
      <w:r>
        <w:t xml:space="preserve"> </w:t>
      </w:r>
      <w:hyperlink r:id="rId54">
        <w:r>
          <w:rPr>
            <w:rStyle w:val="Hyperlink"/>
          </w:rPr>
          <w:t xml:space="preserve">Minimum spanning trees and single linkage cluster analysis</w:t>
        </w:r>
      </w:hyperlink>
      <w:r>
        <w:t xml:space="preserve">,</w:t>
      </w:r>
      <w:r>
        <w:t xml:space="preserve"> </w:t>
      </w:r>
      <w:r>
        <w:rPr>
          <w:iCs/>
          <w:i/>
        </w:rPr>
        <w:t xml:space="preserve">Journal of the Royal Statistical Society, Series C: Applied Statistics</w:t>
      </w:r>
      <w:r>
        <w:t xml:space="preserve"> </w:t>
      </w:r>
      <w:r>
        <w:rPr>
          <w:bCs/>
          <w:b/>
        </w:rPr>
        <w:t xml:space="preserve">18</w:t>
      </w:r>
      <w:r>
        <w:t xml:space="preserve"> </w:t>
      </w:r>
      <w:r>
        <w:t xml:space="preserve">(1969), no. 1, 54–64.</w:t>
      </w:r>
    </w:p>
    <w:p>
      <w:pPr>
        <w:pStyle w:val="Bibliography"/>
      </w:pPr>
      <w:r>
        <w:t xml:space="preserve">[9] D. Hunter,</w:t>
      </w:r>
      <w:r>
        <w:t xml:space="preserve"> </w:t>
      </w:r>
      <w:hyperlink r:id="rId23">
        <w:r>
          <w:rPr>
            <w:rStyle w:val="Hyperlink"/>
          </w:rPr>
          <w:t xml:space="preserve">An upper bound for the probability of a union</w:t>
        </w:r>
      </w:hyperlink>
      <w:r>
        <w:t xml:space="preserve">,</w:t>
      </w:r>
      <w:r>
        <w:t xml:space="preserve"> </w:t>
      </w:r>
      <w:r>
        <w:rPr>
          <w:iCs/>
          <w:i/>
        </w:rPr>
        <w:t xml:space="preserve">Journal of Applied Probability</w:t>
      </w:r>
      <w:r>
        <w:t xml:space="preserve"> </w:t>
      </w:r>
      <w:r>
        <w:rPr>
          <w:bCs/>
          <w:b/>
        </w:rPr>
        <w:t xml:space="preserve">13</w:t>
      </w:r>
      <w:r>
        <w:t xml:space="preserve"> </w:t>
      </w:r>
      <w:r>
        <w:t xml:space="preserve">(1976), no. 3, 597–603.</w:t>
      </w:r>
    </w:p>
    <w:p>
      <w:pPr>
        <w:pStyle w:val="Bibliography"/>
      </w:pPr>
      <w:r>
        <w:t xml:space="preserve">[10] G. N. Iyengar,</w:t>
      </w:r>
      <w:r>
        <w:t xml:space="preserve"> </w:t>
      </w:r>
      <w:hyperlink r:id="rId55">
        <w:r>
          <w:rPr>
            <w:rStyle w:val="Hyperlink"/>
          </w:rPr>
          <w:t xml:space="preserve">Robust dynamic programming</w:t>
        </w:r>
      </w:hyperlink>
      <w:r>
        <w:t xml:space="preserve">,</w:t>
      </w:r>
      <w:r>
        <w:t xml:space="preserve"> </w:t>
      </w:r>
      <w:r>
        <w:rPr>
          <w:iCs/>
          <w:i/>
        </w:rPr>
        <w:t xml:space="preserve">Mathematics of Operations Research</w:t>
      </w:r>
      <w:r>
        <w:t xml:space="preserve"> </w:t>
      </w:r>
      <w:r>
        <w:rPr>
          <w:bCs/>
          <w:b/>
        </w:rPr>
        <w:t xml:space="preserve">30</w:t>
      </w:r>
      <w:r>
        <w:t xml:space="preserve"> </w:t>
      </w:r>
      <w:r>
        <w:t xml:space="preserve">(2005), no. 2, 257–280.</w:t>
      </w:r>
    </w:p>
    <w:p>
      <w:pPr>
        <w:pStyle w:val="Bibliography"/>
      </w:pPr>
      <w:r>
        <w:t xml:space="preserve">[11] L. P. Kaelbling, M. L. Littman, and A. R. Cassandra,</w:t>
      </w:r>
      <w:r>
        <w:t xml:space="preserve"> </w:t>
      </w:r>
      <w:hyperlink r:id="rId56">
        <w:r>
          <w:rPr>
            <w:rStyle w:val="Hyperlink"/>
          </w:rPr>
          <w:t xml:space="preserve">Planning and acting in partially observable stochastic domains</w:t>
        </w:r>
      </w:hyperlink>
      <w:r>
        <w:t xml:space="preserve">,</w:t>
      </w:r>
      <w:r>
        <w:t xml:space="preserve"> </w:t>
      </w:r>
      <w:r>
        <w:rPr>
          <w:iCs/>
          <w:i/>
        </w:rPr>
        <w:t xml:space="preserve">Artificial Intelligence</w:t>
      </w:r>
      <w:r>
        <w:t xml:space="preserve"> </w:t>
      </w:r>
      <w:r>
        <w:rPr>
          <w:bCs/>
          <w:b/>
        </w:rPr>
        <w:t xml:space="preserve">101</w:t>
      </w:r>
      <w:r>
        <w:t xml:space="preserve"> </w:t>
      </w:r>
      <w:r>
        <w:t xml:space="preserve">(1998), nos. 1–2, 99–134.</w:t>
      </w:r>
    </w:p>
    <w:p>
      <w:pPr>
        <w:pStyle w:val="Bibliography"/>
      </w:pPr>
      <w:r>
        <w:t xml:space="preserve">[12] A. Krause, H. B. McMahan, C. Guestrin, and A. Gupta,</w:t>
      </w:r>
      <w:r>
        <w:t xml:space="preserve"> </w:t>
      </w:r>
      <w:hyperlink r:id="rId27">
        <w:r>
          <w:rPr>
            <w:rStyle w:val="Hyperlink"/>
          </w:rPr>
          <w:t xml:space="preserve">Robust submodular observation selection</w:t>
        </w:r>
      </w:hyperlink>
      <w:r>
        <w:t xml:space="preserve">,</w:t>
      </w:r>
      <w:r>
        <w:t xml:space="preserve"> </w:t>
      </w:r>
      <w:r>
        <w:rPr>
          <w:iCs/>
          <w:i/>
        </w:rPr>
        <w:t xml:space="preserve">Journal of Machine Learning Research</w:t>
      </w:r>
      <w:r>
        <w:t xml:space="preserve"> </w:t>
      </w:r>
      <w:r>
        <w:rPr>
          <w:bCs/>
          <w:b/>
        </w:rPr>
        <w:t xml:space="preserve">9</w:t>
      </w:r>
      <w:r>
        <w:t xml:space="preserve"> </w:t>
      </w:r>
      <w:r>
        <w:t xml:space="preserve">(2008), 2761–2801.</w:t>
      </w:r>
    </w:p>
    <w:p>
      <w:pPr>
        <w:pStyle w:val="Bibliography"/>
      </w:pPr>
      <w:r>
        <w:t xml:space="preserve">[13] Y. Li and J. Oliva,</w:t>
      </w:r>
      <w:r>
        <w:t xml:space="preserve"> </w:t>
      </w:r>
      <w:hyperlink r:id="rId57">
        <w:r>
          <w:rPr>
            <w:rStyle w:val="Hyperlink"/>
          </w:rPr>
          <w:t xml:space="preserve">Active feature acquisition with generative surrogate models</w:t>
        </w:r>
      </w:hyperlink>
      <w:r>
        <w:t xml:space="preserve">, in</w:t>
      </w:r>
      <w:r>
        <w:t xml:space="preserve"> </w:t>
      </w:r>
      <w:r>
        <w:rPr>
          <w:iCs/>
          <w:i/>
        </w:rPr>
        <w:t xml:space="preserve">Proceedings of the 38th International Conference on Machine Learning</w:t>
      </w:r>
      <w:r>
        <w:t xml:space="preserve">, Proceedings of Machine Learning Research</w:t>
      </w:r>
      <w:r>
        <w:t xml:space="preserve"> </w:t>
      </w:r>
      <w:r>
        <w:rPr>
          <w:bCs/>
          <w:b/>
        </w:rPr>
        <w:t xml:space="preserve">139</w:t>
      </w:r>
      <w:r>
        <w:t xml:space="preserve"> </w:t>
      </w:r>
      <w:r>
        <w:t xml:space="preserve">(2021), 6450–6459.</w:t>
      </w:r>
    </w:p>
    <w:p>
      <w:pPr>
        <w:pStyle w:val="Bibliography"/>
      </w:pPr>
      <w:r>
        <w:t xml:space="preserve">[14] C. Ma, S. Tschiatschek, K. Palla, J. M. Hernandez-Lobato, S. Nowozin, and C. Zhang,</w:t>
      </w:r>
      <w:r>
        <w:t xml:space="preserve"> </w:t>
      </w:r>
      <w:hyperlink r:id="rId58">
        <w:r>
          <w:rPr>
            <w:rStyle w:val="Hyperlink"/>
          </w:rPr>
          <w:t xml:space="preserve">EDDI: Efficient dynamic discovery of high-value information with partial VAE</w:t>
        </w:r>
      </w:hyperlink>
      <w:r>
        <w:t xml:space="preserve">, in</w:t>
      </w:r>
      <w:r>
        <w:t xml:space="preserve"> </w:t>
      </w:r>
      <w:r>
        <w:rPr>
          <w:iCs/>
          <w:i/>
        </w:rPr>
        <w:t xml:space="preserve">Proceedings of the 36th International Conference on Machine Learning</w:t>
      </w:r>
      <w:r>
        <w:t xml:space="preserve">, Proceedings of Machine Learning Research</w:t>
      </w:r>
      <w:r>
        <w:t xml:space="preserve"> </w:t>
      </w:r>
      <w:r>
        <w:rPr>
          <w:bCs/>
          <w:b/>
        </w:rPr>
        <w:t xml:space="preserve">97</w:t>
      </w:r>
      <w:r>
        <w:t xml:space="preserve"> </w:t>
      </w:r>
      <w:r>
        <w:t xml:space="preserve">(2019), 4234–4243.</w:t>
      </w:r>
    </w:p>
    <w:p>
      <w:pPr>
        <w:pStyle w:val="Bibliography"/>
      </w:pPr>
      <w:r>
        <w:t xml:space="preserve">[15] M. Naghshvar and T. Javidi,</w:t>
      </w:r>
      <w:r>
        <w:t xml:space="preserve"> </w:t>
      </w:r>
      <w:hyperlink r:id="rId59">
        <w:r>
          <w:rPr>
            <w:rStyle w:val="Hyperlink"/>
          </w:rPr>
          <w:t xml:space="preserve">Active sequential hypothesis testing</w:t>
        </w:r>
      </w:hyperlink>
      <w:r>
        <w:t xml:space="preserve">,</w:t>
      </w:r>
      <w:r>
        <w:t xml:space="preserve"> </w:t>
      </w:r>
      <w:r>
        <w:rPr>
          <w:iCs/>
          <w:i/>
        </w:rPr>
        <w:t xml:space="preserve">The Annals of Statistics</w:t>
      </w:r>
      <w:r>
        <w:t xml:space="preserve"> </w:t>
      </w:r>
      <w:r>
        <w:rPr>
          <w:bCs/>
          <w:b/>
        </w:rPr>
        <w:t xml:space="preserve">41</w:t>
      </w:r>
      <w:r>
        <w:t xml:space="preserve"> </w:t>
      </w:r>
      <w:r>
        <w:t xml:space="preserve">(2013), no. 6, 2703–2738.</w:t>
      </w:r>
    </w:p>
    <w:p>
      <w:pPr>
        <w:pStyle w:val="Bibliography"/>
      </w:pPr>
      <w:r>
        <w:t xml:space="preserve">[16] G. L. Nemhauser, L. A. Wolsey, and M. L. Fisher,</w:t>
      </w:r>
      <w:r>
        <w:t xml:space="preserve"> </w:t>
      </w:r>
      <w:hyperlink r:id="rId60">
        <w:r>
          <w:rPr>
            <w:rStyle w:val="Hyperlink"/>
          </w:rPr>
          <w:t xml:space="preserve">An analysis of approximations for maximizing submodular set functions—I</w:t>
        </w:r>
      </w:hyperlink>
      <w:r>
        <w:t xml:space="preserve">,</w:t>
      </w:r>
      <w:r>
        <w:t xml:space="preserve"> </w:t>
      </w:r>
      <w:r>
        <w:rPr>
          <w:iCs/>
          <w:i/>
        </w:rPr>
        <w:t xml:space="preserve">Mathematical Programming</w:t>
      </w:r>
      <w:r>
        <w:t xml:space="preserve"> </w:t>
      </w:r>
      <w:r>
        <w:rPr>
          <w:bCs/>
          <w:b/>
        </w:rPr>
        <w:t xml:space="preserve">14</w:t>
      </w:r>
      <w:r>
        <w:t xml:space="preserve"> </w:t>
      </w:r>
      <w:r>
        <w:t xml:space="preserve">(1978), 265–294.</w:t>
      </w:r>
    </w:p>
    <w:p>
      <w:pPr>
        <w:pStyle w:val="Bibliography"/>
      </w:pPr>
      <w:r>
        <w:t xml:space="preserve">[17] A. Nilim and L. El Ghaoui,</w:t>
      </w:r>
      <w:r>
        <w:t xml:space="preserve"> </w:t>
      </w:r>
      <w:hyperlink r:id="rId61">
        <w:r>
          <w:rPr>
            <w:rStyle w:val="Hyperlink"/>
          </w:rPr>
          <w:t xml:space="preserve">Robust control of Markov decision processes with uncertain transition matrices</w:t>
        </w:r>
      </w:hyperlink>
      <w:r>
        <w:t xml:space="preserve">,</w:t>
      </w:r>
      <w:r>
        <w:t xml:space="preserve"> </w:t>
      </w:r>
      <w:r>
        <w:rPr>
          <w:iCs/>
          <w:i/>
        </w:rPr>
        <w:t xml:space="preserve">Operations Research</w:t>
      </w:r>
      <w:r>
        <w:t xml:space="preserve"> </w:t>
      </w:r>
      <w:r>
        <w:rPr>
          <w:bCs/>
          <w:b/>
        </w:rPr>
        <w:t xml:space="preserve">53</w:t>
      </w:r>
      <w:r>
        <w:t xml:space="preserve"> </w:t>
      </w:r>
      <w:r>
        <w:t xml:space="preserve">(2005), no. 5, 780–798.</w:t>
      </w:r>
    </w:p>
    <w:p>
      <w:pPr>
        <w:pStyle w:val="Bibliography"/>
      </w:pPr>
      <w:r>
        <w:t xml:space="preserve">[18] L. Pachter and D. Speyer,</w:t>
      </w:r>
      <w:r>
        <w:t xml:space="preserve"> </w:t>
      </w:r>
      <w:hyperlink r:id="rId22">
        <w:r>
          <w:rPr>
            <w:rStyle w:val="Hyperlink"/>
          </w:rPr>
          <w:t xml:space="preserve">Reconstructing trees from subtree weights</w:t>
        </w:r>
      </w:hyperlink>
      <w:r>
        <w:t xml:space="preserve">,</w:t>
      </w:r>
      <w:r>
        <w:t xml:space="preserve"> </w:t>
      </w:r>
      <w:r>
        <w:rPr>
          <w:iCs/>
          <w:i/>
        </w:rPr>
        <w:t xml:space="preserve">Applied Mathematics Letters</w:t>
      </w:r>
      <w:r>
        <w:t xml:space="preserve"> </w:t>
      </w:r>
      <w:r>
        <w:rPr>
          <w:bCs/>
          <w:b/>
        </w:rPr>
        <w:t xml:space="preserve">17</w:t>
      </w:r>
      <w:r>
        <w:t xml:space="preserve"> </w:t>
      </w:r>
      <w:r>
        <w:t xml:space="preserve">(2004), no. 6, 615–621. Link provides the authors’ preprint.</w:t>
      </w:r>
    </w:p>
    <w:p>
      <w:pPr>
        <w:pStyle w:val="Bibliography"/>
      </w:pPr>
      <w:r>
        <w:t xml:space="preserve">[19] Z. Qin and Y. Lu,</w:t>
      </w:r>
      <w:r>
        <w:t xml:space="preserve"> </w:t>
      </w:r>
      <w:hyperlink r:id="rId21">
        <w:r>
          <w:rPr>
            <w:rStyle w:val="Hyperlink"/>
          </w:rPr>
          <w:t xml:space="preserve">Knowledge graph-enhanced multi-agent reinforcement learning for adaptive scheduling in smart manufacturing</w:t>
        </w:r>
      </w:hyperlink>
      <w:r>
        <w:t xml:space="preserve">,</w:t>
      </w:r>
      <w:r>
        <w:t xml:space="preserve"> </w:t>
      </w:r>
      <w:r>
        <w:rPr>
          <w:iCs/>
          <w:i/>
        </w:rPr>
        <w:t xml:space="preserve">Journal of Intelligent Manufacturing</w:t>
      </w:r>
      <w:r>
        <w:t xml:space="preserve"> </w:t>
      </w:r>
      <w:r>
        <w:rPr>
          <w:bCs/>
          <w:b/>
        </w:rPr>
        <w:t xml:space="preserve">36</w:t>
      </w:r>
      <w:r>
        <w:t xml:space="preserve"> </w:t>
      </w:r>
      <w:r>
        <w:t xml:space="preserve">(2025), 5943–5966.</w:t>
      </w:r>
    </w:p>
    <w:p>
      <w:pPr>
        <w:pStyle w:val="Bibliography"/>
      </w:pPr>
      <w:r>
        <w:t xml:space="preserve">[20] R. D. Smallwood and E. J. Sondik,</w:t>
      </w:r>
      <w:r>
        <w:t xml:space="preserve"> </w:t>
      </w:r>
      <w:hyperlink r:id="rId25">
        <w:r>
          <w:rPr>
            <w:rStyle w:val="Hyperlink"/>
          </w:rPr>
          <w:t xml:space="preserve">The optimal control of partially observable Markov processes over a finite horizon</w:t>
        </w:r>
      </w:hyperlink>
      <w:r>
        <w:t xml:space="preserve">,</w:t>
      </w:r>
      <w:r>
        <w:t xml:space="preserve"> </w:t>
      </w:r>
      <w:r>
        <w:rPr>
          <w:iCs/>
          <w:i/>
        </w:rPr>
        <w:t xml:space="preserve">Operations Research</w:t>
      </w:r>
      <w:r>
        <w:t xml:space="preserve"> </w:t>
      </w:r>
      <w:r>
        <w:rPr>
          <w:bCs/>
          <w:b/>
        </w:rPr>
        <w:t xml:space="preserve">21</w:t>
      </w:r>
      <w:r>
        <w:t xml:space="preserve"> </w:t>
      </w:r>
      <w:r>
        <w:t xml:space="preserve">(1973), no. 5, 1071–1088.</w:t>
      </w:r>
    </w:p>
    <w:p>
      <w:pPr>
        <w:pStyle w:val="Bibliography"/>
      </w:pPr>
      <w:r>
        <w:t xml:space="preserve">[21] A. Wald,</w:t>
      </w:r>
      <w:r>
        <w:t xml:space="preserve"> </w:t>
      </w:r>
      <w:hyperlink r:id="rId62">
        <w:r>
          <w:rPr>
            <w:rStyle w:val="Hyperlink"/>
          </w:rPr>
          <w:t xml:space="preserve">Sequential tests of statistical hypotheses</w:t>
        </w:r>
      </w:hyperlink>
      <w:r>
        <w:t xml:space="preserve">,</w:t>
      </w:r>
      <w:r>
        <w:t xml:space="preserve"> </w:t>
      </w:r>
      <w:r>
        <w:rPr>
          <w:iCs/>
          <w:i/>
        </w:rPr>
        <w:t xml:space="preserve">The Annals of Mathematical Statistics</w:t>
      </w:r>
      <w:r>
        <w:t xml:space="preserve"> </w:t>
      </w:r>
      <w:r>
        <w:rPr>
          <w:bCs/>
          <w:b/>
        </w:rPr>
        <w:t xml:space="preserve">16</w:t>
      </w:r>
      <w:r>
        <w:t xml:space="preserve"> </w:t>
      </w:r>
      <w:r>
        <w:t xml:space="preserve">(1945), no. 2, 117–186.</w:t>
      </w:r>
    </w:p>
    <w:bookmarkEnd w:id="63"/>
    <w:sectPr w:rsidR="00FC693F" w:rsidRPr="0006063C" w:rsidSect="00034616">
      <w:footerReference w:type="default" r:id="rId9"/>
      <w:pgSz w:h="15840" w:w="12240"/>
      <w:pgMar w:bottom="1152" w:footer="504" w:gutter="0" w:header="432" w:left="1224" w:right="1224"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00" w:line="259" w:lineRule="auto"/>
    </w:pPr>
    <w:rPr>
      <w:rFonts w:ascii="Times New Roman" w:hAnsi="Times New Roman"/>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Times New Roman" w:hAnsi="Times New Roman"/>
      <w:color w:val="000000"/>
    </w:rPr>
  </w:style>
  <w:style w:customStyle="1" w:styleId="HeaderChar" w:type="character">
    <w:name w:val="Header Char"/>
    <w:basedOn w:val="DefaultParagraphFont"/>
    <w:link w:val="Header"/>
    <w:uiPriority w:val="99"/>
    <w:rsid w:val="00E618BF"/>
    <w:rPr>
      <w:rFonts w:ascii="Times New Roman" w:hAnsi="Times New Roman"/>
      <w:color w:val="000000"/>
    </w:rPr>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Times New Roman" w:hAnsi="Times New Roman"/>
      <w:color w:val="000000"/>
    </w:rPr>
  </w:style>
  <w:style w:customStyle="1" w:styleId="FooterChar" w:type="character">
    <w:name w:val="Footer Char"/>
    <w:basedOn w:val="DefaultParagraphFont"/>
    <w:link w:val="Footer"/>
    <w:uiPriority w:val="99"/>
    <w:rsid w:val="00E618BF"/>
    <w:rPr>
      <w:rFonts w:ascii="Times New Roman" w:hAnsi="Times New Roman"/>
      <w:color w:val="000000"/>
    </w:rPr>
  </w:style>
  <w:style w:styleId="Heading1" w:type="paragraph">
    <w:name w:val="heading 1"/>
    <w:basedOn w:val="Normal"/>
    <w:next w:val="Normal"/>
    <w:link w:val="Heading1Char"/>
    <w:uiPriority w:val="9"/>
    <w:qFormat/>
    <w:rsid w:val="00FC693F"/>
    <w:pPr>
      <w:keepNext/>
      <w:keepLines/>
      <w:spacing w:after="140" w:before="260" w:line="252" w:lineRule="auto"/>
      <w:outlineLvl w:val="0"/>
    </w:pPr>
    <w:rPr>
      <w:rFonts w:ascii="Times New Roman" w:hAnsi="Times New Roman"/>
      <w:b/>
      <w:bCs/>
      <w:color w:val="000000"/>
      <w:sz w:val="26"/>
      <w:szCs w:val="28"/>
    </w:rPr>
  </w:style>
  <w:style w:styleId="Heading2" w:type="paragraph">
    <w:name w:val="heading 2"/>
    <w:basedOn w:val="Normal"/>
    <w:next w:val="Normal"/>
    <w:link w:val="Heading2Char"/>
    <w:uiPriority w:val="9"/>
    <w:unhideWhenUsed/>
    <w:qFormat/>
    <w:rsid w:val="00FC693F"/>
    <w:pPr>
      <w:keepNext/>
      <w:keepLines/>
      <w:spacing w:after="100" w:before="200" w:line="252" w:lineRule="auto"/>
      <w:outlineLvl w:val="1"/>
    </w:pPr>
    <w:rPr>
      <w:rFonts w:ascii="Times New Roman" w:hAnsi="Times New Roman"/>
      <w:b/>
      <w:bCs/>
      <w:color w:val="000000"/>
      <w:sz w:val="23"/>
      <w:szCs w:val="26"/>
    </w:rPr>
  </w:style>
  <w:style w:styleId="Heading3" w:type="paragraph">
    <w:name w:val="heading 3"/>
    <w:basedOn w:val="Normal"/>
    <w:next w:val="Normal"/>
    <w:link w:val="Heading3Char"/>
    <w:uiPriority w:val="9"/>
    <w:unhideWhenUsed/>
    <w:qFormat/>
    <w:rsid w:val="00FC693F"/>
    <w:pPr>
      <w:keepNext/>
      <w:keepLines/>
      <w:spacing w:after="80" w:before="160" w:line="252" w:lineRule="auto"/>
      <w:outlineLvl w:val="2"/>
    </w:pPr>
    <w:rPr>
      <w:rFonts w:ascii="Times New Roman" w:hAnsi="Times New Roman"/>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hAnsi="Times New Roman"/>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imes New Roman" w:hAnsi="Times New Roman"/>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imes New Roman" w:hAnsi="Times New Roman"/>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imes New Roman" w:hAnsi="Times New Roman"/>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imes New Roman" w:hAnsi="Times New Roman"/>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imes New Roman" w:hAnsi="Times New Roman"/>
      <w:i/>
      <w:iCs/>
      <w:color w:val="000000"/>
      <w:sz w:val="20"/>
      <w:szCs w:val="20"/>
    </w:rPr>
  </w:style>
  <w:style w:default="1" w:styleId="DefaultParagraphFont" w:type="character">
    <w:name w:val="Default Paragraph Font"/>
    <w:uiPriority w:val="1"/>
    <w:semiHidden/>
    <w:unhideWhenUsed/>
    <w:rPr>
      <w:rFonts w:ascii="Times New Roman" w:hAnsi="Times New Roman"/>
      <w:color w:val="000000"/>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rFonts w:ascii="Times New Roman" w:hAnsi="Times New Roman"/>
      <w:color w:val="000000"/>
    </w:rPr>
  </w:style>
  <w:style w:customStyle="1" w:styleId="Heading1Char" w:type="character">
    <w:name w:val="Heading 1 Char"/>
    <w:basedOn w:val="DefaultParagraphFont"/>
    <w:link w:val="Heading1"/>
    <w:uiPriority w:val="9"/>
    <w:rsid w:val="00FC693F"/>
    <w:rPr>
      <w:rFonts w:ascii="Times New Roman" w:hAnsi="Times New Roman"/>
      <w:b/>
      <w:bCs/>
      <w:color w:val="000000"/>
      <w:sz w:val="28"/>
      <w:szCs w:val="28"/>
    </w:rPr>
  </w:style>
  <w:style w:customStyle="1" w:styleId="Heading2Char" w:type="character">
    <w:name w:val="Heading 2 Char"/>
    <w:basedOn w:val="DefaultParagraphFont"/>
    <w:link w:val="Heading2"/>
    <w:uiPriority w:val="9"/>
    <w:rsid w:val="00FC693F"/>
    <w:rPr>
      <w:rFonts w:ascii="Times New Roman" w:hAnsi="Times New Roman"/>
      <w:b/>
      <w:bCs/>
      <w:color w:val="000000"/>
      <w:sz w:val="26"/>
      <w:szCs w:val="26"/>
    </w:rPr>
  </w:style>
  <w:style w:customStyle="1" w:styleId="Heading3Char" w:type="character">
    <w:name w:val="Heading 3 Char"/>
    <w:basedOn w:val="DefaultParagraphFont"/>
    <w:link w:val="Heading3"/>
    <w:uiPriority w:val="9"/>
    <w:rsid w:val="00FC693F"/>
    <w:rPr>
      <w:rFonts w:ascii="Times New Roman" w:hAnsi="Times New Roman"/>
      <w:b/>
      <w:bCs/>
      <w:color w:val="000000"/>
    </w:rPr>
  </w:style>
  <w:style w:styleId="Title" w:type="paragraph">
    <w:name w:val="Title"/>
    <w:basedOn w:val="Normal"/>
    <w:next w:val="Normal"/>
    <w:link w:val="TitleChar"/>
    <w:uiPriority w:val="10"/>
    <w:qFormat/>
    <w:rsid w:val="00FC693F"/>
    <w:pPr>
      <w:keepNext/>
      <w:spacing w:after="240" w:before="0" w:line="252" w:lineRule="auto"/>
      <w:contextualSpacing/>
      <w:jc w:val="center"/>
    </w:pPr>
    <w:rPr>
      <w:rFonts w:ascii="Times New Roman" w:hAnsi="Times New Roman"/>
      <w:b/>
      <w:color w:val="000000"/>
      <w:spacing w:val="5"/>
      <w:kern w:val="28"/>
      <w:sz w:val="36"/>
      <w:szCs w:val="52"/>
    </w:rPr>
  </w:style>
  <w:style w:customStyle="1" w:styleId="TitleChar" w:type="character">
    <w:name w:val="Title Char"/>
    <w:basedOn w:val="DefaultParagraphFont"/>
    <w:link w:val="Title"/>
    <w:uiPriority w:val="10"/>
    <w:rsid w:val="00FC693F"/>
    <w:rPr>
      <w:rFonts w:ascii="Times New Roman" w:hAnsi="Times New Roman"/>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imes New Roman" w:hAnsi="Times New Roman"/>
      <w:i/>
      <w:iCs/>
      <w:color w:val="000000"/>
      <w:spacing w:val="15"/>
      <w:sz w:val="24"/>
      <w:szCs w:val="24"/>
    </w:rPr>
  </w:style>
  <w:style w:customStyle="1" w:styleId="SubtitleChar" w:type="character">
    <w:name w:val="Subtitle Char"/>
    <w:basedOn w:val="DefaultParagraphFont"/>
    <w:link w:val="Subtitle"/>
    <w:uiPriority w:val="11"/>
    <w:rsid w:val="00FC693F"/>
    <w:rPr>
      <w:rFonts w:ascii="Times New Roman" w:hAnsi="Times New Roman"/>
      <w:i/>
      <w:iCs/>
      <w:color w:val="000000"/>
      <w:spacing w:val="15"/>
      <w:sz w:val="24"/>
      <w:szCs w:val="24"/>
    </w:rPr>
  </w:style>
  <w:style w:styleId="ListParagraph" w:type="paragraph">
    <w:name w:val="List Paragraph"/>
    <w:basedOn w:val="Normal"/>
    <w:uiPriority w:val="34"/>
    <w:qFormat/>
    <w:rsid w:val="00FC693F"/>
    <w:pPr>
      <w:ind w:left="720"/>
      <w:contextualSpacing/>
    </w:pPr>
    <w:rPr>
      <w:rFonts w:ascii="Times New Roman" w:hAnsi="Times New Roman"/>
      <w:color w:val="000000"/>
    </w:rPr>
  </w:style>
  <w:style w:styleId="BodyText" w:type="paragraph">
    <w:name w:val="Body Text"/>
    <w:basedOn w:val="Normal"/>
    <w:link w:val="BodyTextChar"/>
    <w:uiPriority w:val="99"/>
    <w:unhideWhenUsed/>
    <w:rsid w:val="00AA1D8D"/>
    <w:pPr>
      <w:spacing w:after="100" w:line="259" w:lineRule="auto"/>
    </w:pPr>
    <w:rPr>
      <w:rFonts w:ascii="Times New Roman" w:hAnsi="Times New Roman"/>
      <w:color w:val="000000"/>
    </w:rPr>
  </w:style>
  <w:style w:customStyle="1" w:styleId="BodyTextChar" w:type="character">
    <w:name w:val="Body Text Char"/>
    <w:basedOn w:val="DefaultParagraphFont"/>
    <w:link w:val="BodyText"/>
    <w:uiPriority w:val="99"/>
    <w:rsid w:val="00AA1D8D"/>
    <w:rPr>
      <w:rFonts w:ascii="Times New Roman" w:hAnsi="Times New Roman"/>
      <w:color w:val="000000"/>
    </w:rPr>
  </w:style>
  <w:style w:styleId="BodyText2" w:type="paragraph">
    <w:name w:val="Body Text 2"/>
    <w:basedOn w:val="Normal"/>
    <w:link w:val="BodyText2Char"/>
    <w:uiPriority w:val="99"/>
    <w:unhideWhenUsed/>
    <w:rsid w:val="00AA1D8D"/>
    <w:pPr>
      <w:spacing w:after="120" w:line="480" w:lineRule="auto"/>
    </w:pPr>
    <w:rPr>
      <w:rFonts w:ascii="Times New Roman" w:hAnsi="Times New Roman"/>
      <w:color w:val="000000"/>
    </w:rPr>
  </w:style>
  <w:style w:customStyle="1" w:styleId="BodyText2Char" w:type="character">
    <w:name w:val="Body Text 2 Char"/>
    <w:basedOn w:val="DefaultParagraphFont"/>
    <w:link w:val="BodyText2"/>
    <w:uiPriority w:val="99"/>
    <w:rsid w:val="00AA1D8D"/>
    <w:rPr>
      <w:rFonts w:ascii="Times New Roman" w:hAnsi="Times New Roman"/>
      <w:color w:val="000000"/>
    </w:rPr>
  </w:style>
  <w:style w:styleId="BodyText3" w:type="paragraph">
    <w:name w:val="Body Text 3"/>
    <w:basedOn w:val="Normal"/>
    <w:link w:val="BodyText3Char"/>
    <w:uiPriority w:val="99"/>
    <w:unhideWhenUsed/>
    <w:rsid w:val="00AA1D8D"/>
    <w:pPr>
      <w:spacing w:after="120"/>
    </w:pPr>
    <w:rPr>
      <w:rFonts w:ascii="Times New Roman" w:hAnsi="Times New Roman"/>
      <w:color w:val="000000"/>
      <w:sz w:val="16"/>
      <w:szCs w:val="16"/>
    </w:rPr>
  </w:style>
  <w:style w:customStyle="1" w:styleId="BodyText3Char" w:type="character">
    <w:name w:val="Body Text 3 Char"/>
    <w:basedOn w:val="DefaultParagraphFont"/>
    <w:link w:val="BodyText3"/>
    <w:uiPriority w:val="99"/>
    <w:rsid w:val="00AA1D8D"/>
    <w:rPr>
      <w:rFonts w:ascii="Times New Roman" w:hAnsi="Times New Roman"/>
      <w:color w:val="000000"/>
      <w:sz w:val="16"/>
      <w:szCs w:val="16"/>
    </w:rPr>
  </w:style>
  <w:style w:styleId="List" w:type="paragraph">
    <w:name w:val="List"/>
    <w:basedOn w:val="Normal"/>
    <w:uiPriority w:val="99"/>
    <w:unhideWhenUsed/>
    <w:rsid w:val="00AA1D8D"/>
    <w:pPr>
      <w:ind w:hanging="360" w:left="360"/>
      <w:contextualSpacing/>
    </w:pPr>
    <w:rPr>
      <w:rFonts w:ascii="Times New Roman" w:hAnsi="Times New Roman"/>
      <w:color w:val="000000"/>
    </w:rPr>
  </w:style>
  <w:style w:styleId="List2" w:type="paragraph">
    <w:name w:val="List 2"/>
    <w:basedOn w:val="Normal"/>
    <w:uiPriority w:val="99"/>
    <w:unhideWhenUsed/>
    <w:rsid w:val="00326F90"/>
    <w:pPr>
      <w:ind w:hanging="360" w:left="720"/>
      <w:contextualSpacing/>
    </w:pPr>
    <w:rPr>
      <w:rFonts w:ascii="Times New Roman" w:hAnsi="Times New Roman"/>
      <w:color w:val="000000"/>
    </w:rPr>
  </w:style>
  <w:style w:styleId="List3" w:type="paragraph">
    <w:name w:val="List 3"/>
    <w:basedOn w:val="Normal"/>
    <w:uiPriority w:val="99"/>
    <w:unhideWhenUsed/>
    <w:rsid w:val="00326F90"/>
    <w:pPr>
      <w:ind w:hanging="360" w:left="1080"/>
      <w:contextualSpacing/>
    </w:pPr>
    <w:rPr>
      <w:rFonts w:ascii="Times New Roman" w:hAnsi="Times New Roman"/>
      <w:color w:val="000000"/>
    </w:rPr>
  </w:style>
  <w:style w:styleId="ListBullet" w:type="paragraph">
    <w:name w:val="List Bullet"/>
    <w:basedOn w:val="Normal"/>
    <w:uiPriority w:val="99"/>
    <w:unhideWhenUsed/>
    <w:rsid w:val="00326F90"/>
    <w:pPr>
      <w:numPr>
        <w:numId w:val="1"/>
      </w:numPr>
      <w:contextualSpacing/>
    </w:pPr>
    <w:rPr>
      <w:rFonts w:ascii="Times New Roman" w:hAnsi="Times New Roman"/>
      <w:color w:val="000000"/>
    </w:rPr>
  </w:style>
  <w:style w:styleId="ListBullet2" w:type="paragraph">
    <w:name w:val="List Bullet 2"/>
    <w:basedOn w:val="Normal"/>
    <w:uiPriority w:val="99"/>
    <w:unhideWhenUsed/>
    <w:rsid w:val="00326F90"/>
    <w:pPr>
      <w:numPr>
        <w:numId w:val="2"/>
      </w:numPr>
      <w:contextualSpacing/>
    </w:pPr>
    <w:rPr>
      <w:rFonts w:ascii="Times New Roman" w:hAnsi="Times New Roman"/>
      <w:color w:val="000000"/>
    </w:rPr>
  </w:style>
  <w:style w:styleId="ListBullet3" w:type="paragraph">
    <w:name w:val="List Bullet 3"/>
    <w:basedOn w:val="Normal"/>
    <w:uiPriority w:val="99"/>
    <w:unhideWhenUsed/>
    <w:rsid w:val="00326F90"/>
    <w:pPr>
      <w:numPr>
        <w:numId w:val="3"/>
      </w:numPr>
      <w:contextualSpacing/>
    </w:pPr>
    <w:rPr>
      <w:rFonts w:ascii="Times New Roman" w:hAnsi="Times New Roman"/>
      <w:color w:val="000000"/>
    </w:rPr>
  </w:style>
  <w:style w:styleId="ListNumber" w:type="paragraph">
    <w:name w:val="List Number"/>
    <w:basedOn w:val="Normal"/>
    <w:uiPriority w:val="99"/>
    <w:unhideWhenUsed/>
    <w:rsid w:val="00326F90"/>
    <w:pPr>
      <w:numPr>
        <w:numId w:val="5"/>
      </w:numPr>
      <w:contextualSpacing/>
    </w:pPr>
    <w:rPr>
      <w:rFonts w:ascii="Times New Roman" w:hAnsi="Times New Roman"/>
      <w:color w:val="000000"/>
    </w:rPr>
  </w:style>
  <w:style w:styleId="ListNumber2" w:type="paragraph">
    <w:name w:val="List Number 2"/>
    <w:basedOn w:val="Normal"/>
    <w:uiPriority w:val="99"/>
    <w:unhideWhenUsed/>
    <w:rsid w:val="0029639D"/>
    <w:pPr>
      <w:numPr>
        <w:numId w:val="6"/>
      </w:numPr>
      <w:contextualSpacing/>
    </w:pPr>
    <w:rPr>
      <w:rFonts w:ascii="Times New Roman" w:hAnsi="Times New Roman"/>
      <w:color w:val="000000"/>
    </w:rPr>
  </w:style>
  <w:style w:styleId="ListNumber3" w:type="paragraph">
    <w:name w:val="List Number 3"/>
    <w:basedOn w:val="Normal"/>
    <w:uiPriority w:val="99"/>
    <w:unhideWhenUsed/>
    <w:rsid w:val="0029639D"/>
    <w:pPr>
      <w:numPr>
        <w:numId w:val="7"/>
      </w:numPr>
      <w:contextualSpacing/>
    </w:pPr>
    <w:rPr>
      <w:rFonts w:ascii="Times New Roman" w:hAnsi="Times New Roman"/>
      <w:color w:val="000000"/>
    </w:rPr>
  </w:style>
  <w:style w:styleId="ListContinue" w:type="paragraph">
    <w:name w:val="List Continue"/>
    <w:basedOn w:val="Normal"/>
    <w:uiPriority w:val="99"/>
    <w:unhideWhenUsed/>
    <w:rsid w:val="0029639D"/>
    <w:pPr>
      <w:spacing w:after="120"/>
      <w:ind w:left="360"/>
      <w:contextualSpacing/>
    </w:pPr>
    <w:rPr>
      <w:rFonts w:ascii="Times New Roman" w:hAnsi="Times New Roman"/>
      <w:color w:val="000000"/>
    </w:rPr>
  </w:style>
  <w:style w:styleId="ListContinue2" w:type="paragraph">
    <w:name w:val="List Continue 2"/>
    <w:basedOn w:val="Normal"/>
    <w:uiPriority w:val="99"/>
    <w:unhideWhenUsed/>
    <w:rsid w:val="0029639D"/>
    <w:pPr>
      <w:spacing w:after="120"/>
      <w:ind w:left="720"/>
      <w:contextualSpacing/>
    </w:pPr>
    <w:rPr>
      <w:rFonts w:ascii="Times New Roman" w:hAnsi="Times New Roman"/>
      <w:color w:val="000000"/>
    </w:rPr>
  </w:style>
  <w:style w:styleId="ListContinue3" w:type="paragraph">
    <w:name w:val="List Continue 3"/>
    <w:basedOn w:val="Normal"/>
    <w:uiPriority w:val="99"/>
    <w:unhideWhenUsed/>
    <w:rsid w:val="0029639D"/>
    <w:pPr>
      <w:spacing w:after="120"/>
      <w:ind w:left="1080"/>
      <w:contextualSpacing/>
    </w:pPr>
    <w:rPr>
      <w:rFonts w:ascii="Times New Roman" w:hAnsi="Times New Roman"/>
      <w:color w:val="000000"/>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Times New Roman" w:hAnsi="Times New Roman"/>
      <w:color w:val="000000"/>
      <w:sz w:val="20"/>
      <w:szCs w:val="20"/>
    </w:rPr>
  </w:style>
  <w:style w:customStyle="1" w:styleId="MacroTextChar" w:type="character">
    <w:name w:val="Macro Text Char"/>
    <w:basedOn w:val="DefaultParagraphFont"/>
    <w:link w:val="MacroText"/>
    <w:uiPriority w:val="99"/>
    <w:rsid w:val="0029639D"/>
    <w:rPr>
      <w:rFonts w:ascii="Times New Roman" w:hAnsi="Times New Roman"/>
      <w:color w:val="000000"/>
      <w:sz w:val="20"/>
      <w:szCs w:val="20"/>
    </w:rPr>
  </w:style>
  <w:style w:styleId="Quote" w:type="paragraph">
    <w:name w:val="Quote"/>
    <w:basedOn w:val="Normal"/>
    <w:next w:val="Normal"/>
    <w:link w:val="QuoteChar"/>
    <w:uiPriority w:val="29"/>
    <w:qFormat/>
    <w:rsid w:val="00FC693F"/>
    <w:rPr>
      <w:rFonts w:ascii="Times New Roman" w:hAnsi="Times New Roman"/>
      <w:i/>
      <w:iCs/>
      <w:color w:val="000000"/>
    </w:rPr>
  </w:style>
  <w:style w:customStyle="1" w:styleId="QuoteChar" w:type="character">
    <w:name w:val="Quote Char"/>
    <w:basedOn w:val="DefaultParagraphFont"/>
    <w:link w:val="Quote"/>
    <w:uiPriority w:val="29"/>
    <w:rsid w:val="00FC693F"/>
    <w:rPr>
      <w:rFonts w:ascii="Times New Roman" w:hAnsi="Times New Roman"/>
      <w:i/>
      <w:iCs/>
      <w:color w:val="000000"/>
    </w:rPr>
  </w:style>
  <w:style w:customStyle="1" w:styleId="Heading4Char" w:type="character">
    <w:name w:val="Heading 4 Char"/>
    <w:basedOn w:val="DefaultParagraphFont"/>
    <w:link w:val="Heading4"/>
    <w:uiPriority w:val="9"/>
    <w:semiHidden/>
    <w:rsid w:val="00FC693F"/>
    <w:rPr>
      <w:rFonts w:ascii="Times New Roman" w:hAnsi="Times New Roman"/>
      <w:b/>
      <w:bCs/>
      <w:i/>
      <w:iCs/>
      <w:color w:val="000000"/>
    </w:rPr>
  </w:style>
  <w:style w:customStyle="1" w:styleId="Heading5Char" w:type="character">
    <w:name w:val="Heading 5 Char"/>
    <w:basedOn w:val="DefaultParagraphFont"/>
    <w:link w:val="Heading5"/>
    <w:uiPriority w:val="9"/>
    <w:semiHidden/>
    <w:rsid w:val="00FC693F"/>
    <w:rPr>
      <w:rFonts w:ascii="Times New Roman" w:hAnsi="Times New Roman"/>
      <w:color w:val="000000"/>
    </w:rPr>
  </w:style>
  <w:style w:customStyle="1" w:styleId="Heading6Char" w:type="character">
    <w:name w:val="Heading 6 Char"/>
    <w:basedOn w:val="DefaultParagraphFont"/>
    <w:link w:val="Heading6"/>
    <w:uiPriority w:val="9"/>
    <w:semiHidden/>
    <w:rsid w:val="00FC693F"/>
    <w:rPr>
      <w:rFonts w:ascii="Times New Roman" w:hAnsi="Times New Roman"/>
      <w:i/>
      <w:iCs/>
      <w:color w:val="000000"/>
    </w:rPr>
  </w:style>
  <w:style w:customStyle="1" w:styleId="Heading7Char" w:type="character">
    <w:name w:val="Heading 7 Char"/>
    <w:basedOn w:val="DefaultParagraphFont"/>
    <w:link w:val="Heading7"/>
    <w:uiPriority w:val="9"/>
    <w:semiHidden/>
    <w:rsid w:val="00FC693F"/>
    <w:rPr>
      <w:rFonts w:ascii="Times New Roman" w:hAnsi="Times New Roman"/>
      <w:i/>
      <w:iCs/>
      <w:color w:val="000000"/>
    </w:rPr>
  </w:style>
  <w:style w:customStyle="1" w:styleId="Heading8Char" w:type="character">
    <w:name w:val="Heading 8 Char"/>
    <w:basedOn w:val="DefaultParagraphFont"/>
    <w:link w:val="Heading8"/>
    <w:uiPriority w:val="9"/>
    <w:semiHidden/>
    <w:rsid w:val="00FC693F"/>
    <w:rPr>
      <w:rFonts w:ascii="Times New Roman" w:hAnsi="Times New Roman"/>
      <w:color w:val="000000"/>
      <w:sz w:val="20"/>
      <w:szCs w:val="20"/>
    </w:rPr>
  </w:style>
  <w:style w:customStyle="1" w:styleId="Heading9Char" w:type="character">
    <w:name w:val="Heading 9 Char"/>
    <w:basedOn w:val="DefaultParagraphFont"/>
    <w:link w:val="Heading9"/>
    <w:uiPriority w:val="9"/>
    <w:semiHidden/>
    <w:rsid w:val="00FC693F"/>
    <w:rPr>
      <w:rFonts w:ascii="Times New Roman" w:hAnsi="Times New Roman"/>
      <w:i/>
      <w:iCs/>
      <w:color w:val="00000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styleId="Strong" w:type="character">
    <w:name w:val="Strong"/>
    <w:basedOn w:val="DefaultParagraphFont"/>
    <w:uiPriority w:val="22"/>
    <w:qFormat/>
    <w:rsid w:val="00FC693F"/>
    <w:rPr>
      <w:rFonts w:ascii="Times New Roman" w:hAnsi="Times New Roman"/>
      <w:b/>
      <w:bCs/>
      <w:color w:val="000000"/>
    </w:rPr>
  </w:style>
  <w:style w:styleId="Emphasis" w:type="character">
    <w:name w:val="Emphasis"/>
    <w:basedOn w:val="DefaultParagraphFont"/>
    <w:uiPriority w:val="20"/>
    <w:qFormat/>
    <w:rsid w:val="00FC693F"/>
    <w:rPr>
      <w:rFonts w:ascii="Times New Roman" w:hAnsi="Times New Roman"/>
      <w:i/>
      <w:iCs/>
      <w:color w:val="000000"/>
    </w:rPr>
  </w:style>
  <w:style w:styleId="IntenseQuote" w:type="paragraph">
    <w:name w:val="Intense Quote"/>
    <w:basedOn w:val="Normal"/>
    <w:next w:val="Normal"/>
    <w:link w:val="IntenseQuoteChar"/>
    <w:uiPriority w:val="30"/>
    <w:qFormat/>
    <w:rsid w:val="00FC693F"/>
    <w:pPr>
      <w:spacing w:after="280" w:before="200"/>
      <w:ind w:left="936" w:right="936"/>
    </w:pPr>
    <w:rPr>
      <w:rFonts w:ascii="Times New Roman" w:hAnsi="Times New Roman"/>
      <w:b/>
      <w:bCs/>
      <w:i/>
      <w:iCs/>
      <w:color w:val="000000"/>
    </w:rPr>
  </w:style>
  <w:style w:customStyle="1" w:styleId="IntenseQuoteChar" w:type="character">
    <w:name w:val="Intense Quote Char"/>
    <w:basedOn w:val="DefaultParagraphFont"/>
    <w:link w:val="IntenseQuote"/>
    <w:uiPriority w:val="30"/>
    <w:rsid w:val="00FC693F"/>
    <w:rPr>
      <w:rFonts w:ascii="Times New Roman" w:hAnsi="Times New Roman"/>
      <w:b/>
      <w:bCs/>
      <w:i/>
      <w:iCs/>
      <w:color w:val="000000"/>
    </w:rPr>
  </w:style>
  <w:style w:styleId="SubtleEmphasis" w:type="character">
    <w:name w:val="Subtle Emphasis"/>
    <w:basedOn w:val="DefaultParagraphFont"/>
    <w:uiPriority w:val="19"/>
    <w:qFormat/>
    <w:rsid w:val="00FC693F"/>
    <w:rPr>
      <w:rFonts w:ascii="Times New Roman" w:hAnsi="Times New Roman"/>
      <w:i/>
      <w:iCs/>
      <w:color w:val="000000"/>
    </w:rPr>
  </w:style>
  <w:style w:styleId="IntenseEmphasis" w:type="character">
    <w:name w:val="Intense Emphasis"/>
    <w:basedOn w:val="DefaultParagraphFont"/>
    <w:uiPriority w:val="21"/>
    <w:qFormat/>
    <w:rsid w:val="00FC693F"/>
    <w:rPr>
      <w:rFonts w:ascii="Times New Roman" w:hAnsi="Times New Roman"/>
      <w:b/>
      <w:bCs/>
      <w:i/>
      <w:iCs/>
      <w:color w:val="000000"/>
    </w:rPr>
  </w:style>
  <w:style w:styleId="SubtleReference" w:type="character">
    <w:name w:val="Subtle Reference"/>
    <w:basedOn w:val="DefaultParagraphFont"/>
    <w:uiPriority w:val="31"/>
    <w:qFormat/>
    <w:rsid w:val="00FC693F"/>
    <w:rPr>
      <w:rFonts w:ascii="Times New Roman" w:hAnsi="Times New Roman"/>
      <w:smallCaps/>
      <w:color w:val="000000"/>
      <w:u w:val="single"/>
    </w:rPr>
  </w:style>
  <w:style w:styleId="IntenseReference" w:type="character">
    <w:name w:val="Intense Reference"/>
    <w:basedOn w:val="DefaultParagraphFont"/>
    <w:uiPriority w:val="32"/>
    <w:qFormat/>
    <w:rsid w:val="00FC693F"/>
    <w:rPr>
      <w:rFonts w:ascii="Times New Roman" w:hAnsi="Times New Roman"/>
      <w:b/>
      <w:bCs/>
      <w:smallCaps/>
      <w:color w:val="000000"/>
      <w:spacing w:val="5"/>
      <w:u w:val="single"/>
    </w:rPr>
  </w:style>
  <w:style w:styleId="BookTitle" w:type="character">
    <w:name w:val="Book Title"/>
    <w:basedOn w:val="DefaultParagraphFont"/>
    <w:uiPriority w:val="33"/>
    <w:qFormat/>
    <w:rsid w:val="00FC693F"/>
    <w:rPr>
      <w:rFonts w:ascii="Times New Roman" w:hAnsi="Times New Roman"/>
      <w:b/>
      <w:bCs/>
      <w:smallCaps/>
      <w:color w:val="000000"/>
      <w:spacing w:val="5"/>
    </w:rPr>
  </w:style>
  <w:style w:styleId="TOCHeading" w:type="paragraph">
    <w:name w:val="TOC Heading"/>
    <w:basedOn w:val="Heading1"/>
    <w:next w:val="Normal"/>
    <w:uiPriority w:val="39"/>
    <w:semiHidden/>
    <w:unhideWhenUsed/>
    <w:qFormat/>
    <w:rsid w:val="00FC693F"/>
    <w:pPr>
      <w:outlineLvl w:val="9"/>
    </w:pPr>
    <w:rPr>
      <w:rFonts w:ascii="Times New Roman" w:hAnsi="Times New Roman"/>
      <w:color w:val="000000"/>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b/>
        <w:bCs/>
      </w:rPr>
    </w:tblStylePr>
    <w:tblStylePr w:type="lastCol">
      <w:rPr>
        <w:rFonts/>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b/>
        <w:bCs/>
      </w:rPr>
    </w:tblStylePr>
    <w:tblStylePr w:type="lastCol">
      <w:rPr>
        <w:rFonts/>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b/>
        <w:bCs/>
      </w:rPr>
    </w:tblStylePr>
    <w:tblStylePr w:type="lastCol">
      <w:rPr>
        <w:rFonts/>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b/>
        <w:bCs/>
      </w:rPr>
    </w:tblStylePr>
    <w:tblStylePr w:type="lastCol">
      <w:rPr>
        <w:rFonts/>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b/>
        <w:bCs/>
      </w:rPr>
    </w:tblStylePr>
    <w:tblStylePr w:type="lastCol">
      <w:rPr>
        <w:rFonts/>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b/>
        <w:bCs/>
      </w:rPr>
    </w:tblStylePr>
    <w:tblStylePr w:type="lastCol">
      <w:rPr>
        <w:rFonts/>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b/>
        <w:bCs/>
      </w:rPr>
    </w:tblStylePr>
    <w:tblStylePr w:type="lastCol">
      <w:rPr>
        <w:rFonts/>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spacing w:after="100" w:line="259" w:lineRule="auto"/>
    </w:pPr>
  </w:style>
  <w:style w:customStyle="1" w:styleId="Compact" w:type="paragraph">
    <w:name w:val="Compact"/>
    <w:basedOn w:val="Normal"/>
  </w:style>
  <w:style w:customStyle="1" w:styleId="Bibliography" w:type="paragraph">
    <w:name w:val="Bibliography"/>
    <w:basedOn w:val="Normal"/>
    <w:pPr>
      <w:keepLines/>
      <w:spacing w:after="140"/>
      <w:ind w:hanging="360" w:left="360"/>
    </w:pPr>
  </w:style>
  <w:style w:customStyle="1" w:styleId="Equation" w:type="paragraph">
    <w:name w:val="Equation"/>
    <w:basedOn w:val="Normal"/>
    <w:pPr>
      <w:keepLines/>
      <w:spacing w:after="120" w:before="100"/>
    </w:pPr>
  </w:style>
  <w:style w:customStyle="1" w:styleId="TableBody" w:type="paragraph">
    <w:name w:val="Table Body"/>
    <w:basedOn w:val="Normal"/>
    <w:pPr>
      <w:spacing w:after="0" w:line="252" w:lineRule="auto"/>
    </w:pPr>
    <w:rPr>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hyperlink" Target="https://arxiv.org/abs/math/0311156" TargetMode="External"/><Relationship Id="rId60" Type="http://schemas.openxmlformats.org/officeDocument/2006/relationships/hyperlink" Target="https://doi.org/10.1007/BF01588971" TargetMode="External"/><Relationship Id="rId21" Type="http://schemas.openxmlformats.org/officeDocument/2006/relationships/hyperlink" Target="https://doi.org/10.1007/s10845-024-02494-0" TargetMode="External"/><Relationship Id="rId51" Type="http://schemas.openxmlformats.org/officeDocument/2006/relationships/hyperlink" Target="https://doi.org/10.1016/0095-8956(74)90047-1" TargetMode="External"/><Relationship Id="rId56" Type="http://schemas.openxmlformats.org/officeDocument/2006/relationships/hyperlink" Target="https://doi.org/10.1016/S0004-3702(98)00023-X" TargetMode="External"/><Relationship Id="rId49" Type="http://schemas.openxmlformats.org/officeDocument/2006/relationships/hyperlink" Target="https://doi.org/10.1137/0210030" TargetMode="External"/><Relationship Id="rId59" Type="http://schemas.openxmlformats.org/officeDocument/2006/relationships/hyperlink" Target="https://doi.org/10.1214/13-AOS1144" TargetMode="External"/><Relationship Id="rId52" Type="http://schemas.openxmlformats.org/officeDocument/2006/relationships/hyperlink" Target="https://doi.org/10.1214/aoms/1177706205" TargetMode="External"/><Relationship Id="rId50" Type="http://schemas.openxmlformats.org/officeDocument/2006/relationships/hyperlink" Target="https://doi.org/10.1214/aoms/1177729032" TargetMode="External"/><Relationship Id="rId62" Type="http://schemas.openxmlformats.org/officeDocument/2006/relationships/hyperlink" Target="https://doi.org/10.1214/aoms/1177731118" TargetMode="External"/><Relationship Id="rId53" Type="http://schemas.openxmlformats.org/officeDocument/2006/relationships/hyperlink" Target="https://doi.org/10.1214/aos/1176325367" TargetMode="External"/><Relationship Id="rId55" Type="http://schemas.openxmlformats.org/officeDocument/2006/relationships/hyperlink" Target="https://doi.org/10.1287/moor.1040.0129" TargetMode="External"/><Relationship Id="rId61" Type="http://schemas.openxmlformats.org/officeDocument/2006/relationships/hyperlink" Target="https://doi.org/10.1287/opre.1050.0216" TargetMode="External"/><Relationship Id="rId25" Type="http://schemas.openxmlformats.org/officeDocument/2006/relationships/hyperlink" Target="https://doi.org/10.1287/opre.21.5.1071" TargetMode="External"/><Relationship Id="rId26" Type="http://schemas.openxmlformats.org/officeDocument/2006/relationships/hyperlink" Target="https://doi.org/10.1613/jair.3278" TargetMode="External"/><Relationship Id="rId54" Type="http://schemas.openxmlformats.org/officeDocument/2006/relationships/hyperlink" Target="https://doi.org/10.2307/2346439" TargetMode="External"/><Relationship Id="rId23" Type="http://schemas.openxmlformats.org/officeDocument/2006/relationships/hyperlink" Target="https://doi.org/10.2307/3212481" TargetMode="External"/><Relationship Id="rId24" Type="http://schemas.openxmlformats.org/officeDocument/2006/relationships/hyperlink" Target="https://jmlr.csail.mit.edu/papers/v11/carlsson10a.html" TargetMode="External"/><Relationship Id="rId27" Type="http://schemas.openxmlformats.org/officeDocument/2006/relationships/hyperlink" Target="https://jmlr.org/papers/v9/krause08b.html" TargetMode="External"/><Relationship Id="rId57" Type="http://schemas.openxmlformats.org/officeDocument/2006/relationships/hyperlink" Target="https://proceedings.mlr.press/v139/li21p.html" TargetMode="External"/><Relationship Id="rId58" Type="http://schemas.openxmlformats.org/officeDocument/2006/relationships/hyperlink" Target="https://proceedings.mlr.press/v97/ma19c.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2" Type="http://schemas.openxmlformats.org/officeDocument/2006/relationships/hyperlink" Target="https://arxiv.org/abs/math/0311156" TargetMode="External"/><Relationship Id="rId60" Type="http://schemas.openxmlformats.org/officeDocument/2006/relationships/hyperlink" Target="https://doi.org/10.1007/BF01588971" TargetMode="External"/><Relationship Id="rId21" Type="http://schemas.openxmlformats.org/officeDocument/2006/relationships/hyperlink" Target="https://doi.org/10.1007/s10845-024-02494-0" TargetMode="External"/><Relationship Id="rId51" Type="http://schemas.openxmlformats.org/officeDocument/2006/relationships/hyperlink" Target="https://doi.org/10.1016/0095-8956(74)90047-1" TargetMode="External"/><Relationship Id="rId56" Type="http://schemas.openxmlformats.org/officeDocument/2006/relationships/hyperlink" Target="https://doi.org/10.1016/S0004-3702(98)00023-X" TargetMode="External"/><Relationship Id="rId49" Type="http://schemas.openxmlformats.org/officeDocument/2006/relationships/hyperlink" Target="https://doi.org/10.1137/0210030" TargetMode="External"/><Relationship Id="rId59" Type="http://schemas.openxmlformats.org/officeDocument/2006/relationships/hyperlink" Target="https://doi.org/10.1214/13-AOS1144" TargetMode="External"/><Relationship Id="rId52" Type="http://schemas.openxmlformats.org/officeDocument/2006/relationships/hyperlink" Target="https://doi.org/10.1214/aoms/1177706205" TargetMode="External"/><Relationship Id="rId50" Type="http://schemas.openxmlformats.org/officeDocument/2006/relationships/hyperlink" Target="https://doi.org/10.1214/aoms/1177729032" TargetMode="External"/><Relationship Id="rId62" Type="http://schemas.openxmlformats.org/officeDocument/2006/relationships/hyperlink" Target="https://doi.org/10.1214/aoms/1177731118" TargetMode="External"/><Relationship Id="rId53" Type="http://schemas.openxmlformats.org/officeDocument/2006/relationships/hyperlink" Target="https://doi.org/10.1214/aos/1176325367" TargetMode="External"/><Relationship Id="rId55" Type="http://schemas.openxmlformats.org/officeDocument/2006/relationships/hyperlink" Target="https://doi.org/10.1287/moor.1040.0129" TargetMode="External"/><Relationship Id="rId61" Type="http://schemas.openxmlformats.org/officeDocument/2006/relationships/hyperlink" Target="https://doi.org/10.1287/opre.1050.0216" TargetMode="External"/><Relationship Id="rId25" Type="http://schemas.openxmlformats.org/officeDocument/2006/relationships/hyperlink" Target="https://doi.org/10.1287/opre.21.5.1071" TargetMode="External"/><Relationship Id="rId26" Type="http://schemas.openxmlformats.org/officeDocument/2006/relationships/hyperlink" Target="https://doi.org/10.1613/jair.3278" TargetMode="External"/><Relationship Id="rId54" Type="http://schemas.openxmlformats.org/officeDocument/2006/relationships/hyperlink" Target="https://doi.org/10.2307/2346439" TargetMode="External"/><Relationship Id="rId23" Type="http://schemas.openxmlformats.org/officeDocument/2006/relationships/hyperlink" Target="https://doi.org/10.2307/3212481" TargetMode="External"/><Relationship Id="rId24" Type="http://schemas.openxmlformats.org/officeDocument/2006/relationships/hyperlink" Target="https://jmlr.csail.mit.edu/papers/v11/carlsson10a.html" TargetMode="External"/><Relationship Id="rId27" Type="http://schemas.openxmlformats.org/officeDocument/2006/relationships/hyperlink" Target="https://jmlr.org/papers/v9/krause08b.html" TargetMode="External"/><Relationship Id="rId57" Type="http://schemas.openxmlformats.org/officeDocument/2006/relationships/hyperlink" Target="https://proceedings.mlr.press/v139/li21p.html" TargetMode="External"/><Relationship Id="rId58" Type="http://schemas.openxmlformats.org/officeDocument/2006/relationships/hyperlink" Target="https://proceedings.mlr.press/v97/ma19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Minimax recovery and decision stability for tree-based evidence acquisition</dc:title>
  <dc:creator/>
  <cp:keywords>rooted tree; minimax estimation; Bayesian sequential decision</cp:keywords>
  <dcterms:created xsi:type="dcterms:W3CDTF">2026-09-12T13:19:06Z</dcterms:created>
  <dcterms:modified xsi:type="dcterms:W3CDTF">2026-09-12T13:19:06Z</dcterms:modified>
  <dc:subject>Mathematical manuscript</dc:subject>
</cp:coreProperties>
</file>

<file path=docProps/custom.xml><?xml version="1.0" encoding="utf-8"?>
<Properties xmlns="http://schemas.openxmlformats.org/officeDocument/2006/custom-properties" xmlns:vt="http://schemas.openxmlformats.org/officeDocument/2006/docPropsVTypes"/>
</file>